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D62DC" w14:textId="77777777" w:rsidR="008B2281" w:rsidRPr="008B2281" w:rsidRDefault="008B2281" w:rsidP="008B2281">
      <w:r w:rsidRPr="008B2281">
        <w:rPr>
          <w:b/>
          <w:bCs/>
        </w:rPr>
        <w:t>Pergunta:</w:t>
      </w:r>
      <w:r w:rsidRPr="008B2281">
        <w:t xml:space="preserve"> Existe uma previsão de alocação da equipe em cada estado?</w:t>
      </w:r>
      <w:r w:rsidRPr="008B2281">
        <w:br/>
      </w:r>
      <w:r w:rsidRPr="008B2281">
        <w:rPr>
          <w:b/>
          <w:bCs/>
        </w:rPr>
        <w:t>Resposta:</w:t>
      </w:r>
      <w:r w:rsidRPr="008B2281">
        <w:t xml:space="preserve"> Não, a alocação vai ocorrer conforme demanda da VIBRA.</w:t>
      </w:r>
    </w:p>
    <w:p w14:paraId="42B6446C" w14:textId="77777777" w:rsidR="008B2281" w:rsidRPr="008B2281" w:rsidRDefault="008B2281" w:rsidP="008B2281">
      <w:r w:rsidRPr="008B2281">
        <w:rPr>
          <w:b/>
          <w:bCs/>
        </w:rPr>
        <w:t>Pergunta:</w:t>
      </w:r>
      <w:r w:rsidRPr="008B2281">
        <w:t xml:space="preserve"> O Plano de Saúde deve ser custeado integralmente pela PROPONENTE?</w:t>
      </w:r>
      <w:r w:rsidRPr="008B2281">
        <w:br/>
      </w:r>
      <w:r w:rsidRPr="008B2281">
        <w:rPr>
          <w:b/>
          <w:bCs/>
        </w:rPr>
        <w:t>Resposta:</w:t>
      </w:r>
      <w:r w:rsidRPr="008B2281">
        <w:t xml:space="preserve"> A coparticipação dos funcionários da PROPONENTE no custeio do plano de saúde está especificada no item 7.14 da especificação de serviço.</w:t>
      </w:r>
    </w:p>
    <w:p w14:paraId="656BCD68" w14:textId="77777777" w:rsidR="008B2281" w:rsidRPr="008B2281" w:rsidRDefault="008B2281" w:rsidP="008B2281">
      <w:r w:rsidRPr="008B2281">
        <w:rPr>
          <w:b/>
          <w:bCs/>
        </w:rPr>
        <w:t>Pergunta:</w:t>
      </w:r>
      <w:r w:rsidRPr="008B2281">
        <w:t xml:space="preserve"> No item 7.4 da Especificação Técnica é dito que horas consideradas como hora-extra serão pagas pela CONTRATANTE, entretanto, não existem linhas para medição de horas extras na PPU. Caso essas horas ocorram, como serão medidas?</w:t>
      </w:r>
      <w:r w:rsidRPr="008B2281">
        <w:br/>
      </w:r>
      <w:r w:rsidRPr="008B2281">
        <w:rPr>
          <w:b/>
          <w:bCs/>
        </w:rPr>
        <w:t>Resposta:</w:t>
      </w:r>
      <w:r w:rsidRPr="008B2281">
        <w:t xml:space="preserve"> Serão medidas em item adicional no BMS, de forma proporcional ao custo mensal especificado pela PROPONENTE na DFP. Para quantificação dos custos de hora-extra, não serão considerados os custos fixos mensais já remunerados na medição “normal” de cada posto de serviço.</w:t>
      </w:r>
    </w:p>
    <w:p w14:paraId="73B3F761" w14:textId="77777777" w:rsidR="008B2281" w:rsidRPr="008B2281" w:rsidRDefault="008B2281" w:rsidP="008B2281">
      <w:r w:rsidRPr="008B2281">
        <w:rPr>
          <w:b/>
          <w:bCs/>
        </w:rPr>
        <w:t>Pergunta:</w:t>
      </w:r>
      <w:r w:rsidRPr="008B2281">
        <w:t xml:space="preserve"> No item 6 da Especificação Técnica são apresentados dois tipos de notebooks. Quais profissionais da PPU precisam de cada tipo de notebook?</w:t>
      </w:r>
      <w:r w:rsidRPr="008B2281">
        <w:br/>
      </w:r>
      <w:r w:rsidRPr="008B2281">
        <w:rPr>
          <w:b/>
          <w:bCs/>
        </w:rPr>
        <w:t>Resposta:</w:t>
      </w:r>
      <w:r w:rsidRPr="008B2281">
        <w:t xml:space="preserve"> Conforme indicado na DFP, o notebook corporativo deve ser considerado para os itens 2.1.1.A, 2.1.1.B da PPU. Já o notebook para área de projetos deve ser considerado para os itens 2.1.1.C, 2.1.1.D da PPU.</w:t>
      </w:r>
    </w:p>
    <w:p w14:paraId="5A2633F5" w14:textId="77777777" w:rsidR="008B2281" w:rsidRPr="008B2281" w:rsidRDefault="008B2281" w:rsidP="008B2281">
      <w:r w:rsidRPr="008B2281">
        <w:rPr>
          <w:b/>
          <w:bCs/>
        </w:rPr>
        <w:t>Pergunta:</w:t>
      </w:r>
      <w:r w:rsidRPr="008B2281">
        <w:t xml:space="preserve"> A PROPONENTE deve considerar o fornecimento de celular para todos os colaboradores da PPU?</w:t>
      </w:r>
      <w:r w:rsidRPr="008B2281">
        <w:br/>
      </w:r>
      <w:r w:rsidRPr="008B2281">
        <w:rPr>
          <w:b/>
          <w:bCs/>
        </w:rPr>
        <w:t>Resposta:</w:t>
      </w:r>
      <w:r w:rsidRPr="008B2281">
        <w:t xml:space="preserve"> Sim.</w:t>
      </w:r>
    </w:p>
    <w:p w14:paraId="06A41141" w14:textId="77777777" w:rsidR="008B2281" w:rsidRPr="008B2281" w:rsidRDefault="008B2281" w:rsidP="008B2281">
      <w:r w:rsidRPr="008B2281">
        <w:rPr>
          <w:b/>
          <w:bCs/>
        </w:rPr>
        <w:t>Pergunta:</w:t>
      </w:r>
      <w:r w:rsidRPr="008B2281">
        <w:t xml:space="preserve"> Qual o nível de formação, anos de experiência, conhecimentos necessários etc. para cada colaborador da PPU?</w:t>
      </w:r>
      <w:r w:rsidRPr="008B2281">
        <w:br/>
      </w:r>
      <w:r w:rsidRPr="008B2281">
        <w:rPr>
          <w:b/>
          <w:bCs/>
        </w:rPr>
        <w:t>Resposta:</w:t>
      </w:r>
      <w:r w:rsidRPr="008B2281">
        <w:t xml:space="preserve"> Essas informações serão definidas em função da demanda da VIBRA para cada posto de serviço solicitado.</w:t>
      </w:r>
    </w:p>
    <w:p w14:paraId="5F369685" w14:textId="77777777" w:rsidR="008B2281" w:rsidRPr="008B2281" w:rsidRDefault="008B2281" w:rsidP="008B2281">
      <w:r w:rsidRPr="008B2281">
        <w:rPr>
          <w:b/>
          <w:bCs/>
        </w:rPr>
        <w:t>Pergunta:</w:t>
      </w:r>
      <w:r w:rsidRPr="008B2281">
        <w:t xml:space="preserve"> Os salários apresentados na DFP devem ser seguidos para a remuneração de todos os colaboradores da PPU?</w:t>
      </w:r>
      <w:r w:rsidRPr="008B2281">
        <w:br/>
      </w:r>
      <w:r w:rsidRPr="008B2281">
        <w:rPr>
          <w:b/>
          <w:bCs/>
        </w:rPr>
        <w:t>Resposta:</w:t>
      </w:r>
      <w:r w:rsidRPr="008B2281">
        <w:t xml:space="preserve"> Os salários indicados na DFP devem ser os mesmos considerados na PPU. Se na contratação de profissional para um posto de serviço solicitado pela VIBRA a PROPONENTE não conseguir encaixar exatamente o valor de salário indicado na DFP / PPU, a VIBRA fará a remuneração de forma proporcional, considerando os custos indicados pela PROPONENTE na DFP.</w:t>
      </w:r>
    </w:p>
    <w:p w14:paraId="4C395717" w14:textId="77777777" w:rsidR="008B2281" w:rsidRPr="008B2281" w:rsidRDefault="008B2281" w:rsidP="008B2281">
      <w:r w:rsidRPr="008B2281">
        <w:rPr>
          <w:b/>
          <w:bCs/>
        </w:rPr>
        <w:t>Pergunta:</w:t>
      </w:r>
      <w:r w:rsidRPr="008B2281">
        <w:t xml:space="preserve"> Na DFP, no item de periculosidade para o colaborador 2.1.1.D, existe o comentário que a periculosidade será paga apenas nos meses de exposição ao risco. Como a tarifa será definida sem periculosidade, como se dará a medição em meses de exposição ao risco?</w:t>
      </w:r>
      <w:r w:rsidRPr="008B2281">
        <w:br/>
      </w:r>
      <w:r w:rsidRPr="008B2281">
        <w:rPr>
          <w:b/>
          <w:bCs/>
        </w:rPr>
        <w:t>Resposta:</w:t>
      </w:r>
      <w:r w:rsidRPr="008B2281">
        <w:t xml:space="preserve"> A periculosidade em meses eventuais será </w:t>
      </w:r>
      <w:proofErr w:type="gramStart"/>
      <w:r w:rsidRPr="008B2281">
        <w:t>medidas</w:t>
      </w:r>
      <w:proofErr w:type="gramEnd"/>
      <w:r w:rsidRPr="008B2281">
        <w:t xml:space="preserve"> em item adicional </w:t>
      </w:r>
      <w:r w:rsidRPr="008B2281">
        <w:lastRenderedPageBreak/>
        <w:t xml:space="preserve">no BMS nos meses em que se fizer aplicável a periculosidade, de forma proporcional ao custo mensal especificado pela PROPONENTE na </w:t>
      </w:r>
      <w:proofErr w:type="gramStart"/>
      <w:r w:rsidRPr="008B2281">
        <w:t>DFP..</w:t>
      </w:r>
      <w:proofErr w:type="gramEnd"/>
    </w:p>
    <w:p w14:paraId="4ECEE0FA" w14:textId="77777777" w:rsidR="008B2281" w:rsidRPr="008B2281" w:rsidRDefault="008B2281" w:rsidP="008B2281">
      <w:r w:rsidRPr="008B2281">
        <w:rPr>
          <w:b/>
          <w:bCs/>
        </w:rPr>
        <w:t>Pergunta:</w:t>
      </w:r>
      <w:r w:rsidRPr="008B2281">
        <w:t xml:space="preserve"> Entendemos que o colaborador 2.1.1.A da DFP não fará jus ao adicional de periculosidade. Está correto nosso entendimento?</w:t>
      </w:r>
      <w:r w:rsidRPr="008B2281">
        <w:br/>
      </w:r>
      <w:r w:rsidRPr="008B2281">
        <w:rPr>
          <w:b/>
          <w:bCs/>
        </w:rPr>
        <w:t>Resposta:</w:t>
      </w:r>
      <w:r w:rsidRPr="008B2281">
        <w:t xml:space="preserve"> Correto.</w:t>
      </w:r>
    </w:p>
    <w:p w14:paraId="7199A591" w14:textId="77777777" w:rsidR="008B2281" w:rsidRPr="008B2281" w:rsidRDefault="008B2281" w:rsidP="008B2281">
      <w:pPr>
        <w:rPr>
          <w:vanish/>
        </w:rPr>
      </w:pPr>
      <w:r w:rsidRPr="008B2281">
        <w:rPr>
          <w:vanish/>
        </w:rPr>
        <w:t>Parte superior do formulário</w:t>
      </w:r>
    </w:p>
    <w:p w14:paraId="2E71A835" w14:textId="77777777" w:rsidR="008B2281" w:rsidRPr="008B2281" w:rsidRDefault="008B2281" w:rsidP="008B2281"/>
    <w:p w14:paraId="594ECEE5" w14:textId="77777777" w:rsidR="008B2281" w:rsidRPr="008B2281" w:rsidRDefault="008B2281" w:rsidP="008B2281">
      <w:pPr>
        <w:rPr>
          <w:vanish/>
        </w:rPr>
      </w:pPr>
      <w:r w:rsidRPr="008B2281">
        <w:rPr>
          <w:vanish/>
        </w:rPr>
        <w:t>Parte inferior do formulário</w:t>
      </w:r>
    </w:p>
    <w:p w14:paraId="0C9CEAF1" w14:textId="77777777" w:rsidR="008317CE" w:rsidRDefault="008317CE"/>
    <w:sectPr w:rsidR="008317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C6"/>
    <w:rsid w:val="002B3934"/>
    <w:rsid w:val="003B53F5"/>
    <w:rsid w:val="004C6244"/>
    <w:rsid w:val="007935C6"/>
    <w:rsid w:val="008317CE"/>
    <w:rsid w:val="008B2281"/>
    <w:rsid w:val="00AA0726"/>
    <w:rsid w:val="00B84A8A"/>
    <w:rsid w:val="00EF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DD452"/>
  <w15:chartTrackingRefBased/>
  <w15:docId w15:val="{88379506-BD02-45DD-9EAF-C48FDC6AB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3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3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3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3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3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3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3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3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3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3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3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3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35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35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3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35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3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3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3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3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3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3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35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35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35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3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35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3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d874d0-c552-4727-9c02-5b1c07c5b4b4">
      <Terms xmlns="http://schemas.microsoft.com/office/infopath/2007/PartnerControls"/>
    </lcf76f155ced4ddcb4097134ff3c332f>
    <TaxCatchAll xmlns="36b8e68b-7554-409c-85a4-5772116ca00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3C7FA26A0DEC4BB9340BCD00E554A6" ma:contentTypeVersion="11" ma:contentTypeDescription="Crie um novo documento." ma:contentTypeScope="" ma:versionID="d443e1b62c5aa5f5f3d763a1ddc3825f">
  <xsd:schema xmlns:xsd="http://www.w3.org/2001/XMLSchema" xmlns:xs="http://www.w3.org/2001/XMLSchema" xmlns:p="http://schemas.microsoft.com/office/2006/metadata/properties" xmlns:ns2="b9d874d0-c552-4727-9c02-5b1c07c5b4b4" xmlns:ns3="36b8e68b-7554-409c-85a4-5772116ca008" targetNamespace="http://schemas.microsoft.com/office/2006/metadata/properties" ma:root="true" ma:fieldsID="eec8dd06e2c71067efe58d316150ef09" ns2:_="" ns3:_="">
    <xsd:import namespace="b9d874d0-c552-4727-9c02-5b1c07c5b4b4"/>
    <xsd:import namespace="36b8e68b-7554-409c-85a4-5772116ca0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874d0-c552-4727-9c02-5b1c07c5b4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2007361-3871-486b-974f-54df117b5a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b8e68b-7554-409c-85a4-5772116ca0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186182e-1bce-44e6-a9f7-5dc816473d70}" ma:internalName="TaxCatchAll" ma:showField="CatchAllData" ma:web="36b8e68b-7554-409c-85a4-5772116ca0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09E5C9-FB12-4EDC-B3AD-D58C656E50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AB3FC5-37DA-4652-868F-A8CF8ACED3DD}">
  <ds:schemaRefs>
    <ds:schemaRef ds:uri="http://schemas.microsoft.com/office/2006/metadata/properties"/>
    <ds:schemaRef ds:uri="http://schemas.microsoft.com/office/infopath/2007/PartnerControls"/>
    <ds:schemaRef ds:uri="b9d874d0-c552-4727-9c02-5b1c07c5b4b4"/>
    <ds:schemaRef ds:uri="36b8e68b-7554-409c-85a4-5772116ca008"/>
  </ds:schemaRefs>
</ds:datastoreItem>
</file>

<file path=customXml/itemProps3.xml><?xml version="1.0" encoding="utf-8"?>
<ds:datastoreItem xmlns:ds="http://schemas.openxmlformats.org/officeDocument/2006/customXml" ds:itemID="{1B3D1E41-3C89-4FBE-AC1D-AFC0AFF49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d874d0-c552-4727-9c02-5b1c07c5b4b4"/>
    <ds:schemaRef ds:uri="36b8e68b-7554-409c-85a4-5772116ca0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414</Words>
  <Characters>2270</Characters>
  <Application>Microsoft Office Word</Application>
  <DocSecurity>0</DocSecurity>
  <Lines>44</Lines>
  <Paragraphs>9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Cristiane Souto de Almeida PFN</dc:creator>
  <cp:keywords/>
  <dc:description/>
  <cp:lastModifiedBy>Guilherme Sena Jesus FST</cp:lastModifiedBy>
  <cp:revision>4</cp:revision>
  <dcterms:created xsi:type="dcterms:W3CDTF">2026-03-25T17:21:00Z</dcterms:created>
  <dcterms:modified xsi:type="dcterms:W3CDTF">2026-03-26T16:59:00Z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0x010100663C7FA26A0DEC4BB9340BCD00E554A6</vt:lpwstr>
  </property>
  <property fmtid="{D5CDD505-2E9C-101B-9397-08002B2CF9AE}" pid="3" name="MediaServiceImageTags">
    <vt:lpwstr/>
  </property>
</Properties>
</file>