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UNIVERSIDAD NACIONAL MAYOR DE SAN MARCOS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FACULTAD DE INGENIERÍA DE SISTEMAS E INFORMÁTICA </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EAP. DE INGENIERÍA DE SISTEMAS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Desarrollo de un Framework de Big Data para la detección de la Depresión en adolescentes.</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AUTOR:</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Joel John Regalado Morales</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8" w:right="0" w:hanging="708"/>
        <w:contextualSpacing w:val="1"/>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Antecedentes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es un trastorno mental común, que incluye tristeza persistente o pérdida de interés o placer acompañado de varios de los siguientes síntomas: sueño o apetito perturbado, sentimientos de culpa o baja autoestima, sensación de cansancio, mala concentración, dificultad para tomar decisiones, agitación O inquietud física, hablando o moviéndose más lentamente de lo normal, desesperanza, y pensamientos o actos suicidas. Los períodos de depresión pueden ser duraderos o pueden ir y venir durante diferentes períodos de tiempo. (WHO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Anteriormente, la teoría psicoanalítica y psicológica tradicional propuso que todos los adolescentes tenían períodos de depresión porque experimentan conflictos dentro de sí mismos comúnmente denominados "trastornos de la adolescencia". Se creía que esto era una etapa normal de desarrollo. G. Stanley Hall (1904)  Creía que los adolescentes normales experimentaban oscilaciones de ánimo anchas y un funcionamiento variable, pero que esto no significaba psicopatología. Más recientemente, estudios han refutado la opinión de que la agitación de los adolescentes es normativa. Los adolescentes tienen periodos de sentirse solos, aislados de sus compañeros, conflictos de experiencia con la familia y los profesores, pero para la mayoría de los adolescentes, estos períodos no persisten durante un período significativo de tiempo o deterioran gravemente el desenvolvimiento.  (Mulfon Laura 2004)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en adolescentes ha adquirido gran notoriedad en los últimos años, llegando a ser considerada como un problema de salud pública por su frecuencia creciente y por las consecuencias que derivan de esta. La comunidad científica reconoció oficialmente su existencia recién en 1970, durante el 4º Congreso de la Unión Europea de Paidopsiquiatras realizada en la ciudad de Estocolmo, abriéndose nuevos retos que fueron y deben ser investigados para su mejor compresión y adecuado tratamiento (INSM HD – HN,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Existen diversas investigaciones que proponen el diseño, desarrollo y aplicación de sistemas para la detección y evaluación de la depresión en adolescentes, las cuales se detallara en el capítulo 2.</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Problemas</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tener un episodio depresivo durante una etapa donde se define la formación personal,  tiene consecuencias a largo plazo en muchos ámbitos de la vida. Las personas que padecen depresión en la adolescencia, generalmente implica tener una vida adulta con menos amistades, menos redes de apoyo, mayor estrés y menor alcance educaciones, ocupacional y económico.</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General </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El objetivo general es desarrollar un framwork basado en las técnicas de big data para la detección de la depresión en adolescentes.</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Específico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224"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Revisar los métodos y técnicas empleados para el diagnóstico de la depresión en adolescentes.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Revisar las técnicas del Big Data para el análisis predictivo.</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Validar y determinar la eficiencia del framework desarrollado.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Justificación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 y Limitaciones</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Limitaciones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CAPÍTULO II: ESTADO DEL ARTE</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REFERENCIAS BIBLIOGRAFICAS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Prevalencia y Factores asociados con el episodio depresivo en adolescentes de la población urbana de tres ciudades en la sierra peruana 2003, INSM HD – HN 2013, Lima-Perú</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World Health Organization and Columbia University. Group Interpersonal Therapy (IPT) for Depression (WHO generic field-trial version 1.0). Geneva, WHO, 2016.</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Mufson Laura, Pollack, Moreau, MyrnaINTERPERSONAL PSYCHOTHERAPY FOR DEPRESSED ADOLESCENTS, The Guilfor Press 2004</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APA, Manual Diagnostico y Estadístico de los Trastorno Mentales 5ta edición, Editorial Médica Panamericana, (2014), Madrid-España.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2"/>
          <w:szCs w:val="22"/>
          <w:u w:val="none"/>
          <w:shd w:fill="auto" w:val="clear"/>
          <w:vertAlign w:val="baseline"/>
        </w:rPr>
      </w:pPr>
      <w:hyperlink r:id="rId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http://www.insm.gob.pe/investigacion/archivos/SSMP/2012-SSMP/#/6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visitada: 22/05/2017 </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Arial" w:cs="Arial" w:eastAsia="Arial" w:hAnsi="Arial"/>
      </w:rPr>
    </w:lvl>
    <w:lvl w:ilvl="2">
      <w:start w:val="1"/>
      <w:numFmt w:val="bullet"/>
      <w:lvlText w:val="▪"/>
      <w:lvlJc w:val="left"/>
      <w:pPr>
        <w:ind w:left="2508" w:hanging="360"/>
      </w:pPr>
      <w:rPr>
        <w:rFonts w:ascii="Arial" w:cs="Arial" w:eastAsia="Arial" w:hAnsi="Arial"/>
      </w:rPr>
    </w:lvl>
    <w:lvl w:ilvl="3">
      <w:start w:val="1"/>
      <w:numFmt w:val="bullet"/>
      <w:lvlText w:val="●"/>
      <w:lvlJc w:val="left"/>
      <w:pPr>
        <w:ind w:left="3228" w:hanging="360"/>
      </w:pPr>
      <w:rPr>
        <w:rFonts w:ascii="Arial" w:cs="Arial" w:eastAsia="Arial" w:hAnsi="Arial"/>
      </w:rPr>
    </w:lvl>
    <w:lvl w:ilvl="4">
      <w:start w:val="1"/>
      <w:numFmt w:val="bullet"/>
      <w:lvlText w:val="o"/>
      <w:lvlJc w:val="left"/>
      <w:pPr>
        <w:ind w:left="3948" w:hanging="360"/>
      </w:pPr>
      <w:rPr>
        <w:rFonts w:ascii="Arial" w:cs="Arial" w:eastAsia="Arial" w:hAnsi="Arial"/>
      </w:rPr>
    </w:lvl>
    <w:lvl w:ilvl="5">
      <w:start w:val="1"/>
      <w:numFmt w:val="bullet"/>
      <w:lvlText w:val="▪"/>
      <w:lvlJc w:val="left"/>
      <w:pPr>
        <w:ind w:left="4668" w:hanging="360"/>
      </w:pPr>
      <w:rPr>
        <w:rFonts w:ascii="Arial" w:cs="Arial" w:eastAsia="Arial" w:hAnsi="Arial"/>
      </w:rPr>
    </w:lvl>
    <w:lvl w:ilvl="6">
      <w:start w:val="1"/>
      <w:numFmt w:val="bullet"/>
      <w:lvlText w:val="●"/>
      <w:lvlJc w:val="left"/>
      <w:pPr>
        <w:ind w:left="5388" w:hanging="360"/>
      </w:pPr>
      <w:rPr>
        <w:rFonts w:ascii="Arial" w:cs="Arial" w:eastAsia="Arial" w:hAnsi="Arial"/>
      </w:rPr>
    </w:lvl>
    <w:lvl w:ilvl="7">
      <w:start w:val="1"/>
      <w:numFmt w:val="bullet"/>
      <w:lvlText w:val="o"/>
      <w:lvlJc w:val="left"/>
      <w:pPr>
        <w:ind w:left="6108" w:hanging="360"/>
      </w:pPr>
      <w:rPr>
        <w:rFonts w:ascii="Arial" w:cs="Arial" w:eastAsia="Arial" w:hAnsi="Arial"/>
      </w:rPr>
    </w:lvl>
    <w:lvl w:ilvl="8">
      <w:start w:val="1"/>
      <w:numFmt w:val="bullet"/>
      <w:lvlText w:val="▪"/>
      <w:lvlJc w:val="left"/>
      <w:pPr>
        <w:ind w:left="6828" w:hanging="360"/>
      </w:pPr>
      <w:rPr>
        <w:rFonts w:ascii="Arial" w:cs="Arial" w:eastAsia="Arial" w:hAnsi="Arial"/>
      </w:rPr>
    </w:lvl>
  </w:abstractNum>
  <w:abstractNum w:abstractNumId="2">
    <w:lvl w:ilvl="0">
      <w:start w:val="1"/>
      <w:numFmt w:val="upperRoman"/>
      <w:lvlText w:val="CAPÍTULO %1 :"/>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sm.gob.pe/investigacion/archivos/SSMP/2012-SSMP/#/6" TargetMode="External"/></Relationships>
</file>