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80"/>
        <w:jc w:val="center"/>
        <w:rPr/>
      </w:pPr>
      <w:r>
        <w:rPr>
          <w:rFonts w:eastAsia="Calibri" w:cs="Calibri" w:ascii="Calibri" w:hAnsi="Calibri"/>
          <w:b/>
          <w:bCs/>
          <w:i w:val="false"/>
          <w:iCs w:val="false"/>
          <w:sz w:val="24"/>
          <w:szCs w:val="24"/>
        </w:rPr>
        <w:t xml:space="preserve">-Contabilidad de la Muerte </w:t>
      </w:r>
      <w:r>
        <w:rPr>
          <w:rFonts w:eastAsia="Calibri" w:cs="Calibri" w:ascii="Calibri" w:hAnsi="Calibri"/>
          <w:b/>
          <w:bCs/>
          <w:i w:val="false"/>
          <w:iCs w:val="false"/>
          <w:sz w:val="24"/>
          <w:szCs w:val="24"/>
        </w:rPr>
        <w:t>cierre 2026</w:t>
      </w:r>
      <w:r>
        <w:rPr>
          <w:rFonts w:eastAsia="Calibri" w:cs="Calibri" w:ascii="Calibri" w:hAnsi="Calibri"/>
          <w:b/>
          <w:bCs/>
          <w:i w:val="false"/>
          <w:iCs w:val="false"/>
          <w:sz w:val="24"/>
          <w:szCs w:val="24"/>
        </w:rPr>
        <w:t xml:space="preserve">, </w:t>
      </w:r>
      <w:r>
        <w:rPr>
          <w:rFonts w:eastAsia="Calibri" w:cs="Calibri" w:ascii="Calibri" w:hAnsi="Calibri"/>
          <w:b/>
          <w:bCs/>
          <w:i w:val="false"/>
          <w:iCs w:val="false"/>
          <w:sz w:val="24"/>
          <w:szCs w:val="24"/>
        </w:rPr>
        <w:t>Paquete Económico 2027</w:t>
      </w:r>
      <w:r>
        <w:rPr>
          <w:rFonts w:eastAsia="Calibri" w:cs="Calibri" w:ascii="Calibri" w:hAnsi="Calibri"/>
          <w:b/>
          <w:bCs/>
          <w:i w:val="false"/>
          <w:iCs w:val="false"/>
          <w:sz w:val="24"/>
          <w:szCs w:val="24"/>
        </w:rPr>
        <w:t xml:space="preserve">-  </w:t>
      </w:r>
    </w:p>
    <w:p>
      <w:pPr>
        <w:pStyle w:val="Normal"/>
        <w:spacing w:before="0" w:after="180"/>
        <w:jc w:val="right"/>
        <w:rPr/>
      </w:pPr>
      <w:r>
        <w:rPr>
          <w:rFonts w:eastAsia="Calibri" w:cs="Calibri" w:ascii="Calibri" w:hAnsi="Calibri"/>
          <w:b/>
          <w:bCs/>
          <w:i w:val="false"/>
          <w:iCs w:val="false"/>
          <w:sz w:val="24"/>
          <w:szCs w:val="24"/>
        </w:rPr>
        <w:t>por Héctor Juan Villarreal Páez</w:t>
      </w:r>
    </w:p>
    <w:p>
      <w:pPr>
        <w:pStyle w:val="Normal"/>
        <w:spacing w:before="0" w:after="180"/>
        <w:jc w:val="center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Gasto = Ingresos + Endeudamiento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Gasto Programable + Gasto No-Programable = Ingresos + Endeudamiento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Gasto No Programable = Costo Financiero + Participaciones + Adefas y otros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Ingresos = Tributarios + No Tributarios + Organismos Empresas + Petroleros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Petroleros = Pemex + Fondo Mexicano Petróleo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Ahora imaginemos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Gasto Programable = Pensiones (incluyendo PBAM) + Apoyos Pemex + El Resto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¿Qué ocurre cuando los Apoyos Pemex = FMP?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Sigue ocurriendo. Las transferencias del Fondo son 0.7% del PIB; las aportaciones patrimoniales a Pemex, otro 0.5%. Lo que cambió es su registro: una parte importante de los apoyos aparece ahora como inversión financiera y pierde visibilidad dentro de las grandes líneas del gasto. En términos de magnitud se compensan en buena parte, pero la nueva clasificación hace mucho menos transparente esa relación.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Ingresos Disponibles = Tributarios + No Tributarios + Organismos Empresas (CFE, IMSS e ISSSTE)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No Tributarios = Aprovechamientos + Derechos + Productos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Asumiendo: Tributarios = 15.7%   No Tributarios = 1.1%   Organismos Empresas = 3.5% (todo PIB), Ingresos Disponibles = 20.3% del PIB.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Organismos Empresas = Cuotas destinadas a salud + uso propio = 1.4% + 2.1%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Gasto Programable – Pemex = Ingresos Disponibles – Gasto No Programable + Endeudamiento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Asumiendo Gasto No Programable = 8.2% del PIB (costo financiero 3.8, participaciones 4.2, Adefas 0.2), Pensiones 6.1% y el uso propio de los Organismos Empresas: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/>
          <w:bCs/>
          <w:i w:val="false"/>
          <w:iCs w:val="false"/>
          <w:sz w:val="24"/>
          <w:szCs w:val="24"/>
        </w:rPr>
        <w:t>Política Pública (sin Pemex, Pensiones y la operación de Organismos Empresas) =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/>
          <w:bCs/>
          <w:i w:val="false"/>
          <w:iCs w:val="false"/>
          <w:sz w:val="24"/>
          <w:szCs w:val="24"/>
        </w:rPr>
        <w:t>20.3% - 8.2% - 6.1% - 2.1% + Endeudamiento = 4.0% + Endeudamiento = Bolsa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Bolsa incluye salud, educación, infraestructura, seguridad, cuidados, operación del gobierno, etcétera.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¿De qué tamaño será nuestro endeudamiento?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/>
          <w:bCs/>
          <w:i w:val="false"/>
          <w:iCs w:val="false"/>
          <w:sz w:val="24"/>
          <w:szCs w:val="24"/>
        </w:rPr>
        <w:t>Viene un paquete económico 2027 precario y triste.</w:t>
      </w:r>
    </w:p>
    <w:p>
      <w:pPr>
        <w:pStyle w:val="Normal"/>
        <w:spacing w:before="0" w:after="180"/>
        <w:jc w:val="left"/>
        <w:rPr>
          <w:sz w:val="16"/>
          <w:szCs w:val="16"/>
        </w:rPr>
      </w:pPr>
      <w:r>
        <w:rPr>
          <w:rFonts w:eastAsia="Calibri" w:cs="Calibri" w:ascii="Calibri" w:hAnsi="Calibri"/>
          <w:b w:val="false"/>
          <w:bCs w:val="false"/>
          <w:i/>
          <w:iCs/>
          <w:sz w:val="16"/>
          <w:szCs w:val="16"/>
        </w:rPr>
        <w:t>Fuentes: SHCP, Información de Finanzas Públicas y Deuda Pública, enero-septiembre 2026 (cifras anuales estimadas 2026); Criterios Generales de Política Económica 2027, Anexo II.6; PEF 2026. PIB nominal 2026 de 36,500 mmdp.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97</TotalTime>
  <Application>LibreOffice/24.2.7.2$Linux_X86_64 LibreOffice_project/420$Build-2</Application>
  <AppVersion>15.0000</AppVersion>
  <Pages>1</Pages>
  <Words>306</Words>
  <Characters>1729</Characters>
  <CharactersWithSpaces>2020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2026-09-05T20:37:18Z</dcterms:created>
  <dc:creator>Un-named</dc:creator>
  <dc:description/>
  <dc:language>en-US</dc:language>
  <cp:lastModifiedBy/>
  <dcterms:modified xsi:type="dcterms:W3CDTF">2026-09-05T16:49:02Z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