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F50D" w14:textId="77777777" w:rsidR="005D489F" w:rsidRDefault="005D489F"/>
    <w:p w14:paraId="40EDCB3D" w14:textId="77777777" w:rsidR="005D489F" w:rsidRDefault="005D489F"/>
    <w:p w14:paraId="7D9AC2FD" w14:textId="77777777" w:rsidR="005D489F" w:rsidRDefault="00000000">
      <w:pPr>
        <w:rPr>
          <w:rFonts w:ascii="Times New Roman" w:eastAsia="Aptos Display" w:hAnsi="Times New Roman" w:cs="Times New Roman"/>
          <w:sz w:val="40"/>
          <w:szCs w:val="40"/>
        </w:rPr>
      </w:pPr>
      <w:r>
        <w:rPr>
          <w:rFonts w:ascii="Times New Roman" w:eastAsia="Aptos Display" w:hAnsi="Times New Roman" w:cs="Times New Roman"/>
          <w:b/>
          <w:bCs/>
          <w:sz w:val="40"/>
          <w:szCs w:val="40"/>
        </w:rPr>
        <w:t>Is Health a Blessing? The Macroeconomic Effects of Health Conditions</w:t>
      </w:r>
    </w:p>
    <w:p w14:paraId="35377054" w14:textId="77777777" w:rsidR="005D489F" w:rsidRDefault="00000000">
      <w:pPr>
        <w:rPr>
          <w:rFonts w:ascii="Times New Roman" w:hAnsi="Times New Roman" w:cs="Times New Roman"/>
          <w:b/>
          <w:bCs/>
          <w:sz w:val="24"/>
          <w:szCs w:val="24"/>
        </w:rPr>
      </w:pPr>
      <w:r>
        <w:rPr>
          <w:rFonts w:ascii="Times New Roman" w:hAnsi="Times New Roman" w:cs="Times New Roman"/>
          <w:b/>
          <w:bCs/>
          <w:sz w:val="24"/>
          <w:szCs w:val="24"/>
        </w:rPr>
        <w:t>Mexico as case study</w:t>
      </w:r>
    </w:p>
    <w:p w14:paraId="2ADD0947" w14:textId="77777777" w:rsidR="005D489F" w:rsidRDefault="005D489F">
      <w:pPr>
        <w:rPr>
          <w:rFonts w:ascii="Times New Roman" w:hAnsi="Times New Roman" w:cs="Times New Roman"/>
        </w:rPr>
      </w:pPr>
    </w:p>
    <w:p w14:paraId="7CB9BC8F" w14:textId="77777777" w:rsidR="005D489F" w:rsidRDefault="00000000">
      <w:pPr>
        <w:rPr>
          <w:rFonts w:ascii="Times New Roman" w:hAnsi="Times New Roman" w:cs="Times New Roman"/>
          <w:b/>
          <w:bCs/>
        </w:rPr>
      </w:pPr>
      <w:r>
        <w:rPr>
          <w:rFonts w:ascii="Times New Roman" w:hAnsi="Times New Roman" w:cs="Times New Roman"/>
          <w:b/>
          <w:bCs/>
        </w:rPr>
        <w:t>Abstract</w:t>
      </w:r>
    </w:p>
    <w:p w14:paraId="7AF4B5C6" w14:textId="77777777" w:rsidR="0046000B" w:rsidRDefault="00000000">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research develops a dynamic and stochastic partial equilibrium model with overlapping generations to simulate the effects of health condition, whether good or poor, on household consumption and indebtedness. While fiscal imbalances caused by pension system structures are currently a pressing issue, the effects of population health status will increasingly become evident in a country’s economy, particularly in consumption levels and indebtedness due to higher healthcare expenditures. Household savings levels would be under pressure to cope with unexpected expenses such as out-of-pocket health expenditures. In the model, these out-of-pocket expenses are covered through a subsidy, and </w:t>
      </w:r>
      <w:r w:rsidR="0046000B" w:rsidRPr="0046000B">
        <w:rPr>
          <w:rFonts w:ascii="Times New Roman" w:hAnsi="Times New Roman" w:cs="Times New Roman"/>
          <w:sz w:val="24"/>
          <w:szCs w:val="24"/>
        </w:rPr>
        <w:t>the government does not directly provide health services but operates a transfer scheme that partially insures households against catastrophic out-of-pocket health expenditures.</w:t>
      </w:r>
      <w:r w:rsidR="0046000B" w:rsidRPr="0046000B">
        <w:rPr>
          <w:rFonts w:ascii="Times New Roman" w:hAnsi="Times New Roman" w:cs="Times New Roman"/>
          <w:sz w:val="24"/>
          <w:szCs w:val="24"/>
        </w:rPr>
        <w:t xml:space="preserve"> </w:t>
      </w:r>
    </w:p>
    <w:p w14:paraId="64F67700" w14:textId="1C5B706D" w:rsidR="005D489F" w:rsidRDefault="00000000">
      <w:pPr>
        <w:spacing w:line="240" w:lineRule="auto"/>
        <w:jc w:val="both"/>
        <w:rPr>
          <w:rFonts w:ascii="Times New Roman" w:hAnsi="Times New Roman" w:cs="Times New Roman"/>
          <w:sz w:val="24"/>
          <w:szCs w:val="24"/>
        </w:rPr>
      </w:pPr>
      <w:r>
        <w:rPr>
          <w:rFonts w:ascii="Times New Roman" w:hAnsi="Times New Roman" w:cs="Times New Roman"/>
          <w:sz w:val="24"/>
          <w:szCs w:val="24"/>
        </w:rPr>
        <w:t>In order to show the model’s capabilities, México will be used as case study.  The results display a consumption pattern gap that worsens due to poor health conditions. Additionally, income levels stagnate around the same age at which the proportion of health-related expenditure needs begin to rise and increase relative to income levels. Long-term fiscal sustainability is at risk, not only due to the lack of current attention, but also resources allocated to adults and elderly could limit investment in the health of new generations, thereby compromising human capital in the future.</w:t>
      </w:r>
    </w:p>
    <w:p w14:paraId="5E401849" w14:textId="77777777" w:rsidR="005D489F" w:rsidRDefault="005D489F">
      <w:pPr>
        <w:spacing w:line="240" w:lineRule="auto"/>
        <w:rPr>
          <w:rFonts w:ascii="Times New Roman" w:hAnsi="Times New Roman" w:cs="Times New Roman"/>
          <w:sz w:val="24"/>
          <w:szCs w:val="24"/>
        </w:rPr>
      </w:pPr>
    </w:p>
    <w:p w14:paraId="5BF087D4" w14:textId="77777777" w:rsidR="005D489F" w:rsidRDefault="00000000">
      <w:pPr>
        <w:spacing w:line="240" w:lineRule="auto"/>
        <w:rPr>
          <w:rFonts w:ascii="Times New Roman" w:hAnsi="Times New Roman" w:cs="Times New Roman"/>
          <w:sz w:val="24"/>
          <w:szCs w:val="24"/>
        </w:rPr>
      </w:pPr>
      <w:r>
        <w:rPr>
          <w:rFonts w:ascii="Times New Roman" w:hAnsi="Times New Roman" w:cs="Times New Roman"/>
          <w:b/>
          <w:bCs/>
          <w:sz w:val="24"/>
          <w:szCs w:val="24"/>
        </w:rPr>
        <w:t>Keywords:</w:t>
      </w:r>
      <w:r>
        <w:rPr>
          <w:rFonts w:ascii="Times New Roman" w:hAnsi="Times New Roman" w:cs="Times New Roman"/>
          <w:sz w:val="24"/>
          <w:szCs w:val="24"/>
        </w:rPr>
        <w:t xml:space="preserve"> Macroeconomic equilibrium; Health; Aging; Out-of-pocket expenditures; Overlapping generations; Mexico</w:t>
      </w:r>
    </w:p>
    <w:p w14:paraId="3597ABA7" w14:textId="77777777" w:rsidR="005D489F" w:rsidRDefault="005D489F">
      <w:pPr>
        <w:spacing w:line="240" w:lineRule="auto"/>
      </w:pPr>
    </w:p>
    <w:p w14:paraId="16A10521" w14:textId="77777777" w:rsidR="005D489F" w:rsidRDefault="005D489F">
      <w:pPr>
        <w:spacing w:line="240" w:lineRule="auto"/>
        <w:rPr>
          <w:rFonts w:ascii="Times New Roman" w:hAnsi="Times New Roman" w:cs="Times New Roman"/>
        </w:rPr>
      </w:pPr>
    </w:p>
    <w:p w14:paraId="3A4E8633" w14:textId="77777777" w:rsidR="005D489F" w:rsidRDefault="005D489F">
      <w:pPr>
        <w:spacing w:line="240" w:lineRule="auto"/>
        <w:rPr>
          <w:rFonts w:ascii="Times New Roman" w:hAnsi="Times New Roman" w:cs="Times New Roman"/>
        </w:rPr>
      </w:pPr>
    </w:p>
    <w:p w14:paraId="717F29BE" w14:textId="77777777" w:rsidR="005D489F" w:rsidRDefault="005D489F">
      <w:pPr>
        <w:spacing w:line="240" w:lineRule="auto"/>
        <w:rPr>
          <w:rFonts w:ascii="Times New Roman" w:hAnsi="Times New Roman" w:cs="Times New Roman"/>
        </w:rPr>
      </w:pPr>
    </w:p>
    <w:p w14:paraId="36714859" w14:textId="77777777" w:rsidR="005D489F" w:rsidRDefault="005D489F">
      <w:pPr>
        <w:spacing w:line="240" w:lineRule="auto"/>
        <w:rPr>
          <w:rFonts w:ascii="Times New Roman" w:hAnsi="Times New Roman" w:cs="Times New Roman"/>
        </w:rPr>
      </w:pPr>
    </w:p>
    <w:p w14:paraId="32F14E95" w14:textId="77777777" w:rsidR="005D489F" w:rsidRDefault="00000000">
      <w:pPr>
        <w:tabs>
          <w:tab w:val="left" w:pos="1840"/>
        </w:tabs>
        <w:spacing w:line="240" w:lineRule="auto"/>
        <w:rPr>
          <w:rFonts w:ascii="Times New Roman" w:hAnsi="Times New Roman" w:cs="Times New Roman"/>
        </w:rPr>
      </w:pPr>
      <w:r>
        <w:rPr>
          <w:rFonts w:ascii="Times New Roman" w:hAnsi="Times New Roman" w:cs="Times New Roman"/>
        </w:rPr>
        <w:tab/>
      </w:r>
    </w:p>
    <w:p w14:paraId="6E607235" w14:textId="77777777" w:rsidR="005D489F" w:rsidRDefault="005D489F">
      <w:pPr>
        <w:pStyle w:val="Heading1"/>
        <w:numPr>
          <w:ilvl w:val="0"/>
          <w:numId w:val="0"/>
        </w:numPr>
        <w:ind w:left="432" w:hanging="144"/>
      </w:pPr>
    </w:p>
    <w:p w14:paraId="050A516B" w14:textId="77777777" w:rsidR="005D489F" w:rsidRDefault="00000000">
      <w:pPr>
        <w:pStyle w:val="Heading1"/>
      </w:pPr>
      <w:r>
        <w:t>Introduction</w:t>
      </w:r>
    </w:p>
    <w:p w14:paraId="77E23A94" w14:textId="77777777" w:rsidR="005D489F" w:rsidRDefault="0000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Health is a key resource for human development and changes throughout the life cycle  (OPS, 2024). Demographic changes, characterized by an aging population and declining birth rates, place great pressure on social security systems and healthcare costs (IMF, 2016) (Dougherty, S., &amp; Lorenzoni, 2022). When considering existing inequalities and gaps within population groups, particularly in terms of care needs, investment, or financing, the challenge becomes even greater  (CIEP, 2018). </w:t>
      </w:r>
    </w:p>
    <w:p w14:paraId="3CEE2F42" w14:textId="77777777" w:rsidR="005D489F" w:rsidRDefault="00000000">
      <w:pPr>
        <w:spacing w:before="240"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Analyzing isolated variables has underestimated the impact of health on national development. Presenting how health status affects macroeconomic variables such as consumption and its interactions with the labor market, allows measuring the importance of investing in healthier societies. The primary motivation for this research stems from observed trends over the past ten years, revealing low and uneven investment in the health sector, coupled with an increase in private healthcare services and higher household out-of-pocket expenses (CIEP, 2018), (Haakenstad et al., 2023). </w:t>
      </w:r>
    </w:p>
    <w:p w14:paraId="1897DB9C" w14:textId="77777777" w:rsidR="005D489F" w:rsidRDefault="00000000">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In terms of fiscal sustainability, chronic diseases exert a greater financial burden on the health system, particularly diabetes. Latin America shows high diabetes rates globally. While the OECD member countries have an average of 7% of the population living with diabetes, in Costa Rica it comes to 9.8%, in Panama 11%, and Mexico with a substantial 16.9% of population (OCDE, 2023).  Furthermore, Mexico’s per capita public health expenditure is 626 USD PPP, which is half of what countries in the region such as Chile, Colombia, Costa Rica, or Panama allocate. This level is close to that of South Africa, which spends 603 USD PPP (OCDE, 2023).</w:t>
      </w:r>
    </w:p>
    <w:p w14:paraId="14D0A0FA" w14:textId="77777777" w:rsidR="005D489F" w:rsidRDefault="00000000" w:rsidP="00D8684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Latin America faces complex challenges, not only due to population aging, but its healthcare systems also struggle to achieve universal coverage and equitable access while maintaining relatively low public health expenditures. These should encourage further research and debate on the potential benefits of adopting a life-cycle approach to healthcare and promoting greater investment in the health sector, which would lead to healthier societies capable of contributing efficiently to both the economies and labor markets.</w:t>
      </w:r>
    </w:p>
    <w:p w14:paraId="22BC5E3B" w14:textId="77777777" w:rsidR="005D489F" w:rsidRDefault="00000000">
      <w:pPr>
        <w:spacing w:before="240"/>
        <w:rPr>
          <w:sz w:val="24"/>
          <w:szCs w:val="24"/>
        </w:rPr>
      </w:pPr>
      <w:r>
        <w:rPr>
          <w:noProof/>
        </w:rPr>
        <w:lastRenderedPageBreak/>
        <w:drawing>
          <wp:inline distT="0" distB="0" distL="0" distR="0" wp14:anchorId="454603D9" wp14:editId="2A0E88B4">
            <wp:extent cx="5612130" cy="2257425"/>
            <wp:effectExtent l="0" t="0" r="0" b="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F77B4E2" w14:textId="79405585" w:rsidR="005D489F" w:rsidRDefault="00000000">
      <w:pPr>
        <w:spacing w:before="24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This study explores the impact of health conditions, whether good or poor, on macroeconomic variables such as consumption, </w:t>
      </w:r>
      <w:r w:rsidR="00AF0069" w:rsidRPr="00AF0069">
        <w:rPr>
          <w:rFonts w:ascii="Times New Roman" w:hAnsi="Times New Roman" w:cs="Times New Roman"/>
          <w:sz w:val="24"/>
          <w:szCs w:val="24"/>
        </w:rPr>
        <w:t>fiscal sustainability</w:t>
      </w:r>
      <w:r>
        <w:rPr>
          <w:rFonts w:ascii="Times New Roman" w:hAnsi="Times New Roman" w:cs="Times New Roman"/>
          <w:sz w:val="24"/>
          <w:szCs w:val="24"/>
        </w:rPr>
        <w:t>, and the labor market. Section two, -Methods- presents a partial macroeconomic equilibrium model with overlapping generations.  Section three portraits the empirical strategy, including parametrization for Mexico. Results are shown in the fourth section. The final section discusses findings and extensions. Global burdens in health expenditures for three Latin American countries are included in the appendix, they should motivate future research.</w:t>
      </w:r>
    </w:p>
    <w:p w14:paraId="1E630577" w14:textId="77777777" w:rsidR="005D489F" w:rsidRDefault="00000000">
      <w:pPr>
        <w:pStyle w:val="Heading1"/>
      </w:pPr>
      <w:r>
        <w:t>Methods</w:t>
      </w:r>
    </w:p>
    <w:p w14:paraId="57D56505" w14:textId="77777777" w:rsidR="005D489F" w:rsidRDefault="00000000">
      <w:pPr>
        <w:pStyle w:val="NormalWeb"/>
        <w:spacing w:before="0" w:beforeAutospacing="0" w:line="360" w:lineRule="auto"/>
      </w:pPr>
      <w:r>
        <w:t>The overlapping generations model (OLG) of heterogeneous agents is one of the main approaches used to analyze fiscal policy changes. Unlike infinite-horizon representative agent models, this approach allows the incorporation of:</w:t>
      </w:r>
    </w:p>
    <w:p w14:paraId="309152E6" w14:textId="40599697" w:rsidR="005D489F" w:rsidRDefault="00000000">
      <w:pPr>
        <w:pStyle w:val="NormalWeb"/>
        <w:numPr>
          <w:ilvl w:val="0"/>
          <w:numId w:val="12"/>
        </w:numPr>
        <w:spacing w:line="360" w:lineRule="auto"/>
        <w:ind w:left="720" w:hanging="480"/>
      </w:pPr>
      <w:r>
        <w:rPr>
          <w:rStyle w:val="Strong"/>
          <w:rFonts w:eastAsia="Aptos Display"/>
        </w:rPr>
        <w:t xml:space="preserve">Life-cycle properties, </w:t>
      </w:r>
      <w:r>
        <w:t>which are important for determining savings and labor supply decisions.</w:t>
      </w:r>
    </w:p>
    <w:p w14:paraId="5226127A" w14:textId="77777777" w:rsidR="005D489F" w:rsidRDefault="00000000">
      <w:pPr>
        <w:pStyle w:val="NormalWeb"/>
        <w:numPr>
          <w:ilvl w:val="0"/>
          <w:numId w:val="12"/>
        </w:numPr>
        <w:spacing w:line="360" w:lineRule="auto"/>
        <w:ind w:left="720" w:hanging="480"/>
      </w:pPr>
      <w:r>
        <w:rPr>
          <w:rStyle w:val="Strong"/>
          <w:rFonts w:eastAsia="Aptos Display"/>
        </w:rPr>
        <w:t>Intragenerational household heterogeneity</w:t>
      </w:r>
      <w:r>
        <w:t>, necessary to analyze the impact of policy changes on income and wealth distribution.</w:t>
      </w:r>
    </w:p>
    <w:p w14:paraId="199FB2C1" w14:textId="77777777" w:rsidR="005D489F" w:rsidRDefault="00000000">
      <w:pPr>
        <w:pStyle w:val="NormalWeb"/>
        <w:numPr>
          <w:ilvl w:val="0"/>
          <w:numId w:val="12"/>
        </w:numPr>
        <w:spacing w:line="360" w:lineRule="auto"/>
        <w:ind w:left="720" w:hanging="480"/>
      </w:pPr>
      <w:r>
        <w:rPr>
          <w:rStyle w:val="Strong"/>
          <w:rFonts w:eastAsia="Aptos Display"/>
        </w:rPr>
        <w:t>Intergenerational household heterogeneity</w:t>
      </w:r>
      <w:r>
        <w:t>, crucial for studying tax schedules and their effects on intergenerational distribution.</w:t>
      </w:r>
    </w:p>
    <w:p w14:paraId="224D1DDC" w14:textId="003665F5" w:rsidR="0066496E" w:rsidRDefault="00D86840" w:rsidP="0066496E">
      <w:pPr>
        <w:spacing w:line="360" w:lineRule="auto"/>
        <w:jc w:val="both"/>
        <w:rPr>
          <w:rFonts w:ascii="Times New Roman" w:hAnsi="Times New Roman" w:cs="Times New Roman"/>
          <w:sz w:val="24"/>
          <w:szCs w:val="24"/>
        </w:rPr>
      </w:pPr>
      <w:r w:rsidRPr="00D86840">
        <w:rPr>
          <w:rFonts w:ascii="Times New Roman" w:eastAsia="Times New Roman" w:hAnsi="Times New Roman" w:cs="Times New Roman"/>
          <w:color w:val="000000"/>
          <w:sz w:val="24"/>
          <w:szCs w:val="24"/>
        </w:rPr>
        <w:t xml:space="preserve">A class of OLG models incorporates uncertainty in the form of idiosyncratic household-level shocks, such as labor income or longevity risks, while aggregate variables remain deterministic. These shocks affect agents differently, leading to heterogeneous responses </w:t>
      </w:r>
      <w:r w:rsidRPr="00D86840">
        <w:rPr>
          <w:rFonts w:ascii="Times New Roman" w:eastAsia="Times New Roman" w:hAnsi="Times New Roman" w:cs="Times New Roman"/>
          <w:color w:val="000000"/>
          <w:sz w:val="24"/>
          <w:szCs w:val="24"/>
        </w:rPr>
        <w:lastRenderedPageBreak/>
        <w:t>within a cohort. These models are used to calculate the effects of transitioning from one steady state to another and to analyze the welfare implications of reforms for future generations at the expense of transitional ones.</w:t>
      </w:r>
      <w:r w:rsidR="0066496E">
        <w:rPr>
          <w:rFonts w:ascii="Times New Roman" w:eastAsia="Times New Roman" w:hAnsi="Times New Roman" w:cs="Times New Roman"/>
          <w:color w:val="000000"/>
          <w:sz w:val="24"/>
          <w:szCs w:val="24"/>
        </w:rPr>
        <w:t xml:space="preserve"> </w:t>
      </w:r>
      <w:r w:rsidR="0066496E">
        <w:rPr>
          <w:rFonts w:ascii="Times New Roman" w:hAnsi="Times New Roman" w:cs="Times New Roman"/>
          <w:sz w:val="24"/>
          <w:szCs w:val="24"/>
        </w:rPr>
        <w:t>The model in this paper belongs to this group of OLG models. It is a dynamic and stochastic incorporating idiosyncratic risks to labor productivity.  In contrast to general equilibrium models, partial equilibrium models define factor prices and aggregate macroeconomic variables exogenously, meaning there is no endogenous determination mechanism within the model for these variables (Fehr &amp; Kindermann, 2018</w:t>
      </w:r>
      <w:r w:rsidR="001E72A5">
        <w:rPr>
          <w:rFonts w:ascii="Times New Roman" w:hAnsi="Times New Roman" w:cs="Times New Roman"/>
          <w:sz w:val="24"/>
          <w:szCs w:val="24"/>
        </w:rPr>
        <w:t xml:space="preserve">). </w:t>
      </w:r>
      <w:r w:rsidR="001E72A5" w:rsidRPr="001E72A5">
        <w:rPr>
          <w:rFonts w:ascii="Times New Roman" w:hAnsi="Times New Roman" w:cs="Times New Roman"/>
          <w:sz w:val="24"/>
          <w:szCs w:val="24"/>
        </w:rPr>
        <w:t>Throughout the paper, ‘macroeconomic’ refers to aggregate life-cycle outcomes generated in a partial-equilibrium setting, rather than a full general-equilibrium framework</w:t>
      </w:r>
    </w:p>
    <w:p w14:paraId="7FAC6E40" w14:textId="6AC1A7BE" w:rsidR="00D86840" w:rsidRPr="0066496E" w:rsidRDefault="00D86840" w:rsidP="0066496E">
      <w:pPr>
        <w:spacing w:line="360" w:lineRule="auto"/>
        <w:jc w:val="both"/>
        <w:rPr>
          <w:rFonts w:ascii="Times New Roman" w:hAnsi="Times New Roman" w:cs="Times New Roman"/>
          <w:sz w:val="24"/>
          <w:szCs w:val="24"/>
        </w:rPr>
      </w:pPr>
      <w:r w:rsidRPr="0066496E">
        <w:rPr>
          <w:rFonts w:ascii="Times New Roman" w:eastAsia="Times New Roman" w:hAnsi="Times New Roman" w:cs="Times New Roman"/>
          <w:color w:val="000000"/>
          <w:sz w:val="24"/>
          <w:szCs w:val="24"/>
          <w:u w:val="single"/>
        </w:rPr>
        <w:t xml:space="preserve">Related literature </w:t>
      </w:r>
    </w:p>
    <w:p w14:paraId="150E788D" w14:textId="77777777" w:rsidR="00D86840" w:rsidRPr="0066496E" w:rsidRDefault="00D86840" w:rsidP="0066496E">
      <w:pPr>
        <w:pBdr>
          <w:top w:val="nil"/>
          <w:left w:val="nil"/>
          <w:bottom w:val="nil"/>
          <w:right w:val="nil"/>
          <w:between w:val="nil"/>
        </w:pBdr>
        <w:spacing w:before="280" w:after="280" w:line="360" w:lineRule="auto"/>
        <w:jc w:val="both"/>
        <w:rPr>
          <w:rFonts w:ascii="Times New Roman" w:hAnsi="Times New Roman" w:cs="Times New Roman"/>
          <w:sz w:val="24"/>
          <w:szCs w:val="24"/>
        </w:rPr>
      </w:pPr>
      <w:r w:rsidRPr="0066496E">
        <w:rPr>
          <w:rFonts w:ascii="Times New Roman" w:hAnsi="Times New Roman" w:cs="Times New Roman"/>
          <w:sz w:val="24"/>
          <w:szCs w:val="24"/>
        </w:rPr>
        <w:t xml:space="preserve">This paper </w:t>
      </w:r>
      <w:r w:rsidRPr="0066496E">
        <w:rPr>
          <w:rFonts w:ascii="Times New Roman" w:eastAsia="Times New Roman" w:hAnsi="Times New Roman" w:cs="Times New Roman"/>
          <w:color w:val="000000"/>
          <w:sz w:val="24"/>
          <w:szCs w:val="24"/>
        </w:rPr>
        <w:t>framework follows a partial-equilibrium life-cycle macro model with overlapping generations.</w:t>
      </w:r>
      <w:r w:rsidRPr="0066496E">
        <w:rPr>
          <w:rFonts w:ascii="Times New Roman" w:hAnsi="Times New Roman" w:cs="Times New Roman"/>
          <w:sz w:val="24"/>
          <w:szCs w:val="24"/>
        </w:rPr>
        <w:t xml:space="preserve"> Our conceptualization is related to a growing literature that studies the interaction between health, economic behavior over the life cycle, and demographic change using overlapping-generations (OLG) and life-cycle models. A central insight of this literature is that health is not merely a sectoral outcome or a welfare indicator, but a key state variable shaping consumption, savings, labor supply, and long-run fiscal sustainability. Our analysis builds on this tradition while emphasizing the macroeconomic and fiscal consequences of health conditions in middle-income economies undergoing rapid demographic transition. </w:t>
      </w:r>
    </w:p>
    <w:p w14:paraId="673370E4" w14:textId="77777777" w:rsidR="00D86840" w:rsidRPr="00D86840" w:rsidRDefault="00D86840" w:rsidP="00D86840">
      <w:pPr>
        <w:pStyle w:val="ListParagraph"/>
        <w:pBdr>
          <w:top w:val="nil"/>
          <w:left w:val="nil"/>
          <w:bottom w:val="nil"/>
          <w:right w:val="nil"/>
          <w:between w:val="nil"/>
        </w:pBdr>
        <w:spacing w:before="280" w:after="280"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foundational strand of the literature focuses on life-cycle savings behavior under health and medical expenditure risk. A canonical contribution is (De Nardi, French, and Jones 2010), who develop a structural life-cycle overlapping-generations model with idiosyncratic medical expenditure risk to explain why elderly households, particularly in the United States, do not decumulate assets as predicted by standard life-cycle theory. Their framework highlights the role of uncertain and rising medical expenses, differential mortality by income, and social insurance programs that provide a consumption floor. </w:t>
      </w:r>
    </w:p>
    <w:p w14:paraId="3B7ED975" w14:textId="77777777" w:rsidR="00D86840" w:rsidRPr="00D86840" w:rsidRDefault="00D86840" w:rsidP="00C05111">
      <w:pPr>
        <w:pStyle w:val="ListParagraph"/>
        <w:pBdr>
          <w:top w:val="nil"/>
          <w:left w:val="nil"/>
          <w:bottom w:val="nil"/>
          <w:right w:val="nil"/>
          <w:between w:val="nil"/>
        </w:pBdr>
        <w:spacing w:before="280" w:after="280"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This work establishes medical expenditure risk as a dominant driver of late-life saving behavior and has become a benchmark for incorporating health risk into life-cycle macro models. While our analysis draws on this tradition, our focus differs in both timing and </w:t>
      </w:r>
      <w:r w:rsidRPr="00D86840">
        <w:rPr>
          <w:rFonts w:ascii="Times New Roman" w:hAnsi="Times New Roman" w:cs="Times New Roman"/>
          <w:sz w:val="24"/>
          <w:szCs w:val="24"/>
        </w:rPr>
        <w:lastRenderedPageBreak/>
        <w:t>context. Rather than concentrating on asset decumulation during retirement in high-income economies, we study how health conditions distort income and consumption paths earlier in the life cycle, particularly in environments characterized by limited public health provision and tight fiscal constraints.</w:t>
      </w:r>
    </w:p>
    <w:p w14:paraId="0C69364C" w14:textId="585E6A25"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Earlier and more stylized contributions also emphasize the joint determination of saving and health spending over the life cycle. (</w:t>
      </w:r>
      <w:proofErr w:type="spellStart"/>
      <w:r w:rsidRPr="00D86840">
        <w:rPr>
          <w:rFonts w:ascii="Times New Roman" w:hAnsi="Times New Roman" w:cs="Times New Roman"/>
          <w:sz w:val="24"/>
          <w:szCs w:val="24"/>
        </w:rPr>
        <w:t>Fioroni</w:t>
      </w:r>
      <w:proofErr w:type="spellEnd"/>
      <w:r w:rsidRPr="00D86840">
        <w:rPr>
          <w:rFonts w:ascii="Times New Roman" w:hAnsi="Times New Roman" w:cs="Times New Roman"/>
          <w:sz w:val="24"/>
          <w:szCs w:val="24"/>
        </w:rPr>
        <w:t xml:space="preserve"> 2009) studies a two-period overlapping-generations model in which health spending increases both quality of life and longevity. She shows that saving and health expenditures behave as luxury goods, but with nonlinear income elasticities, generating non-monotonic relationships between income, saving rates, and health spending across countries. Although highly parsimonious, this framework provides early theoretical support for the idea that rising health needs can crowd out saving, particularly in middle-income economies, a mechanism that is further developed in richer stochastic life-cycle models</w:t>
      </w:r>
      <w:r w:rsidR="00E574FB">
        <w:rPr>
          <w:rFonts w:ascii="Times New Roman" w:hAnsi="Times New Roman" w:cs="Times New Roman"/>
          <w:sz w:val="24"/>
          <w:szCs w:val="24"/>
        </w:rPr>
        <w:t xml:space="preserve"> and could have important fiscal implications.</w:t>
      </w:r>
    </w:p>
    <w:p w14:paraId="5CD1FA79" w14:textId="77777777" w:rsidR="00D621F6"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second strand of the literature endogenizes health investment and longevity within life-cycle settings. </w:t>
      </w:r>
      <w:r w:rsidR="00D85A8D">
        <w:rPr>
          <w:rFonts w:ascii="Times New Roman" w:hAnsi="Times New Roman" w:cs="Times New Roman"/>
          <w:sz w:val="24"/>
          <w:szCs w:val="24"/>
        </w:rPr>
        <w:t>For example, (</w:t>
      </w:r>
      <w:r w:rsidRPr="00D85A8D">
        <w:rPr>
          <w:rFonts w:ascii="Times New Roman" w:hAnsi="Times New Roman" w:cs="Times New Roman"/>
          <w:sz w:val="24"/>
          <w:szCs w:val="24"/>
        </w:rPr>
        <w:t xml:space="preserve">Dalgaard and </w:t>
      </w:r>
      <w:proofErr w:type="spellStart"/>
      <w:r w:rsidRPr="00D85A8D">
        <w:rPr>
          <w:rFonts w:ascii="Times New Roman" w:hAnsi="Times New Roman" w:cs="Times New Roman"/>
          <w:sz w:val="24"/>
          <w:szCs w:val="24"/>
        </w:rPr>
        <w:t>Strulik</w:t>
      </w:r>
      <w:proofErr w:type="spellEnd"/>
      <w:r w:rsidRPr="00D85A8D">
        <w:rPr>
          <w:rFonts w:ascii="Times New Roman" w:hAnsi="Times New Roman" w:cs="Times New Roman"/>
          <w:sz w:val="24"/>
          <w:szCs w:val="24"/>
        </w:rPr>
        <w:t xml:space="preserve"> 2014</w:t>
      </w:r>
      <w:r w:rsidRPr="00D86840">
        <w:rPr>
          <w:rFonts w:ascii="Times New Roman" w:hAnsi="Times New Roman" w:cs="Times New Roman"/>
          <w:sz w:val="24"/>
          <w:szCs w:val="24"/>
        </w:rPr>
        <w:t xml:space="preserve">) develop a model in which individuals optimally invest in health to slow physiological aging and extend life expectancy. Their framework provides microfoundations for the observed non-linear relationship between income and longevity, commonly known as the Preston Curve, by linking prosperity to health investment decisions and biological aging. Related work by </w:t>
      </w:r>
      <w:r w:rsidR="00D85A8D" w:rsidRPr="00AA33A1">
        <w:rPr>
          <w:rFonts w:ascii="Times New Roman" w:hAnsi="Times New Roman" w:cs="Times New Roman"/>
          <w:sz w:val="24"/>
          <w:szCs w:val="24"/>
        </w:rPr>
        <w:t>(</w:t>
      </w:r>
      <w:r w:rsidRPr="00AA33A1">
        <w:rPr>
          <w:rFonts w:ascii="Times New Roman" w:hAnsi="Times New Roman" w:cs="Times New Roman"/>
          <w:sz w:val="24"/>
          <w:szCs w:val="24"/>
        </w:rPr>
        <w:t>Kuhn</w:t>
      </w:r>
      <w:r w:rsidR="00D85A8D" w:rsidRPr="00AA33A1">
        <w:rPr>
          <w:rFonts w:ascii="Times New Roman" w:hAnsi="Times New Roman" w:cs="Times New Roman"/>
          <w:sz w:val="24"/>
          <w:szCs w:val="24"/>
        </w:rPr>
        <w:t xml:space="preserve"> and</w:t>
      </w:r>
      <w:r w:rsidRPr="00AA33A1">
        <w:rPr>
          <w:rFonts w:ascii="Times New Roman" w:hAnsi="Times New Roman" w:cs="Times New Roman"/>
          <w:sz w:val="24"/>
          <w:szCs w:val="24"/>
        </w:rPr>
        <w:t xml:space="preserve"> Feichtinger</w:t>
      </w:r>
      <w:r w:rsidR="00D85A8D" w:rsidRPr="00AA33A1">
        <w:rPr>
          <w:rFonts w:ascii="Times New Roman" w:hAnsi="Times New Roman" w:cs="Times New Roman"/>
          <w:sz w:val="24"/>
          <w:szCs w:val="24"/>
        </w:rPr>
        <w:t xml:space="preserve"> </w:t>
      </w:r>
      <w:r w:rsidR="00AA33A1" w:rsidRPr="00AA33A1">
        <w:rPr>
          <w:rFonts w:ascii="Times New Roman" w:hAnsi="Times New Roman" w:cs="Times New Roman"/>
          <w:sz w:val="24"/>
          <w:szCs w:val="24"/>
        </w:rPr>
        <w:t>2015</w:t>
      </w:r>
      <w:r w:rsidR="00D85A8D" w:rsidRPr="00AA33A1">
        <w:rPr>
          <w:rFonts w:ascii="Times New Roman" w:hAnsi="Times New Roman" w:cs="Times New Roman"/>
          <w:sz w:val="24"/>
          <w:szCs w:val="24"/>
        </w:rPr>
        <w:t>)</w:t>
      </w:r>
      <w:r w:rsidRPr="00D86840">
        <w:rPr>
          <w:rFonts w:ascii="Times New Roman" w:hAnsi="Times New Roman" w:cs="Times New Roman"/>
          <w:sz w:val="24"/>
          <w:szCs w:val="24"/>
        </w:rPr>
        <w:t>, and coauthors studies the joint determination of health care, retirement, and consumption in life-cycle models where health affects both mortality and morbidity.</w:t>
      </w:r>
    </w:p>
    <w:p w14:paraId="3B54BE74" w14:textId="12082076"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 In these models, health influences retirement decisions through the disutility of work and through longevity, which determines the need to accumulate retirement wealth. Conversely, retirement choices affect health by altering the value of survival and morbidity reductions. This literature highlights that health, labor supply, and retirement decisions are deeply intertwined and that health investment can generate inefficiencies, particularly in the presence of annuity markets and moral hazard.</w:t>
      </w:r>
    </w:p>
    <w:p w14:paraId="3D1B2E80" w14:textId="036A965A"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A third strand extends the analysis to broader demographic and policy dimensions. </w:t>
      </w:r>
      <w:r w:rsidR="00D621F6">
        <w:rPr>
          <w:rFonts w:ascii="Times New Roman" w:hAnsi="Times New Roman" w:cs="Times New Roman"/>
          <w:sz w:val="24"/>
          <w:szCs w:val="24"/>
        </w:rPr>
        <w:t xml:space="preserve">A paper by </w:t>
      </w:r>
      <w:r w:rsidR="00D621F6" w:rsidRPr="00D621F6">
        <w:rPr>
          <w:rFonts w:ascii="Times New Roman" w:hAnsi="Times New Roman" w:cs="Times New Roman"/>
          <w:sz w:val="24"/>
          <w:szCs w:val="24"/>
        </w:rPr>
        <w:t>(</w:t>
      </w:r>
      <w:r w:rsidRPr="00D621F6">
        <w:rPr>
          <w:rFonts w:ascii="Times New Roman" w:hAnsi="Times New Roman" w:cs="Times New Roman"/>
          <w:sz w:val="24"/>
          <w:szCs w:val="24"/>
        </w:rPr>
        <w:t>Yew and Zhang</w:t>
      </w:r>
      <w:r w:rsidR="00D621F6" w:rsidRPr="00D621F6">
        <w:rPr>
          <w:rFonts w:ascii="Times New Roman" w:hAnsi="Times New Roman" w:cs="Times New Roman"/>
          <w:sz w:val="24"/>
          <w:szCs w:val="24"/>
        </w:rPr>
        <w:t xml:space="preserve"> 2018)</w:t>
      </w:r>
      <w:r w:rsidRPr="00D86840">
        <w:rPr>
          <w:rFonts w:ascii="Times New Roman" w:hAnsi="Times New Roman" w:cs="Times New Roman"/>
          <w:sz w:val="24"/>
          <w:szCs w:val="24"/>
        </w:rPr>
        <w:t xml:space="preserve"> study health spending, savings, and fertility in a life-cycle </w:t>
      </w:r>
      <w:r w:rsidRPr="00D86840">
        <w:rPr>
          <w:rFonts w:ascii="Times New Roman" w:hAnsi="Times New Roman" w:cs="Times New Roman"/>
          <w:sz w:val="24"/>
          <w:szCs w:val="24"/>
        </w:rPr>
        <w:lastRenderedPageBreak/>
        <w:t>dynastic model with longevity externalities embedded in annuity returns. They show that such externalities can lead to excessive health spending, under-saving, and excessive fertility in laissez-faire equilibria, and they analyze how social security systems and public health subsidies can restore efficiency. While this line of work explicitly models fertility and optimal policy design, our analysis abstracts from endogenous fertility choices in order to focus on how health conditions and medical expenditures distort income and consumption trajectories over the life cycle, with implications for fiscal sustainability under demographic transition.</w:t>
      </w:r>
    </w:p>
    <w:p w14:paraId="56D3AD7B" w14:textId="40949665"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Recent contributions have also incorporated medical progress and endogenous mortality within general-equilibrium OLG frameworks. </w:t>
      </w:r>
      <w:r w:rsidR="00FE16C4">
        <w:rPr>
          <w:rFonts w:ascii="Times New Roman" w:hAnsi="Times New Roman" w:cs="Times New Roman"/>
          <w:sz w:val="24"/>
          <w:szCs w:val="24"/>
        </w:rPr>
        <w:t>For example, (</w:t>
      </w:r>
      <w:r w:rsidRPr="00FE16C4">
        <w:rPr>
          <w:rFonts w:ascii="Times New Roman" w:hAnsi="Times New Roman" w:cs="Times New Roman"/>
          <w:sz w:val="24"/>
          <w:szCs w:val="24"/>
        </w:rPr>
        <w:t xml:space="preserve">Frankovic and </w:t>
      </w:r>
      <w:proofErr w:type="spellStart"/>
      <w:r w:rsidRPr="00FE16C4">
        <w:rPr>
          <w:rFonts w:ascii="Times New Roman" w:hAnsi="Times New Roman" w:cs="Times New Roman"/>
          <w:sz w:val="24"/>
          <w:szCs w:val="24"/>
        </w:rPr>
        <w:t>Wrzaczek</w:t>
      </w:r>
      <w:proofErr w:type="spellEnd"/>
      <w:r w:rsidRPr="00FE16C4">
        <w:rPr>
          <w:rFonts w:ascii="Times New Roman" w:hAnsi="Times New Roman" w:cs="Times New Roman"/>
          <w:sz w:val="24"/>
          <w:szCs w:val="24"/>
        </w:rPr>
        <w:t xml:space="preserve"> 2020)</w:t>
      </w:r>
      <w:r w:rsidRPr="00D86840">
        <w:rPr>
          <w:rFonts w:ascii="Times New Roman" w:hAnsi="Times New Roman" w:cs="Times New Roman"/>
          <w:sz w:val="24"/>
          <w:szCs w:val="24"/>
        </w:rPr>
        <w:t xml:space="preserve"> study a two-sector overlapping-generations economy in which individuals demand health care to reduce mortality and analyze the effects of major medical innovations that improve the effectiveness of health care. Their results show that general-equilibrium effects substantially dampen the increase in health care utilization following medical innovation, and that higher savings can partially offset the negative impact of population aging on GDP per capita. This work underscores the importance of sectoral reallocation and general-equilibrium feedbacks, while also illustrating why partial-equilibrium life-cycle models remain useful for isolating key behavioral and fiscal mechanisms, particularly in environments with constrained public provision.</w:t>
      </w:r>
    </w:p>
    <w:p w14:paraId="11B31E61" w14:textId="4087A608" w:rsidR="00D86840"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 xml:space="preserve">Finally, a closely related literature examines the role of public health insurance in shaping savings behavior in aging societies. </w:t>
      </w:r>
      <w:r w:rsidR="00F52AD8">
        <w:rPr>
          <w:rFonts w:ascii="Times New Roman" w:hAnsi="Times New Roman" w:cs="Times New Roman"/>
          <w:sz w:val="24"/>
          <w:szCs w:val="24"/>
        </w:rPr>
        <w:t xml:space="preserve">A paper by </w:t>
      </w:r>
      <w:r w:rsidR="00F52AD8" w:rsidRPr="00F52AD8">
        <w:rPr>
          <w:rFonts w:ascii="Times New Roman" w:hAnsi="Times New Roman" w:cs="Times New Roman"/>
          <w:sz w:val="24"/>
          <w:szCs w:val="24"/>
        </w:rPr>
        <w:t>(</w:t>
      </w:r>
      <w:r w:rsidRPr="00F52AD8">
        <w:rPr>
          <w:rFonts w:ascii="Times New Roman" w:hAnsi="Times New Roman" w:cs="Times New Roman"/>
          <w:sz w:val="24"/>
          <w:szCs w:val="24"/>
        </w:rPr>
        <w:t>Lim 2020)</w:t>
      </w:r>
      <w:r w:rsidRPr="00D86840">
        <w:rPr>
          <w:rFonts w:ascii="Times New Roman" w:hAnsi="Times New Roman" w:cs="Times New Roman"/>
          <w:sz w:val="24"/>
          <w:szCs w:val="24"/>
        </w:rPr>
        <w:t xml:space="preserve"> studies public provision of health insurance in an overlapping-generations model with endogenous health risk calibrated to South Korea. He shows that the expansion of public health insurance can significantly affect aggregate saving behavior by altering precautionary motives in aging econom</w:t>
      </w:r>
      <w:r w:rsidR="00F52AD8">
        <w:rPr>
          <w:rFonts w:ascii="Times New Roman" w:hAnsi="Times New Roman" w:cs="Times New Roman"/>
          <w:sz w:val="24"/>
          <w:szCs w:val="24"/>
        </w:rPr>
        <w:t>ies</w:t>
      </w:r>
      <w:r w:rsidRPr="00D86840">
        <w:rPr>
          <w:rFonts w:ascii="Times New Roman" w:hAnsi="Times New Roman" w:cs="Times New Roman"/>
          <w:sz w:val="24"/>
          <w:szCs w:val="24"/>
        </w:rPr>
        <w:t>. This line of work highlights the importance of institutional design in mediating the macroeconomic effects of health risk and complements our analysis by emphasizing the fiscal and savings implications of health financing arrangements.</w:t>
      </w:r>
    </w:p>
    <w:p w14:paraId="1E996730" w14:textId="02485568" w:rsidR="005D489F" w:rsidRPr="00D86840" w:rsidRDefault="00D86840" w:rsidP="00D86840">
      <w:pPr>
        <w:pStyle w:val="ListParagraph"/>
        <w:spacing w:line="360" w:lineRule="auto"/>
        <w:ind w:left="240" w:firstLine="468"/>
        <w:jc w:val="both"/>
        <w:rPr>
          <w:rFonts w:ascii="Times New Roman" w:hAnsi="Times New Roman" w:cs="Times New Roman"/>
          <w:sz w:val="24"/>
          <w:szCs w:val="24"/>
        </w:rPr>
      </w:pPr>
      <w:r w:rsidRPr="00D86840">
        <w:rPr>
          <w:rFonts w:ascii="Times New Roman" w:hAnsi="Times New Roman" w:cs="Times New Roman"/>
          <w:sz w:val="24"/>
          <w:szCs w:val="24"/>
        </w:rPr>
        <w:t>Taken together, this literature demonstrates that health affects economic outcomes through multiple channels: productivity, survival, medical expenditures, labor supply, and demographic behavior. Our contribution fits within this framework by focusing on the macroeconomic consequences of health conditions in a partial-equilibrium overlapping-</w:t>
      </w:r>
      <w:r w:rsidRPr="00D86840">
        <w:rPr>
          <w:rFonts w:ascii="Times New Roman" w:hAnsi="Times New Roman" w:cs="Times New Roman"/>
          <w:sz w:val="24"/>
          <w:szCs w:val="24"/>
        </w:rPr>
        <w:lastRenderedPageBreak/>
        <w:t>generations setting calibrated to a middle-income country context. In contrast to much of the existing work, which is largely motivated by high-income economies with extensive social insurance systems, we emphasize environments characterized by low public health spending, high out-of-pocket exposure, and rapid demographic aging. By doing so, we highlight how health shocks can generate early-life income stagnation, rising indebtedness, and intergenerational trade-offs that pose risks to long-run fiscal sustainability.</w:t>
      </w:r>
    </w:p>
    <w:p w14:paraId="02DE63A5" w14:textId="3F15B219" w:rsidR="005D489F" w:rsidRDefault="00B73B56">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Structure of the model</w:t>
      </w:r>
    </w:p>
    <w:p w14:paraId="28A172BB"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 xml:space="preserve">In each period, the economy is populated by overlapping generations indexed by </w:t>
      </w:r>
      <m:oMath>
        <m:r>
          <w:rPr>
            <w:rFonts w:ascii="Cambria Math" w:hAnsi="Cambria Math" w:cs="Times New Roman"/>
          </w:rPr>
          <m:t>j=1,…,J</m:t>
        </m:r>
      </m:oMath>
      <w:r>
        <w:rPr>
          <w:rFonts w:ascii="Times New Roman" w:hAnsi="Times New Roman" w:cs="Times New Roman"/>
        </w:rPr>
        <w:t>. In every generation j, there are two groups of households: with low and high skill qualifications, indexed by s=1 for the most qualified households and s=2 for less skilled households (both skills have the same parameters unless otherwise indicated).</w:t>
      </w:r>
    </w:p>
    <w:p w14:paraId="54BB35D8" w14:textId="77777777" w:rsidR="005D489F" w:rsidRDefault="00000000">
      <w:pPr>
        <w:pStyle w:val="FirstParagraph"/>
        <w:spacing w:line="360" w:lineRule="auto"/>
        <w:ind w:firstLine="708"/>
        <w:jc w:val="both"/>
        <w:rPr>
          <w:rFonts w:ascii="Times New Roman" w:hAnsi="Times New Roman" w:cs="Times New Roman"/>
        </w:rPr>
      </w:pPr>
      <w:r>
        <w:rPr>
          <w:rFonts w:ascii="Times New Roman" w:hAnsi="Times New Roman" w:cs="Times New Roman"/>
        </w:rPr>
        <w:t xml:space="preserve">Survival from one period to the next is assumed to be stochastic and to be the probability that an agent survives from age to age, conditional on living to age. The unconditional probability of surviving to age is given by with </w:t>
      </w:r>
      <m:oMath>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ψ</m:t>
            </m:r>
          </m:e>
          <m:sub>
            <m:r>
              <w:rPr>
                <w:rFonts w:ascii="Cambria Math" w:hAnsi="Cambria Math" w:cs="Times New Roman"/>
                <w:kern w:val="2"/>
                <w14:ligatures w14:val="standardContextual"/>
              </w:rPr>
              <m:t>j,s</m:t>
            </m:r>
          </m:sub>
        </m:sSub>
      </m:oMath>
      <w:r>
        <w:rPr>
          <w:rFonts w:ascii="Times New Roman" w:hAnsi="Times New Roman" w:cs="Times New Roman"/>
        </w:rPr>
        <w:t>. Since the number of members of each cohort decreases with respect to age, the age-corresponding cohort size in the period t is:</w:t>
      </w:r>
    </w:p>
    <w:p w14:paraId="2D0D7C02" w14:textId="77777777" w:rsidR="005D489F" w:rsidRDefault="00000000">
      <w:pPr>
        <w:pStyle w:val="BodyText"/>
        <w:spacing w:line="360" w:lineRule="auto"/>
        <w:jc w:val="cente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j,s, t</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j-1,s,t-1</m:t>
              </m:r>
            </m:sub>
          </m:sSub>
          <m:r>
            <m:rPr>
              <m:nor/>
            </m:rPr>
            <w:rPr>
              <w:rFonts w:ascii="Times New Roman" w:hAnsi="Times New Roman" w:cs="Times New Roman"/>
            </w:rPr>
            <m:t xml:space="preserve">     with</m:t>
          </m:r>
          <m:sSub>
            <m:sSubPr>
              <m:ctrlPr>
                <w:rPr>
                  <w:rFonts w:ascii="Cambria Math" w:hAnsi="Cambria Math" w:cs="Times New Roman"/>
                </w:rPr>
              </m:ctrlPr>
            </m:sSubPr>
            <m:e>
              <m:r>
                <w:rPr>
                  <w:rFonts w:ascii="Cambria Math" w:hAnsi="Cambria Math" w:cs="Times New Roman"/>
                </w:rPr>
                <m:t xml:space="preserve">      N</m:t>
              </m:r>
            </m:e>
            <m:sub>
              <m:r>
                <w:rPr>
                  <w:rFonts w:ascii="Cambria Math" w:hAnsi="Cambria Math" w:cs="Times New Roman"/>
                </w:rPr>
                <m:t>1,t</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p,t</m:t>
                  </m:r>
                </m:sub>
              </m:sSub>
            </m:e>
          </m:d>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1,s,t-1</m:t>
              </m:r>
            </m:sub>
          </m:sSub>
        </m:oMath>
      </m:oMathPara>
    </w:p>
    <w:p w14:paraId="7C244A58" w14:textId="3E5E4D1D" w:rsidR="005D489F" w:rsidRDefault="00000000" w:rsidP="00B73B56">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The balanced growth trajectory, that is, in which all aggregate variables grow at the same rate, is set at the growth rate of the youngest cohort, which remains constant throughout all periods. These variables added over time are normalized by the size of the youngest cohort living in that period </w:t>
      </w:r>
      <m:oMath>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n</m:t>
            </m:r>
          </m:e>
          <m:sub>
            <m:r>
              <w:rPr>
                <w:rFonts w:ascii="Cambria Math" w:hAnsi="Cambria Math" w:cs="Times New Roman"/>
                <w:kern w:val="2"/>
                <w14:ligatures w14:val="standardContextual"/>
              </w:rPr>
              <m:t>p</m:t>
            </m:r>
            <m:r>
              <m:rPr>
                <m:sty m:val="p"/>
              </m:rPr>
              <w:rPr>
                <w:rFonts w:ascii="Cambria Math" w:hAnsi="Cambria Math" w:cs="Times New Roman"/>
                <w:kern w:val="2"/>
                <w14:ligatures w14:val="standardContextual"/>
              </w:rPr>
              <m:t>,</m:t>
            </m:r>
            <m:r>
              <w:rPr>
                <w:rFonts w:ascii="Cambria Math" w:hAnsi="Cambria Math" w:cs="Times New Roman"/>
                <w:kern w:val="2"/>
                <w14:ligatures w14:val="standardContextual"/>
              </w:rPr>
              <m:t>t</m:t>
            </m:r>
          </m:sub>
        </m:sSub>
        <m:r>
          <m:rPr>
            <m:sty m:val="p"/>
          </m:rPr>
          <w:rPr>
            <w:rFonts w:ascii="Cambria Math" w:hAnsi="Cambria Math" w:cs="Times New Roman"/>
            <w:kern w:val="2"/>
            <w14:ligatures w14:val="standardContextual"/>
          </w:rPr>
          <m:t>=</m:t>
        </m:r>
        <m:sSub>
          <m:sSubPr>
            <m:ctrlPr>
              <w:rPr>
                <w:rFonts w:ascii="Cambria Math" w:hAnsi="Cambria Math" w:cs="Times New Roman"/>
                <w:kern w:val="2"/>
                <w14:ligatures w14:val="standardContextual"/>
              </w:rPr>
            </m:ctrlPr>
          </m:sSubPr>
          <m:e>
            <m:r>
              <w:rPr>
                <w:rFonts w:ascii="Cambria Math" w:hAnsi="Cambria Math" w:cs="Times New Roman"/>
                <w:kern w:val="2"/>
                <w14:ligatures w14:val="standardContextual"/>
              </w:rPr>
              <m:t>n</m:t>
            </m:r>
          </m:e>
          <m:sub>
            <m:r>
              <w:rPr>
                <w:rFonts w:ascii="Cambria Math" w:hAnsi="Cambria Math" w:cs="Times New Roman"/>
                <w:kern w:val="2"/>
                <w14:ligatures w14:val="standardContextual"/>
              </w:rPr>
              <m:t>p</m:t>
            </m:r>
          </m:sub>
        </m:sSub>
        <m:r>
          <w:rPr>
            <w:rFonts w:ascii="Cambria Math" w:hAnsi="Cambria Math" w:cs="Times New Roman"/>
            <w:kern w:val="2"/>
            <w14:ligatures w14:val="standardContextual"/>
          </w:rPr>
          <m:t>t</m:t>
        </m:r>
      </m:oMath>
      <w:r>
        <w:rPr>
          <w:rFonts w:ascii="Times New Roman" w:hAnsi="Times New Roman" w:cs="Times New Roman"/>
          <w:iCs/>
        </w:rPr>
        <w:t xml:space="preserve"> for both kinds of skills.</w:t>
      </w:r>
    </w:p>
    <w:p w14:paraId="174519AB" w14:textId="77777777" w:rsidR="005D489F" w:rsidRDefault="0000000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Households</w:t>
      </w:r>
    </w:p>
    <w:p w14:paraId="50F666CC"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Individuals have preferences over consumption and leisure, and they also pay taxes on consumption and income, as well as a payroll tax to the pension system. The time allocation is assumed to be equal to 1. The household utility function is defined as:</w:t>
      </w:r>
    </w:p>
    <w:p w14:paraId="17D28A5C" w14:textId="77777777" w:rsidR="005D489F" w:rsidRDefault="00000000">
      <w:pPr>
        <w:pStyle w:val="FirstParagraph"/>
        <w:spacing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j,t</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j,t</m:t>
              </m:r>
            </m:sub>
          </m:sSub>
          <m:r>
            <w:rPr>
              <w:rFonts w:ascii="Cambria Math" w:hAnsi="Cambria Math" w:cs="Times New Roman"/>
            </w:rPr>
            <m:t>=1</m:t>
          </m:r>
        </m:oMath>
      </m:oMathPara>
    </w:p>
    <w:p w14:paraId="0312B4A2" w14:textId="77777777" w:rsidR="005D489F" w:rsidRDefault="00000000">
      <w:pPr>
        <w:pStyle w:val="BodyText"/>
        <w:spacing w:line="360" w:lineRule="auto"/>
        <w:jc w:val="center"/>
        <w:rPr>
          <w:rFonts w:ascii="Times New Roman" w:hAnsi="Times New Roman" w:cs="Times New Roman"/>
        </w:rPr>
      </w:pPr>
      <m:oMathPara>
        <m:oMathParaPr>
          <m:jc m:val="center"/>
        </m:oMathParaPr>
        <m:oMath>
          <m:r>
            <w:rPr>
              <w:rFonts w:ascii="Cambria Math" w:hAnsi="Cambria Math" w:cs="Times New Roman"/>
            </w:rPr>
            <w:lastRenderedPageBreak/>
            <m:t>E</m:t>
          </m:r>
          <m:d>
            <m:dPr>
              <m:begChr m:val="["/>
              <m:endChr m:val="]"/>
              <m:ctrlPr>
                <w:rPr>
                  <w:rFonts w:ascii="Cambria Math" w:hAnsi="Cambria Math" w:cs="Times New Roman"/>
                </w:rPr>
              </m:ctrlPr>
            </m:dPr>
            <m:e>
              <m:nary>
                <m:naryPr>
                  <m:chr m:val="∑"/>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J</m:t>
                  </m:r>
                </m:sup>
                <m:e>
                  <m:sSup>
                    <m:sSupPr>
                      <m:ctrlPr>
                        <w:rPr>
                          <w:rFonts w:ascii="Cambria Math" w:hAnsi="Cambria Math" w:cs="Times New Roman"/>
                        </w:rPr>
                      </m:ctrlPr>
                    </m:sSupPr>
                    <m:e>
                      <m:r>
                        <w:rPr>
                          <w:rFonts w:ascii="Cambria Math" w:hAnsi="Cambria Math" w:cs="Times New Roman"/>
                        </w:rPr>
                        <m:t>β</m:t>
                      </m:r>
                    </m:e>
                    <m:sup>
                      <m:r>
                        <w:rPr>
                          <w:rFonts w:ascii="Cambria Math" w:hAnsi="Cambria Math" w:cs="Times New Roman"/>
                        </w:rPr>
                        <m:t>j-1</m:t>
                      </m:r>
                    </m:sup>
                  </m:sSup>
                </m:e>
              </m:nary>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Π</m:t>
                      </m:r>
                    </m:e>
                    <m:sub>
                      <m:r>
                        <w:rPr>
                          <w:rFonts w:ascii="Cambria Math" w:hAnsi="Cambria Math" w:cs="Times New Roman"/>
                        </w:rPr>
                        <m:t>i=1</m:t>
                      </m:r>
                    </m:sub>
                    <m:sup>
                      <m:r>
                        <w:rPr>
                          <w:rFonts w:ascii="Cambria Math" w:hAnsi="Cambria Math" w:cs="Times New Roman"/>
                        </w:rPr>
                        <m:t>j</m:t>
                      </m:r>
                    </m:sup>
                  </m:sSubSup>
                  <m:sSub>
                    <m:sSubPr>
                      <m:ctrlPr>
                        <w:rPr>
                          <w:rFonts w:ascii="Cambria Math" w:hAnsi="Cambria Math" w:cs="Times New Roman"/>
                        </w:rPr>
                      </m:ctrlPr>
                    </m:sSubPr>
                    <m:e>
                      <m:r>
                        <w:rPr>
                          <w:rFonts w:ascii="Cambria Math" w:hAnsi="Cambria Math" w:cs="Times New Roman"/>
                        </w:rPr>
                        <m:t>ψ</m:t>
                      </m:r>
                    </m:e>
                    <m:sub>
                      <m:r>
                        <w:rPr>
                          <w:rFonts w:ascii="Cambria Math" w:hAnsi="Cambria Math" w:cs="Times New Roman"/>
                        </w:rPr>
                        <m:t>i,k</m:t>
                      </m:r>
                    </m:sub>
                  </m:sSub>
                </m:e>
              </m:d>
              <m:r>
                <w:rPr>
                  <w:rFonts w:ascii="Cambria Math" w:hAnsi="Cambria Math" w:cs="Times New Roman"/>
                </w:rPr>
                <m:t>u</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j,s</m:t>
                      </m:r>
                    </m:sub>
                  </m:sSub>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j,s</m:t>
                      </m:r>
                    </m:sub>
                  </m:sSub>
                </m:e>
              </m:d>
            </m:e>
          </m:d>
        </m:oMath>
      </m:oMathPara>
    </w:p>
    <w:p w14:paraId="7FA849B8" w14:textId="77777777" w:rsidR="005D489F" w:rsidRDefault="00000000">
      <w:pPr>
        <w:pStyle w:val="FirstParagraph"/>
        <w:spacing w:line="360" w:lineRule="auto"/>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β</m:t>
        </m:r>
      </m:oMath>
      <w:r>
        <w:rPr>
          <w:rFonts w:ascii="Times New Roman" w:hAnsi="Times New Roman" w:cs="Times New Roman"/>
        </w:rPr>
        <w:t xml:space="preserve"> denotes the temporal discount factor.</w:t>
      </w:r>
    </w:p>
    <w:p w14:paraId="762111C0" w14:textId="77777777" w:rsidR="005D489F" w:rsidRDefault="00000000" w:rsidP="00D5394C">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Given there are no annuity markets, the return on individual assets corresponds to the net interest rate. In an environment where there is no risk of longevity, agents know with certainty when their life will end. Therefore, they can perfectly plan when they want to consume all their savings. In this model, there is survival uncertainty; agents can die before their maximum lifespan and, consequently, leave an inheritance. Denote the inheritance that an agent receives in the specific period </w:t>
      </w:r>
      <m:oMath>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j,t</m:t>
            </m:r>
          </m:sub>
        </m:sSub>
        <m:r>
          <w:rPr>
            <w:rFonts w:ascii="Cambria Math" w:hAnsi="Cambria Math" w:cs="Times New Roman"/>
          </w:rPr>
          <m:t>jt</m:t>
        </m:r>
      </m:oMath>
      <w:r>
        <w:rPr>
          <w:rFonts w:ascii="Times New Roman" w:hAnsi="Times New Roman" w:cs="Times New Roman"/>
        </w:rPr>
        <w:t>.</w:t>
      </w:r>
    </w:p>
    <w:p w14:paraId="6DB2F7E5" w14:textId="77777777" w:rsidR="005D489F" w:rsidRDefault="00000000">
      <w:pPr>
        <w:pStyle w:val="BodyText"/>
        <w:spacing w:line="360" w:lineRule="auto"/>
        <w:jc w:val="both"/>
        <w:rPr>
          <w:rFonts w:ascii="Times New Roman" w:hAnsi="Times New Roman" w:cs="Times New Roman"/>
          <w:u w:val="single"/>
        </w:rPr>
      </w:pPr>
      <w:r>
        <w:rPr>
          <w:rFonts w:ascii="Times New Roman" w:hAnsi="Times New Roman" w:cs="Times New Roman"/>
          <w:u w:val="single"/>
        </w:rPr>
        <w:t>Consumer decision problem</w:t>
      </w:r>
    </w:p>
    <w:p w14:paraId="05DD03D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Households maximize the utility function subject to the intertemporal budget constraint.</w:t>
      </w:r>
    </w:p>
    <w:p w14:paraId="0AE99F2F" w14:textId="77777777" w:rsidR="005D489F" w:rsidRDefault="00000000">
      <w:pPr>
        <w:pStyle w:val="BodyText"/>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j+1,s</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n</m:t>
                  </m:r>
                </m:sup>
              </m:sSubSup>
            </m:e>
          </m:d>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j,s</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t</m:t>
              </m:r>
            </m:sub>
            <m:sup>
              <m:r>
                <w:rPr>
                  <w:rFonts w:ascii="Cambria Math" w:hAnsi="Cambria Math" w:cs="Times New Roman"/>
                </w:rPr>
                <m:t>n</m:t>
              </m:r>
            </m:sup>
          </m:sSubSup>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j,s</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j,s</m:t>
              </m:r>
            </m:sub>
          </m:sSub>
          <m:r>
            <w:rPr>
              <w:rFonts w:ascii="Cambria Math" w:hAnsi="Cambria Math" w:cs="Times New Roman"/>
            </w:rPr>
            <m:t>+pe</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j,s</m:t>
              </m:r>
            </m:sub>
          </m:sSub>
        </m:oMath>
      </m:oMathPara>
    </w:p>
    <w:p w14:paraId="3F8C9183" w14:textId="77777777" w:rsidR="005D489F" w:rsidRDefault="00000000">
      <w:pPr>
        <w:pStyle w:val="FirstParagraph"/>
        <w:spacing w:line="360" w:lineRule="auto"/>
        <w:jc w:val="both"/>
        <w:rPr>
          <w:rFonts w:ascii="Times New Roman" w:hAnsi="Times New Roman" w:cs="Times New Roman"/>
        </w:rPr>
      </w:pPr>
      <w:r>
        <w:rPr>
          <w:rFonts w:ascii="Times New Roman" w:hAnsi="Times New Roman" w:cs="Times New Roman"/>
        </w:rPr>
        <w:t>Where:</w:t>
      </w:r>
    </w:p>
    <w:p w14:paraId="0EB7145A"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
          <m:sSubPr>
            <m:ctrlPr>
              <w:rPr>
                <w:rFonts w:ascii="Cambria Math" w:hAnsi="Cambria Math" w:cs="Times New Roman"/>
                <w:noProof/>
                <w:sz w:val="24"/>
                <w:szCs w:val="24"/>
              </w:rPr>
            </m:ctrlPr>
          </m:sSubPr>
          <m:e>
            <m:r>
              <w:rPr>
                <w:rFonts w:ascii="Cambria Math" w:hAnsi="Cambria Math" w:cs="Times New Roman"/>
                <w:sz w:val="24"/>
                <w:szCs w:val="24"/>
              </w:rPr>
              <m:t>a</m:t>
            </m:r>
          </m:e>
          <m:sub>
            <m:r>
              <w:rPr>
                <w:rFonts w:ascii="Cambria Math" w:hAnsi="Cambria Math" w:cs="Times New Roman"/>
                <w:sz w:val="24"/>
                <w:szCs w:val="24"/>
              </w:rPr>
              <m:t>j,t</m:t>
            </m:r>
          </m:sub>
        </m:sSub>
      </m:oMath>
      <w:r>
        <w:rPr>
          <w:rFonts w:ascii="Times New Roman" w:hAnsi="Times New Roman" w:cs="Times New Roman"/>
          <w:sz w:val="24"/>
          <w:szCs w:val="24"/>
        </w:rPr>
        <w:t xml:space="preserve"> are the savings-assets of the agent in the period t,</w:t>
      </w:r>
    </w:p>
    <w:p w14:paraId="2094784B"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Sup>
          <m:sSubSupPr>
            <m:ctrlPr>
              <w:rPr>
                <w:rFonts w:ascii="Cambria Math" w:hAnsi="Cambria Math" w:cs="Times New Roman"/>
                <w:noProof/>
                <w:sz w:val="24"/>
                <w:szCs w:val="24"/>
              </w:rPr>
            </m:ctrlPr>
          </m:sSubSupPr>
          <m:e>
            <m:r>
              <w:rPr>
                <w:rFonts w:ascii="Cambria Math" w:hAnsi="Cambria Math" w:cs="Times New Roman"/>
                <w:sz w:val="24"/>
                <w:szCs w:val="24"/>
              </w:rPr>
              <m:t>w</m:t>
            </m:r>
          </m:e>
          <m:sub>
            <m:r>
              <w:rPr>
                <w:rFonts w:ascii="Cambria Math" w:hAnsi="Cambria Math" w:cs="Times New Roman"/>
                <w:sz w:val="24"/>
                <w:szCs w:val="24"/>
              </w:rPr>
              <m:t>t</m:t>
            </m:r>
          </m:sub>
          <m:sup>
            <m:r>
              <w:rPr>
                <w:rFonts w:ascii="Cambria Math" w:hAnsi="Cambria Math" w:cs="Times New Roman"/>
                <w:sz w:val="24"/>
                <w:szCs w:val="24"/>
              </w:rPr>
              <m:t>n</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d>
          <m:dPr>
            <m:ctrlPr>
              <w:rPr>
                <w:rFonts w:ascii="Cambria Math" w:hAnsi="Cambria Math" w:cs="Times New Roman"/>
                <w:sz w:val="24"/>
                <w:szCs w:val="24"/>
              </w:rPr>
            </m:ctrlPr>
          </m:dPr>
          <m:e>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w</m:t>
                </m:r>
              </m:sup>
            </m:sSubSup>
            <m:r>
              <w:rPr>
                <w:rFonts w:ascii="Cambria Math" w:hAnsi="Cambria Math" w:cs="Times New Roman"/>
                <w:sz w:val="24"/>
                <w:szCs w:val="24"/>
              </w:rPr>
              <m:t>-</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p</m:t>
                </m:r>
              </m:sup>
            </m:sSubSup>
          </m:e>
        </m:d>
      </m:oMath>
      <w:r>
        <w:rPr>
          <w:rFonts w:ascii="Times New Roman" w:hAnsi="Times New Roman" w:cs="Times New Roman"/>
          <w:sz w:val="24"/>
          <w:szCs w:val="24"/>
        </w:rPr>
        <w:t xml:space="preserve"> is the net wage rate, which is equal to the market wage minus labor income taxes and the payroll tax to finance the pension system, </w:t>
      </w:r>
      <m:oMath>
        <m:sSub>
          <m:sSubPr>
            <m:ctrlPr>
              <w:rPr>
                <w:rFonts w:ascii="Cambria Math" w:hAnsi="Cambria Math" w:cs="Times New Roman"/>
                <w:noProof/>
                <w:sz w:val="24"/>
                <w:szCs w:val="24"/>
              </w:rPr>
            </m:ctrlPr>
          </m:sSubPr>
          <m:e>
            <m:r>
              <w:rPr>
                <w:rFonts w:ascii="Cambria Math" w:hAnsi="Cambria Math" w:cs="Times New Roman"/>
                <w:sz w:val="24"/>
                <w:szCs w:val="24"/>
              </w:rPr>
              <m:t>w</m:t>
            </m:r>
          </m:e>
          <m:sub>
            <m:r>
              <w:rPr>
                <w:rFonts w:ascii="Cambria Math" w:hAnsi="Cambria Math" w:cs="Times New Roman"/>
                <w:sz w:val="24"/>
                <w:szCs w:val="24"/>
              </w:rPr>
              <m:t>t</m:t>
            </m:r>
          </m:sub>
        </m:sSub>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w</m:t>
            </m:r>
          </m:sup>
        </m:sSubSup>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p</m:t>
            </m:r>
          </m:sup>
        </m:sSubSup>
      </m:oMath>
    </w:p>
    <w:p w14:paraId="7AD7A68A"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Sup>
          <m:sSubSupPr>
            <m:ctrlPr>
              <w:rPr>
                <w:rFonts w:ascii="Cambria Math" w:hAnsi="Cambria Math" w:cs="Times New Roman"/>
                <w:noProof/>
                <w:sz w:val="24"/>
                <w:szCs w:val="24"/>
              </w:rPr>
            </m:ctrlPr>
          </m:sSubSupPr>
          <m:e>
            <m:r>
              <w:rPr>
                <w:rFonts w:ascii="Cambria Math" w:hAnsi="Cambria Math" w:cs="Times New Roman"/>
                <w:sz w:val="24"/>
                <w:szCs w:val="24"/>
              </w:rPr>
              <m:t>r</m:t>
            </m:r>
          </m:e>
          <m:sub>
            <m:r>
              <w:rPr>
                <w:rFonts w:ascii="Cambria Math" w:hAnsi="Cambria Math" w:cs="Times New Roman"/>
                <w:sz w:val="24"/>
                <w:szCs w:val="24"/>
              </w:rPr>
              <m:t>t</m:t>
            </m:r>
          </m:sub>
          <m:sup>
            <m:r>
              <w:rPr>
                <w:rFonts w:ascii="Cambria Math" w:hAnsi="Cambria Math" w:cs="Times New Roman"/>
                <w:sz w:val="24"/>
                <w:szCs w:val="24"/>
              </w:rPr>
              <m:t>n</m:t>
            </m:r>
          </m:sup>
        </m:sSub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d>
          <m:dPr>
            <m:ctrlPr>
              <w:rPr>
                <w:rFonts w:ascii="Cambria Math" w:hAnsi="Cambria Math" w:cs="Times New Roman"/>
                <w:sz w:val="24"/>
                <w:szCs w:val="24"/>
              </w:rPr>
            </m:ctrlPr>
          </m:dPr>
          <m:e>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r</m:t>
                </m:r>
              </m:sup>
            </m:sSubSup>
          </m:e>
        </m:d>
      </m:oMath>
      <w:r>
        <w:rPr>
          <w:rFonts w:ascii="Times New Roman" w:hAnsi="Times New Roman" w:cs="Times New Roman"/>
          <w:sz w:val="24"/>
          <w:szCs w:val="24"/>
        </w:rPr>
        <w:t xml:space="preserve"> is the net interest rate, which is equal to the market interest rate minus the capital income tax, </w:t>
      </w:r>
      <m:oMath>
        <m:sSub>
          <m:sSubPr>
            <m:ctrlPr>
              <w:rPr>
                <w:rFonts w:ascii="Cambria Math" w:hAnsi="Cambria Math" w:cs="Times New Roman"/>
                <w:noProof/>
                <w:sz w:val="24"/>
                <w:szCs w:val="24"/>
              </w:rPr>
            </m:ctrlPr>
          </m:sSubPr>
          <m:e>
            <m:r>
              <w:rPr>
                <w:rFonts w:ascii="Cambria Math" w:hAnsi="Cambria Math" w:cs="Times New Roman"/>
                <w:sz w:val="24"/>
                <w:szCs w:val="24"/>
              </w:rPr>
              <m:t>r</m:t>
            </m:r>
          </m:e>
          <m:sub>
            <m:r>
              <w:rPr>
                <w:rFonts w:ascii="Cambria Math" w:hAnsi="Cambria Math" w:cs="Times New Roman"/>
                <w:sz w:val="24"/>
                <w:szCs w:val="24"/>
              </w:rPr>
              <m:t>t</m:t>
            </m:r>
          </m:sub>
        </m:sSub>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r</m:t>
            </m:r>
          </m:sup>
        </m:sSubSup>
      </m:oMath>
    </w:p>
    <w:p w14:paraId="3E1CFF68" w14:textId="77777777" w:rsidR="005D489F" w:rsidRDefault="00000000">
      <w:pPr>
        <w:numPr>
          <w:ilvl w:val="0"/>
          <w:numId w:val="12"/>
        </w:numPr>
        <w:spacing w:after="200" w:line="360" w:lineRule="auto"/>
        <w:ind w:left="720" w:hanging="480"/>
        <w:jc w:val="both"/>
        <w:rPr>
          <w:rFonts w:ascii="Times New Roman" w:hAnsi="Times New Roman" w:cs="Times New Roman"/>
          <w:sz w:val="24"/>
          <w:szCs w:val="24"/>
        </w:rPr>
      </w:pPr>
      <m:oMath>
        <m:sSub>
          <m:sSubPr>
            <m:ctrlPr>
              <w:rPr>
                <w:rFonts w:ascii="Cambria Math" w:hAnsi="Cambria Math" w:cs="Times New Roman"/>
                <w:noProof/>
                <w:sz w:val="24"/>
                <w:szCs w:val="24"/>
              </w:rPr>
            </m:ctrlPr>
          </m:sSubPr>
          <m:e>
            <m:r>
              <w:rPr>
                <w:rFonts w:ascii="Cambria Math" w:hAnsi="Cambria Math" w:cs="Times New Roman"/>
                <w:sz w:val="24"/>
                <w:szCs w:val="24"/>
              </w:rPr>
              <m:t>p</m:t>
            </m:r>
          </m:e>
          <m:sub>
            <m:r>
              <w:rPr>
                <w:rFonts w:ascii="Cambria Math" w:hAnsi="Cambria Math" w:cs="Times New Roman"/>
                <w:sz w:val="24"/>
                <w:szCs w:val="24"/>
              </w:rPr>
              <m:t>t</m:t>
            </m:r>
          </m:sub>
        </m:sSub>
        <m:r>
          <w:rPr>
            <w:rFonts w:ascii="Cambria Math" w:hAnsi="Cambria Math" w:cs="Times New Roman"/>
            <w:sz w:val="24"/>
            <w:szCs w:val="24"/>
          </w:rPr>
          <m:t>=1+</m:t>
        </m:r>
        <m:sSubSup>
          <m:sSubSupPr>
            <m:ctrlPr>
              <w:rPr>
                <w:rFonts w:ascii="Cambria Math" w:hAnsi="Cambria Math" w:cs="Times New Roman"/>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c</m:t>
            </m:r>
          </m:sup>
        </m:sSubSup>
      </m:oMath>
      <w:r>
        <w:rPr>
          <w:rFonts w:ascii="Times New Roman" w:hAnsi="Times New Roman" w:cs="Times New Roman"/>
          <w:sz w:val="24"/>
          <w:szCs w:val="24"/>
        </w:rPr>
        <w:t xml:space="preserve"> It is the consumer price normalized to one plus consumption taxes, </w:t>
      </w:r>
      <m:oMath>
        <m:sSubSup>
          <m:sSubSupPr>
            <m:ctrlPr>
              <w:rPr>
                <w:rFonts w:ascii="Cambria Math" w:hAnsi="Cambria Math" w:cs="Times New Roman"/>
                <w:noProof/>
                <w:sz w:val="24"/>
                <w:szCs w:val="24"/>
              </w:rPr>
            </m:ctrlPr>
          </m:sSubSupPr>
          <m:e>
            <m:r>
              <w:rPr>
                <w:rFonts w:ascii="Cambria Math" w:hAnsi="Cambria Math" w:cs="Times New Roman"/>
                <w:sz w:val="24"/>
                <w:szCs w:val="24"/>
              </w:rPr>
              <m:t>τ</m:t>
            </m:r>
          </m:e>
          <m:sub>
            <m:r>
              <w:rPr>
                <w:rFonts w:ascii="Cambria Math" w:hAnsi="Cambria Math" w:cs="Times New Roman"/>
                <w:sz w:val="24"/>
                <w:szCs w:val="24"/>
              </w:rPr>
              <m:t>t</m:t>
            </m:r>
          </m:sub>
          <m:sup>
            <m:r>
              <w:rPr>
                <w:rFonts w:ascii="Cambria Math" w:hAnsi="Cambria Math" w:cs="Times New Roman"/>
                <w:sz w:val="24"/>
                <w:szCs w:val="24"/>
              </w:rPr>
              <m:t>c</m:t>
            </m:r>
          </m:sup>
        </m:sSubSup>
      </m:oMath>
    </w:p>
    <w:p w14:paraId="797F1B9C" w14:textId="77777777" w:rsidR="005D489F" w:rsidRDefault="00000000">
      <w:pPr>
        <w:spacing w:line="360" w:lineRule="auto"/>
        <w:rPr>
          <w:rFonts w:ascii="Times New Roman" w:hAnsi="Times New Roman" w:cs="Times New Roman"/>
          <w:sz w:val="24"/>
          <w:szCs w:val="24"/>
          <w:u w:val="single"/>
        </w:rPr>
      </w:pPr>
      <w:r>
        <w:rPr>
          <w:rFonts w:ascii="Times New Roman" w:hAnsi="Times New Roman" w:cs="Times New Roman"/>
          <w:sz w:val="24"/>
          <w:szCs w:val="24"/>
          <w:u w:val="single"/>
        </w:rPr>
        <w:t>Agent optimization problem</w:t>
      </w:r>
    </w:p>
    <w:p w14:paraId="1C531F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following expected utility function separable in time is considered (De Nardi, French, &amp; Jones, 2010)</w:t>
      </w:r>
    </w:p>
    <w:p w14:paraId="3BFC31BE" w14:textId="77777777" w:rsidR="005D489F" w:rsidRDefault="00000000">
      <w:pPr>
        <w:spacing w:line="360" w:lineRule="auto"/>
        <w:rPr>
          <w:rFonts w:ascii="Times New Roman" w:hAnsi="Times New Roman" w:cs="Times New Roman"/>
          <w:sz w:val="24"/>
          <w:szCs w:val="24"/>
        </w:rPr>
      </w:pPr>
      <m:oMathPara>
        <m:oMath>
          <m:r>
            <w:rPr>
              <w:rFonts w:ascii="Cambria Math" w:hAnsi="Cambria Math" w:cs="Times New Roman"/>
              <w:noProof/>
              <w:sz w:val="24"/>
              <w:szCs w:val="24"/>
            </w:rPr>
            <m:t>E</m:t>
          </m:r>
          <m:d>
            <m:dPr>
              <m:begChr m:val="["/>
              <m:endChr m:val="]"/>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j=1</m:t>
                  </m:r>
                </m:sub>
                <m:sup>
                  <m:r>
                    <w:rPr>
                      <w:rFonts w:ascii="Cambria Math" w:hAnsi="Cambria Math" w:cs="Times New Roman"/>
                      <w:sz w:val="24"/>
                      <w:szCs w:val="24"/>
                    </w:rPr>
                    <m:t>J</m:t>
                  </m:r>
                </m:sup>
                <m:e>
                  <m:sSup>
                    <m:sSupPr>
                      <m:ctrlPr>
                        <w:rPr>
                          <w:rFonts w:ascii="Cambria Math" w:hAnsi="Cambria Math" w:cs="Times New Roman"/>
                          <w:i/>
                          <w:sz w:val="24"/>
                          <w:szCs w:val="24"/>
                        </w:rPr>
                      </m:ctrlPr>
                    </m:sSupPr>
                    <m:e>
                      <m:r>
                        <w:rPr>
                          <w:rFonts w:ascii="Cambria Math" w:hAnsi="Cambria Math" w:cs="Times New Roman"/>
                          <w:sz w:val="24"/>
                          <w:szCs w:val="24"/>
                        </w:rPr>
                        <m:t>β</m:t>
                      </m:r>
                    </m:e>
                    <m:sup>
                      <m:r>
                        <w:rPr>
                          <w:rFonts w:ascii="Cambria Math" w:hAnsi="Cambria Math" w:cs="Times New Roman"/>
                          <w:sz w:val="24"/>
                          <w:szCs w:val="24"/>
                        </w:rPr>
                        <m:t>j-1</m:t>
                      </m:r>
                    </m:sup>
                  </m:sSup>
                </m:e>
              </m:nary>
              <m:d>
                <m:dPr>
                  <m:ctrlPr>
                    <w:rPr>
                      <w:rFonts w:ascii="Cambria Math" w:hAnsi="Cambria Math" w:cs="Times New Roman"/>
                      <w:i/>
                      <w:sz w:val="24"/>
                      <w:szCs w:val="24"/>
                    </w:rPr>
                  </m:ctrlPr>
                </m:dPr>
                <m:e>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i=2</m:t>
                      </m:r>
                    </m:sub>
                    <m:sup>
                      <m:r>
                        <w:rPr>
                          <w:rFonts w:ascii="Cambria Math" w:hAnsi="Cambria Math" w:cs="Times New Roman"/>
                          <w:sz w:val="24"/>
                          <w:szCs w:val="24"/>
                        </w:rPr>
                        <m:t>j</m:t>
                      </m:r>
                    </m:sup>
                    <m:e>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i-1</m:t>
                          </m:r>
                        </m:sub>
                      </m:sSub>
                      <m:r>
                        <w:rPr>
                          <w:rFonts w:ascii="Cambria Math" w:hAnsi="Cambria Math" w:cs="Times New Roman"/>
                          <w:sz w:val="24"/>
                          <w:szCs w:val="24"/>
                        </w:rPr>
                        <m:t>)</m:t>
                      </m:r>
                    </m:e>
                  </m:nary>
                </m:e>
              </m:d>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e>
          </m:d>
        </m:oMath>
      </m:oMathPara>
    </w:p>
    <w:p w14:paraId="550D28C7" w14:textId="77777777" w:rsidR="005D489F" w:rsidRDefault="005D489F">
      <w:pPr>
        <w:spacing w:line="360" w:lineRule="auto"/>
        <w:rPr>
          <w:rFonts w:ascii="Times New Roman" w:hAnsi="Times New Roman" w:cs="Times New Roman"/>
          <w:sz w:val="24"/>
          <w:szCs w:val="24"/>
        </w:rPr>
      </w:pPr>
    </w:p>
    <w:p w14:paraId="74E24390"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instantaneous utility is given by:</w:t>
      </w:r>
    </w:p>
    <w:p w14:paraId="2746F362"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m:t>
          </m:r>
          <m:r>
            <m:rPr>
              <m:sty m:val="p"/>
            </m:rPr>
            <w:rPr>
              <w:rFonts w:ascii="Cambria Math" w:hAnsi="Cambria Math" w:cs="Times New Roman"/>
              <w:sz w:val="24"/>
              <w:szCs w:val="24"/>
            </w:rPr>
            <m:t>δ(</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sup>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p>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den>
          </m:f>
        </m:oMath>
      </m:oMathPara>
    </w:p>
    <w:p w14:paraId="67F3CB0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indicator variable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xml:space="preserve"> ϵ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w:r>
        <w:rPr>
          <w:rFonts w:ascii="Times New Roman" w:hAnsi="Times New Roman" w:cs="Times New Roman"/>
          <w:sz w:val="24"/>
          <w:szCs w:val="24"/>
        </w:rPr>
        <w:t xml:space="preserve"> denotes the state of health of an agent, may be good</w:t>
      </w:r>
    </w:p>
    <w:p w14:paraId="0EC15A0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eastAsiaTheme="minorEastAsia" w:hAnsi="Cambria Math" w:cs="Times New Roman"/>
            <w:noProof/>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 xml:space="preserve">=0) </m:t>
        </m:r>
      </m:oMath>
      <w:r>
        <w:rPr>
          <w:rFonts w:ascii="Times New Roman" w:hAnsi="Times New Roman" w:cs="Times New Roman"/>
          <w:sz w:val="24"/>
          <w:szCs w:val="24"/>
        </w:rPr>
        <w:t xml:space="preserve">or bad </w:t>
      </w:r>
      <m:oMath>
        <m:d>
          <m:dPr>
            <m:ctrlPr>
              <w:rPr>
                <w:rFonts w:ascii="Cambria Math" w:eastAsiaTheme="minorEastAsia" w:hAnsi="Cambria Math" w:cs="Times New Roman"/>
                <w:i/>
                <w:noProof/>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=1</m:t>
            </m:r>
          </m:e>
        </m:d>
      </m:oMath>
      <w:r>
        <w:rPr>
          <w:rFonts w:ascii="Times New Roman" w:hAnsi="Times New Roman" w:cs="Times New Roman"/>
          <w:sz w:val="24"/>
          <w:szCs w:val="24"/>
        </w:rPr>
        <w:t xml:space="preserve">. Where </w:t>
      </w:r>
      <m:oMath>
        <m:r>
          <m:rPr>
            <m:sty m:val="p"/>
          </m:rPr>
          <w:rPr>
            <w:rFonts w:ascii="Cambria Math" w:hAnsi="Cambria Math" w:cs="Times New Roman"/>
            <w:noProof/>
            <w:sz w:val="24"/>
            <w:szCs w:val="24"/>
          </w:rPr>
          <m:t xml:space="preserve">δ ϵ </m:t>
        </m:r>
        <m:d>
          <m:dPr>
            <m:begChr m:val="]"/>
            <m:endChr m:val="["/>
            <m:ctrlPr>
              <w:rPr>
                <w:rFonts w:ascii="Cambria Math" w:hAnsi="Cambria Math" w:cs="Times New Roman"/>
                <w:sz w:val="24"/>
                <w:szCs w:val="24"/>
              </w:rPr>
            </m:ctrlPr>
          </m:dPr>
          <m:e>
            <m:r>
              <w:rPr>
                <w:rFonts w:ascii="Cambria Math" w:hAnsi="Cambria Math" w:cs="Times New Roman"/>
                <w:sz w:val="24"/>
                <w:szCs w:val="24"/>
              </w:rPr>
              <m:t xml:space="preserve"> -1 ; 1 </m:t>
            </m:r>
          </m:e>
        </m:d>
      </m:oMath>
      <w:r>
        <w:rPr>
          <w:rFonts w:ascii="Times New Roman" w:hAnsi="Times New Roman" w:cs="Times New Roman"/>
          <w:sz w:val="24"/>
          <w:szCs w:val="24"/>
        </w:rPr>
        <w:t xml:space="preserve"> determines how health status affects consumption. Furthermore, the state of health at the previous age affects the probability of survival such that </w:t>
      </w:r>
      <m:oMath>
        <m:sSub>
          <m:sSubPr>
            <m:ctrlPr>
              <w:rPr>
                <w:rFonts w:ascii="Cambria Math" w:hAnsi="Cambria Math" w:cs="Times New Roman"/>
                <w:noProof/>
                <w:sz w:val="24"/>
                <w:szCs w:val="24"/>
              </w:rPr>
            </m:ctrlPr>
          </m:sSubPr>
          <m:e>
            <m:r>
              <w:rPr>
                <w:rFonts w:ascii="Cambria Math" w:hAnsi="Cambria Math" w:cs="Times New Roman"/>
                <w:sz w:val="24"/>
                <w:szCs w:val="24"/>
              </w:rPr>
              <m:t>ψ</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 xml:space="preserve">=1) =  </m:t>
        </m:r>
        <m:r>
          <m:rPr>
            <m:sty m:val="p"/>
          </m:rPr>
          <w:rPr>
            <w:rFonts w:ascii="Cambria Math" w:hAnsi="Cambria Math" w:cs="Times New Roman"/>
            <w:sz w:val="24"/>
            <w:szCs w:val="24"/>
          </w:rPr>
          <m:t xml:space="preserve">χ ∙  </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 xml:space="preserve"> = 0) with </m:t>
        </m:r>
        <m:r>
          <m:rPr>
            <m:sty m:val="p"/>
          </m:rPr>
          <w:rPr>
            <w:rFonts w:ascii="Cambria Math" w:hAnsi="Cambria Math" w:cs="Times New Roman"/>
            <w:sz w:val="24"/>
            <w:szCs w:val="24"/>
          </w:rPr>
          <m:t>χ &lt; 1.</m:t>
        </m:r>
      </m:oMath>
      <w:r>
        <w:rPr>
          <w:rFonts w:ascii="Times New Roman" w:hAnsi="Times New Roman" w:cs="Times New Roman"/>
          <w:sz w:val="24"/>
          <w:szCs w:val="24"/>
        </w:rPr>
        <w:t xml:space="preserve"> </w:t>
      </w:r>
    </w:p>
    <w:p w14:paraId="2AA7DA78" w14:textId="4051C4F7" w:rsidR="005D489F" w:rsidRDefault="00FB38B8">
      <w:pPr>
        <w:spacing w:line="360" w:lineRule="auto"/>
        <w:ind w:firstLine="708"/>
        <w:jc w:val="both"/>
        <w:rPr>
          <w:rFonts w:ascii="Times New Roman" w:hAnsi="Times New Roman" w:cs="Times New Roman"/>
          <w:sz w:val="24"/>
          <w:szCs w:val="24"/>
        </w:rPr>
      </w:pPr>
      <w:r w:rsidRPr="00FB38B8">
        <w:rPr>
          <w:rFonts w:ascii="Times New Roman" w:hAnsi="Times New Roman" w:cs="Times New Roman"/>
          <w:sz w:val="24"/>
          <w:szCs w:val="24"/>
        </w:rPr>
        <w:t>In the baseline specification without health shocks, the budget constraint coincides with that of the reference model.</w:t>
      </w:r>
      <w:r w:rsidRPr="00FB38B8">
        <w:rPr>
          <w:rFonts w:ascii="Times New Roman" w:hAnsi="Times New Roman" w:cs="Times New Roman"/>
          <w:sz w:val="24"/>
          <w:szCs w:val="24"/>
        </w:rPr>
        <w:t xml:space="preserve"> </w:t>
      </w:r>
      <w:r w:rsidR="00000000">
        <w:rPr>
          <w:rFonts w:ascii="Times New Roman" w:hAnsi="Times New Roman" w:cs="Times New Roman"/>
          <w:sz w:val="24"/>
          <w:szCs w:val="24"/>
        </w:rPr>
        <w:t xml:space="preserve">The transition of probabilities from one health state to another </w:t>
      </w:r>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sub>
        </m:sSub>
        <m:r>
          <w:rPr>
            <w:rFonts w:ascii="Cambria Math" w:hAnsi="Cambria Math" w:cs="Times New Roman"/>
            <w:sz w:val="24"/>
            <w:szCs w:val="24"/>
          </w:rPr>
          <m:t xml:space="preserve">  </m:t>
        </m:r>
        <m:r>
          <w:rPr>
            <w:rFonts w:ascii="Cambria Math" w:eastAsiaTheme="minorEastAsia" w:hAnsi="Cambria Math" w:cs="Times New Roman"/>
            <w:sz w:val="24"/>
            <w:szCs w:val="24"/>
          </w:rPr>
          <m:t xml:space="preserve">ϵ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0;1</m:t>
            </m:r>
          </m:e>
        </m:d>
      </m:oMath>
      <w:r w:rsidR="00000000">
        <w:rPr>
          <w:rFonts w:ascii="Times New Roman" w:hAnsi="Times New Roman" w:cs="Times New Roman"/>
          <w:sz w:val="24"/>
          <w:szCs w:val="24"/>
        </w:rPr>
        <w:t xml:space="preserve"> depends on age j and income group </w:t>
      </w:r>
      <m:oMath>
        <m:r>
          <w:rPr>
            <w:rFonts w:ascii="Cambria Math" w:eastAsiaTheme="minorEastAsia" w:hAnsi="Cambria Math" w:cs="Times New Roman"/>
            <w:noProof/>
            <w:sz w:val="24"/>
            <w:szCs w:val="24"/>
          </w:rPr>
          <m:t>θ</m:t>
        </m:r>
      </m:oMath>
      <w:r w:rsidR="00000000">
        <w:rPr>
          <w:rFonts w:ascii="Times New Roman" w:hAnsi="Times New Roman" w:cs="Times New Roman"/>
          <w:sz w:val="24"/>
          <w:szCs w:val="24"/>
        </w:rPr>
        <w:t xml:space="preserve">. We assume that the probabilities of having a bad health condition in the future when the current health condition is good increases linearly from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pg</m:t>
            </m:r>
          </m:e>
          <m:sub>
            <m:r>
              <w:rPr>
                <w:rFonts w:ascii="Cambria Math" w:eastAsiaTheme="minorEastAsia" w:hAnsi="Cambria Math" w:cs="Times New Roman"/>
                <w:sz w:val="24"/>
                <w:szCs w:val="24"/>
              </w:rPr>
              <m:t>1</m:t>
            </m:r>
          </m:sub>
        </m:sSub>
      </m:oMath>
      <w:r w:rsidR="00000000">
        <w:rPr>
          <w:rFonts w:ascii="Times New Roman" w:hAnsi="Times New Roman" w:cs="Times New Roman"/>
          <w:sz w:val="24"/>
          <w:szCs w:val="24"/>
        </w:rPr>
        <w:t xml:space="preserve"> to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pg</m:t>
            </m:r>
          </m:e>
          <m:sub>
            <m:r>
              <w:rPr>
                <w:rFonts w:ascii="Cambria Math" w:eastAsiaTheme="minorEastAsia" w:hAnsi="Cambria Math" w:cs="Times New Roman"/>
                <w:sz w:val="24"/>
                <w:szCs w:val="24"/>
              </w:rPr>
              <m:t>J</m:t>
            </m:r>
          </m:sub>
        </m:sSub>
      </m:oMath>
      <w:r w:rsidR="00000000">
        <w:rPr>
          <w:rFonts w:ascii="Times New Roman" w:hAnsi="Times New Roman" w:cs="Times New Roman"/>
          <w:sz w:val="24"/>
          <w:szCs w:val="24"/>
        </w:rPr>
        <w:t xml:space="preserve">  . The state vector changes to </w:t>
      </w:r>
      <m:oMath>
        <m:r>
          <w:rPr>
            <w:rFonts w:ascii="Cambria Math" w:eastAsiaTheme="minorEastAsia" w:hAnsi="Cambria Math" w:cs="Times New Roman"/>
            <w:noProof/>
            <w:sz w:val="24"/>
            <w:szCs w:val="24"/>
          </w:rPr>
          <m:t>z=(j,a,θ,m,η)</m:t>
        </m:r>
      </m:oMath>
      <w:r w:rsidR="00000000">
        <w:rPr>
          <w:rFonts w:ascii="Times New Roman" w:hAnsi="Times New Roman" w:cs="Times New Roman"/>
          <w:sz w:val="24"/>
          <w:szCs w:val="24"/>
        </w:rPr>
        <w:t>.</w:t>
      </w:r>
    </w:p>
    <w:p w14:paraId="04750736" w14:textId="77777777" w:rsidR="005D489F" w:rsidRDefault="00000000">
      <w:pPr>
        <w:pStyle w:val="Heading2"/>
      </w:pPr>
      <w:r>
        <w:t xml:space="preserve">Mathematical Formulation of the Model </w:t>
      </w:r>
    </w:p>
    <w:p w14:paraId="18A25F6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section provides a detailed mathematical specification of the household optimization problem, building on the OLG framework presented above. The model incorporates three key extensions: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skill-dependent health transitions, (ii) health-dependent labor productivity, and (iii) out of pocket health costs with a government-provided consumption floor. </w:t>
      </w:r>
    </w:p>
    <w:p w14:paraId="2832185B" w14:textId="77777777" w:rsidR="005D489F" w:rsidRDefault="00000000">
      <w:pPr>
        <w:pStyle w:val="Heading3"/>
      </w:pPr>
      <w:r>
        <w:t>Household Problem and State Space</w:t>
      </w:r>
    </w:p>
    <w:p w14:paraId="24DD282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Household maximize expected lifetime utility subject to health uncertainty, income shocks, and medical expenditure risk. The household optimization problem is:</w:t>
      </w:r>
    </w:p>
    <w:p w14:paraId="535A8336" w14:textId="77777777" w:rsidR="005D489F" w:rsidRDefault="00000000">
      <w:pPr>
        <w:jc w:val="center"/>
        <w:rPr>
          <w:rFonts w:ascii="Courier New" w:hAnsi="Courier New"/>
          <w:sz w:val="20"/>
        </w:rPr>
      </w:pPr>
      <m:oMathPara>
        <m:oMath>
          <m:sSub>
            <m:sSubPr>
              <m:ctrlPr>
                <w:rPr>
                  <w:rFonts w:ascii="Cambria Math" w:hAnsi="Cambria Math"/>
                  <w:i/>
                  <w:noProof/>
                  <w:sz w:val="20"/>
                </w:rPr>
              </m:ctrlPr>
            </m:sSubPr>
            <m:e>
              <m:r>
                <w:rPr>
                  <w:rFonts w:ascii="Cambria Math" w:hAnsi="Cambria Math"/>
                  <w:sz w:val="20"/>
                </w:rPr>
                <m:t>E</m:t>
              </m:r>
            </m:e>
            <m:sub>
              <m:r>
                <w:rPr>
                  <w:rFonts w:ascii="Cambria Math" w:hAnsi="Cambria Math"/>
                  <w:sz w:val="20"/>
                </w:rPr>
                <m:t>0</m:t>
              </m:r>
            </m:sub>
          </m:sSub>
          <m:d>
            <m:dPr>
              <m:begChr m:val="["/>
              <m:endChr m:val="]"/>
              <m:ctrlPr>
                <w:rPr>
                  <w:rFonts w:ascii="Cambria Math" w:hAnsi="Cambria Math"/>
                  <w:i/>
                  <w:sz w:val="20"/>
                </w:rPr>
              </m:ctrlPr>
            </m:dPr>
            <m:e>
              <m:nary>
                <m:naryPr>
                  <m:chr m:val="∑"/>
                  <m:limLoc m:val="undOvr"/>
                  <m:ctrlPr>
                    <w:rPr>
                      <w:rFonts w:ascii="Cambria Math" w:hAnsi="Cambria Math"/>
                      <w:i/>
                      <w:sz w:val="20"/>
                    </w:rPr>
                  </m:ctrlPr>
                </m:naryPr>
                <m:sub>
                  <m:r>
                    <w:rPr>
                      <w:rFonts w:ascii="Cambria Math" w:hAnsi="Cambria Math"/>
                      <w:sz w:val="20"/>
                    </w:rPr>
                    <m:t>j=1</m:t>
                  </m:r>
                </m:sub>
                <m:sup>
                  <m:r>
                    <w:rPr>
                      <w:rFonts w:ascii="Cambria Math" w:hAnsi="Cambria Math"/>
                      <w:sz w:val="20"/>
                    </w:rPr>
                    <m:t>J</m:t>
                  </m:r>
                </m:sup>
                <m:e>
                  <m:sSup>
                    <m:sSupPr>
                      <m:ctrlPr>
                        <w:rPr>
                          <w:rFonts w:ascii="Cambria Math" w:hAnsi="Cambria Math"/>
                          <w:i/>
                          <w:sz w:val="20"/>
                        </w:rPr>
                      </m:ctrlPr>
                    </m:sSupPr>
                    <m:e>
                      <m:r>
                        <w:rPr>
                          <w:rFonts w:ascii="Cambria Math" w:hAnsi="Cambria Math"/>
                          <w:sz w:val="20"/>
                        </w:rPr>
                        <m:t>β</m:t>
                      </m:r>
                    </m:e>
                    <m:sup>
                      <m:r>
                        <w:rPr>
                          <w:rFonts w:ascii="Cambria Math" w:hAnsi="Cambria Math"/>
                          <w:sz w:val="20"/>
                        </w:rPr>
                        <m:t>j-1</m:t>
                      </m:r>
                    </m:sup>
                  </m:sSup>
                </m:e>
              </m:nary>
              <m:d>
                <m:dPr>
                  <m:ctrlPr>
                    <w:rPr>
                      <w:rFonts w:ascii="Cambria Math" w:eastAsiaTheme="minorEastAsia" w:hAnsi="Cambria Math"/>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i=2</m:t>
                      </m:r>
                    </m:sub>
                    <m:sup>
                      <m:r>
                        <w:rPr>
                          <w:rFonts w:ascii="Cambria Math" w:eastAsiaTheme="minorEastAsia" w:hAnsi="Cambria Math"/>
                          <w:sz w:val="20"/>
                        </w:rPr>
                        <m:t>j</m:t>
                      </m:r>
                    </m:sup>
                    <m:e>
                      <m:sSub>
                        <m:sSubPr>
                          <m:ctrlPr>
                            <w:rPr>
                              <w:rFonts w:ascii="Cambria Math" w:eastAsiaTheme="minorEastAsia" w:hAnsi="Cambria Math"/>
                              <w:i/>
                              <w:sz w:val="20"/>
                            </w:rPr>
                          </m:ctrlPr>
                        </m:sSubPr>
                        <m:e>
                          <m:r>
                            <m:rPr>
                              <m:sty m:val="p"/>
                            </m:rPr>
                            <w:rPr>
                              <w:rFonts w:ascii="Cambria Math" w:eastAsiaTheme="minorEastAsia" w:hAnsi="Cambria Math"/>
                              <w:sz w:val="20"/>
                            </w:rPr>
                            <m:t>ψ</m:t>
                          </m:r>
                        </m:e>
                        <m:sub>
                          <m:r>
                            <w:rPr>
                              <w:rFonts w:ascii="Cambria Math" w:eastAsiaTheme="minorEastAsia" w:hAnsi="Cambria Math"/>
                              <w:sz w:val="20"/>
                            </w:rPr>
                            <m:t>i</m:t>
                          </m:r>
                        </m:sub>
                      </m:sSub>
                      <m:d>
                        <m:dPr>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m</m:t>
                              </m:r>
                            </m:e>
                            <m:sub>
                              <m:r>
                                <w:rPr>
                                  <w:rFonts w:ascii="Cambria Math" w:eastAsiaTheme="minorEastAsia" w:hAnsi="Cambria Math"/>
                                  <w:sz w:val="20"/>
                                </w:rPr>
                                <m:t>i-1</m:t>
                              </m:r>
                            </m:sub>
                          </m:sSub>
                        </m:e>
                      </m:d>
                    </m:e>
                  </m:nary>
                </m:e>
              </m:d>
              <m:sSub>
                <m:sSubPr>
                  <m:ctrlPr>
                    <w:rPr>
                      <w:rFonts w:ascii="Cambria Math" w:eastAsiaTheme="minorEastAsia" w:hAnsi="Cambria Math"/>
                      <w:i/>
                      <w:sz w:val="20"/>
                    </w:rPr>
                  </m:ctrlPr>
                </m:sSubPr>
                <m:e>
                  <m:r>
                    <w:rPr>
                      <w:rFonts w:ascii="Cambria Math" w:eastAsiaTheme="minorEastAsia" w:hAnsi="Cambria Math"/>
                      <w:sz w:val="20"/>
                    </w:rPr>
                    <m:t>u</m:t>
                  </m:r>
                </m:e>
                <m:sub>
                  <m:r>
                    <w:rPr>
                      <w:rFonts w:ascii="Cambria Math" w:eastAsiaTheme="minorEastAsia" w:hAnsi="Cambria Math"/>
                      <w:sz w:val="20"/>
                    </w:rPr>
                    <m:t>mj</m:t>
                  </m:r>
                </m:sub>
              </m:sSub>
              <m:r>
                <w:rPr>
                  <w:rFonts w:ascii="Cambria Math" w:eastAsiaTheme="minorEastAsia" w:hAnsi="Cambria Math"/>
                  <w:sz w:val="20"/>
                </w:rPr>
                <m:t>(</m:t>
              </m:r>
              <m:sSub>
                <m:sSubPr>
                  <m:ctrlPr>
                    <w:rPr>
                      <w:rFonts w:ascii="Cambria Math" w:eastAsiaTheme="minorEastAsia" w:hAnsi="Cambria Math"/>
                      <w:i/>
                      <w:sz w:val="20"/>
                    </w:rPr>
                  </m:ctrlPr>
                </m:sSubPr>
                <m:e>
                  <m:r>
                    <w:rPr>
                      <w:rFonts w:ascii="Cambria Math" w:eastAsiaTheme="minorEastAsia" w:hAnsi="Cambria Math"/>
                      <w:sz w:val="20"/>
                    </w:rPr>
                    <m:t>c</m:t>
                  </m:r>
                </m:e>
                <m:sub>
                  <m:r>
                    <w:rPr>
                      <w:rFonts w:ascii="Cambria Math" w:eastAsiaTheme="minorEastAsia" w:hAnsi="Cambria Math"/>
                      <w:sz w:val="20"/>
                    </w:rPr>
                    <m:t>j</m:t>
                  </m:r>
                </m:sub>
              </m:sSub>
              <m:r>
                <w:rPr>
                  <w:rFonts w:ascii="Cambria Math" w:eastAsiaTheme="minorEastAsia" w:hAnsi="Cambria Math"/>
                  <w:sz w:val="20"/>
                </w:rPr>
                <m:t>)</m:t>
              </m:r>
            </m:e>
          </m:d>
        </m:oMath>
      </m:oMathPara>
    </w:p>
    <w:p w14:paraId="5268920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 β is the discount factor, ψᵢ(mᵢ₋₁) is the survival probability conditional on previous health status, and uₘⱼ(cⱼ) is period utility that depends on health status. The utility function takes the form:</w:t>
      </w:r>
    </w:p>
    <w:p w14:paraId="10B7B1A0" w14:textId="77777777" w:rsidR="005D489F" w:rsidRDefault="00000000">
      <w:pPr>
        <w:spacing w:line="360" w:lineRule="auto"/>
        <w:jc w:val="center"/>
        <w:rPr>
          <w:rFonts w:ascii="Times New Roman" w:hAnsi="Times New Roman" w:cs="Times New Roman"/>
          <w:sz w:val="24"/>
          <w:szCs w:val="24"/>
        </w:rPr>
      </w:pPr>
      <m:oMath>
        <m:sSub>
          <m:sSubPr>
            <m:ctrlPr>
              <w:rPr>
                <w:rFonts w:ascii="Cambria Math" w:hAnsi="Cambria Math" w:cs="Times New Roman"/>
                <w:i/>
                <w:noProof/>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=δ(</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f>
          <m:fPr>
            <m:ctrlPr>
              <w:rPr>
                <w:rFonts w:ascii="Cambria Math"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bSup>
          </m:num>
          <m:den>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den>
        </m:f>
      </m:oMath>
      <w:r>
        <w:rPr>
          <w:rFonts w:ascii="Times New Roman" w:hAnsi="Times New Roman" w:cs="Times New Roman"/>
          <w:sz w:val="24"/>
          <w:szCs w:val="24"/>
        </w:rPr>
        <w:t xml:space="preserve"> ,  </w:t>
      </w:r>
      <m:oMath>
        <m:r>
          <w:rPr>
            <w:rFonts w:ascii="Cambria Math" w:hAnsi="Cambria Math" w:cs="Times New Roman"/>
            <w:noProof/>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=1-δ·</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oMath>
    </w:p>
    <w:p w14:paraId="722603B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with δ(m) = 1 - </w:t>
      </w:r>
      <w:proofErr w:type="spellStart"/>
      <w:r>
        <w:rPr>
          <w:rFonts w:ascii="Times New Roman" w:hAnsi="Times New Roman" w:cs="Times New Roman"/>
          <w:sz w:val="24"/>
          <w:szCs w:val="24"/>
        </w:rPr>
        <w:t>δ·m</w:t>
      </w:r>
      <w:proofErr w:type="spellEnd"/>
      <w:r>
        <w:rPr>
          <w:rFonts w:ascii="Times New Roman" w:hAnsi="Times New Roman" w:cs="Times New Roman"/>
          <w:sz w:val="24"/>
          <w:szCs w:val="24"/>
        </w:rPr>
        <w:t xml:space="preserve"> capturing the utility penalty from poor health (δ = 0.1 implies 10% utility reduction when sick).</w:t>
      </w:r>
    </w:p>
    <w:p w14:paraId="376A67D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state space at age j is six-dimensional: zⱼ = (j, aⱼ, θ, mⱼ, ηⱼ, ζⱼ), where:</w:t>
      </w:r>
    </w:p>
    <w:p w14:paraId="081E787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j: </w:t>
      </w:r>
      <w:r>
        <w:rPr>
          <w:rFonts w:ascii="Times New Roman" w:hAnsi="Times New Roman" w:cs="Times New Roman"/>
          <w:sz w:val="24"/>
          <w:szCs w:val="24"/>
        </w:rPr>
        <w:t>age (cohort index from 1 to J)</w:t>
      </w:r>
    </w:p>
    <w:p w14:paraId="13FFA95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aⱼ: </w:t>
      </w:r>
      <w:r>
        <w:rPr>
          <w:rFonts w:ascii="Times New Roman" w:hAnsi="Times New Roman" w:cs="Times New Roman"/>
          <w:sz w:val="24"/>
          <w:szCs w:val="24"/>
        </w:rPr>
        <w:t>asset holdings (continuous state variable)</w:t>
      </w:r>
    </w:p>
    <w:p w14:paraId="52107F7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θ: </w:t>
      </w:r>
      <w:r>
        <w:rPr>
          <w:rFonts w:ascii="Times New Roman" w:hAnsi="Times New Roman" w:cs="Times New Roman"/>
          <w:sz w:val="24"/>
          <w:szCs w:val="24"/>
        </w:rPr>
        <w:t>permanent skill level (θ₁ for low-skilled, θ₂ for high-skilled)</w:t>
      </w:r>
    </w:p>
    <w:p w14:paraId="5DF5F02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mⱼ: </w:t>
      </w:r>
      <w:r>
        <w:rPr>
          <w:rFonts w:ascii="Times New Roman" w:hAnsi="Times New Roman" w:cs="Times New Roman"/>
          <w:sz w:val="24"/>
          <w:szCs w:val="24"/>
        </w:rPr>
        <w:t>health status (binary: 0 = healthy, 1 = sick)</w:t>
      </w:r>
    </w:p>
    <w:p w14:paraId="3F0B342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ηⱼ: </w:t>
      </w:r>
      <w:r>
        <w:rPr>
          <w:rFonts w:ascii="Times New Roman" w:hAnsi="Times New Roman" w:cs="Times New Roman"/>
          <w:sz w:val="24"/>
          <w:szCs w:val="24"/>
        </w:rPr>
        <w:t>transitory productivity shock following AR(1) process with persistence ρ = 0.985</w:t>
      </w:r>
    </w:p>
    <w:p w14:paraId="2BDBAAA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ζⱼ: </w:t>
      </w:r>
      <w:r>
        <w:rPr>
          <w:rFonts w:ascii="Times New Roman" w:hAnsi="Times New Roman" w:cs="Times New Roman"/>
          <w:sz w:val="24"/>
          <w:szCs w:val="24"/>
        </w:rPr>
        <w:t xml:space="preserve">health cost shock drawn </w:t>
      </w:r>
      <w:proofErr w:type="spellStart"/>
      <w:r>
        <w:rPr>
          <w:rFonts w:ascii="Times New Roman" w:hAnsi="Times New Roman" w:cs="Times New Roman"/>
          <w:sz w:val="24"/>
          <w:szCs w:val="24"/>
        </w:rPr>
        <w:t>i.i.d.</w:t>
      </w:r>
      <w:proofErr w:type="spellEnd"/>
      <w:r>
        <w:rPr>
          <w:rFonts w:ascii="Times New Roman" w:hAnsi="Times New Roman" w:cs="Times New Roman"/>
          <w:sz w:val="24"/>
          <w:szCs w:val="24"/>
        </w:rPr>
        <w:t xml:space="preserve"> from N(0, σ²ζ) with </w:t>
      </w:r>
      <w:proofErr w:type="spellStart"/>
      <w:r>
        <w:rPr>
          <w:rFonts w:ascii="Times New Roman" w:hAnsi="Times New Roman" w:cs="Times New Roman"/>
          <w:sz w:val="24"/>
          <w:szCs w:val="24"/>
        </w:rPr>
        <w:t>σζ</w:t>
      </w:r>
      <w:proofErr w:type="spellEnd"/>
      <w:r>
        <w:rPr>
          <w:rFonts w:ascii="Times New Roman" w:hAnsi="Times New Roman" w:cs="Times New Roman"/>
          <w:sz w:val="24"/>
          <w:szCs w:val="24"/>
        </w:rPr>
        <w:t xml:space="preserve"> = 0.2</w:t>
      </w:r>
    </w:p>
    <w:p w14:paraId="252ED29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expansion from the standard five-dimensional state space (j, a, θ, m, η) to include health cost shocks (ζ) allows the model to capture uncertainty in medical expenditures beyond deterministic age patterns.</w:t>
      </w:r>
    </w:p>
    <w:p w14:paraId="105293E0" w14:textId="77777777" w:rsidR="005D489F" w:rsidRDefault="00000000">
      <w:pPr>
        <w:pStyle w:val="Heading3"/>
      </w:pPr>
      <w:r>
        <w:t xml:space="preserve"> Budget Constraint with Health Costs</w:t>
      </w:r>
    </w:p>
    <w:p w14:paraId="4AFFACC0" w14:textId="77777777" w:rsidR="005D489F" w:rsidRDefault="00000000">
      <w:pPr>
        <w:rPr>
          <w:rFonts w:ascii="Times New Roman" w:hAnsi="Times New Roman" w:cs="Times New Roman"/>
          <w:sz w:val="24"/>
          <w:szCs w:val="24"/>
        </w:rPr>
      </w:pPr>
      <w:r>
        <w:rPr>
          <w:rFonts w:ascii="Times New Roman" w:hAnsi="Times New Roman" w:cs="Times New Roman"/>
          <w:sz w:val="24"/>
          <w:szCs w:val="24"/>
        </w:rPr>
        <w:t>The household faces the following budget constraint in each period:</w:t>
      </w:r>
    </w:p>
    <w:p w14:paraId="4D931A51" w14:textId="77777777" w:rsidR="005D489F" w:rsidRDefault="00000000">
      <w:pPr>
        <w:spacing w:line="360" w:lineRule="auto"/>
        <w:rPr>
          <w:sz w:val="20"/>
        </w:rPr>
      </w:pPr>
      <m:oMathPara>
        <m:oMath>
          <m:sSub>
            <m:sSubPr>
              <m:ctrlPr>
                <w:rPr>
                  <w:rFonts w:ascii="Cambria Math" w:hAnsi="Cambria Math"/>
                  <w:i/>
                  <w:noProof/>
                  <w:sz w:val="20"/>
                </w:rPr>
              </m:ctrlPr>
            </m:sSubPr>
            <m:e>
              <m:r>
                <w:rPr>
                  <w:rFonts w:ascii="Cambria Math" w:hAnsi="Cambria Math"/>
                  <w:sz w:val="20"/>
                </w:rPr>
                <m:t>a</m:t>
              </m:r>
            </m:e>
            <m:sub>
              <m:d>
                <m:dPr>
                  <m:ctrlPr>
                    <w:rPr>
                      <w:rFonts w:ascii="Cambria Math" w:hAnsi="Cambria Math"/>
                      <w:i/>
                      <w:sz w:val="20"/>
                    </w:rPr>
                  </m:ctrlPr>
                </m:dPr>
                <m:e>
                  <m:r>
                    <w:rPr>
                      <w:rFonts w:ascii="Cambria Math" w:hAnsi="Cambria Math"/>
                      <w:sz w:val="20"/>
                    </w:rPr>
                    <m:t>j+1</m:t>
                  </m:r>
                </m:e>
              </m:d>
            </m:sub>
          </m:sSub>
          <m:r>
            <w:rPr>
              <w:rFonts w:ascii="Cambria Math" w:hAnsi="Cambria Math"/>
              <w:sz w:val="20"/>
            </w:rPr>
            <m:t>+h</m:t>
          </m:r>
          <m:sSub>
            <m:sSubPr>
              <m:ctrlPr>
                <w:rPr>
                  <w:rFonts w:ascii="Cambria Math" w:hAnsi="Cambria Math"/>
                  <w:i/>
                  <w:sz w:val="20"/>
                </w:rPr>
              </m:ctrlPr>
            </m:sSubPr>
            <m:e>
              <m:r>
                <w:rPr>
                  <w:rFonts w:ascii="Cambria Math" w:hAnsi="Cambria Math"/>
                  <w:sz w:val="20"/>
                </w:rPr>
                <m:t>c</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c</m:t>
              </m:r>
            </m:e>
            <m:sub>
              <m:r>
                <w:rPr>
                  <w:rFonts w:ascii="Cambria Math" w:hAnsi="Cambria Math"/>
                  <w:sz w:val="20"/>
                </w:rPr>
                <m:t>j</m:t>
              </m:r>
            </m:sub>
          </m:sSub>
          <m:r>
            <w:rPr>
              <w:rFonts w:ascii="Cambria Math" w:hAnsi="Cambria Math"/>
              <w:sz w:val="20"/>
            </w:rPr>
            <m:t>=</m:t>
          </m:r>
          <m:d>
            <m:dPr>
              <m:ctrlPr>
                <w:rPr>
                  <w:rFonts w:ascii="Cambria Math" w:hAnsi="Cambria Math"/>
                  <w:i/>
                  <w:sz w:val="20"/>
                </w:rPr>
              </m:ctrlPr>
            </m:dPr>
            <m:e>
              <m:r>
                <w:rPr>
                  <w:rFonts w:ascii="Cambria Math" w:hAnsi="Cambria Math"/>
                  <w:sz w:val="20"/>
                </w:rPr>
                <m:t>1+r</m:t>
              </m:r>
            </m:e>
          </m:d>
          <m:sSub>
            <m:sSubPr>
              <m:ctrlPr>
                <w:rPr>
                  <w:rFonts w:ascii="Cambria Math" w:hAnsi="Cambria Math"/>
                  <w:i/>
                  <w:sz w:val="20"/>
                </w:rPr>
              </m:ctrlPr>
            </m:sSubPr>
            <m:e>
              <m:r>
                <w:rPr>
                  <w:rFonts w:ascii="Cambria Math" w:hAnsi="Cambria Math"/>
                  <w:sz w:val="20"/>
                </w:rPr>
                <m:t>a</m:t>
              </m:r>
            </m:e>
            <m:sub>
              <m:r>
                <w:rPr>
                  <w:rFonts w:ascii="Cambria Math" w:hAnsi="Cambria Math"/>
                  <w:sz w:val="20"/>
                </w:rPr>
                <m:t>j</m:t>
              </m:r>
            </m:sub>
          </m:sSub>
          <m:r>
            <w:rPr>
              <w:rFonts w:ascii="Cambria Math" w:hAnsi="Cambria Math"/>
              <w:sz w:val="20"/>
            </w:rPr>
            <m:t>+w</m:t>
          </m:r>
          <m:r>
            <m:rPr>
              <m:sty m:val="p"/>
            </m:rPr>
            <w:rPr>
              <w:rFonts w:ascii="Cambria Math" w:hAnsi="Cambria Math"/>
              <w:sz w:val="20"/>
            </w:rPr>
            <m:t>⋅</m:t>
          </m:r>
          <m:sSub>
            <m:sSubPr>
              <m:ctrlPr>
                <w:rPr>
                  <w:rFonts w:ascii="Cambria Math" w:hAnsi="Cambria Math"/>
                  <w:i/>
                  <w:sz w:val="20"/>
                </w:rPr>
              </m:ctrlPr>
            </m:sSubPr>
            <m:e>
              <m:r>
                <w:rPr>
                  <w:rFonts w:ascii="Cambria Math" w:hAnsi="Cambria Math"/>
                  <w:sz w:val="20"/>
                </w:rPr>
                <m:t>h</m:t>
              </m:r>
              <m:ctrlPr>
                <w:rPr>
                  <w:rFonts w:ascii="Cambria Math" w:hAnsi="Cambria Math"/>
                  <w:sz w:val="20"/>
                </w:rPr>
              </m:ctrlPr>
            </m:e>
            <m:sub>
              <m:r>
                <w:rPr>
                  <w:rFonts w:ascii="Cambria Math" w:hAnsi="Cambria Math"/>
                  <w:sz w:val="20"/>
                </w:rPr>
                <m:t>j</m:t>
              </m:r>
            </m:sub>
          </m:sSub>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m</m:t>
                  </m:r>
                </m:e>
                <m:sub>
                  <m:r>
                    <w:rPr>
                      <w:rFonts w:ascii="Cambria Math" w:hAnsi="Cambria Math"/>
                      <w:sz w:val="20"/>
                    </w:rPr>
                    <m:t>j</m:t>
                  </m:r>
                </m:sub>
              </m:sSub>
            </m:e>
          </m:d>
          <m:r>
            <w:rPr>
              <w:rFonts w:ascii="Cambria Math" w:hAnsi="Cambria Math"/>
              <w:sz w:val="20"/>
            </w:rPr>
            <m:t>+pe</m:t>
          </m:r>
          <m:sSub>
            <m:sSubPr>
              <m:ctrlPr>
                <w:rPr>
                  <w:rFonts w:ascii="Cambria Math" w:hAnsi="Cambria Math"/>
                  <w:i/>
                  <w:sz w:val="20"/>
                </w:rPr>
              </m:ctrlPr>
            </m:sSubPr>
            <m:e>
              <m:r>
                <w:rPr>
                  <w:rFonts w:ascii="Cambria Math" w:hAnsi="Cambria Math"/>
                  <w:sz w:val="20"/>
                </w:rPr>
                <m:t>n</m:t>
              </m:r>
            </m:e>
            <m:sub>
              <m:r>
                <w:rPr>
                  <w:rFonts w:ascii="Cambria Math" w:hAnsi="Cambria Math"/>
                  <w:sz w:val="20"/>
                </w:rPr>
                <m:t>j</m:t>
              </m:r>
            </m:sub>
          </m:sSub>
          <m:r>
            <w:rPr>
              <w:rFonts w:ascii="Cambria Math" w:hAnsi="Cambria Math"/>
              <w:sz w:val="20"/>
            </w:rPr>
            <m:t>+</m:t>
          </m:r>
          <m:sSub>
            <m:sSubPr>
              <m:ctrlPr>
                <w:rPr>
                  <w:rFonts w:ascii="Cambria Math" w:hAnsi="Cambria Math"/>
                  <w:i/>
                  <w:sz w:val="20"/>
                </w:rPr>
              </m:ctrlPr>
            </m:sSubPr>
            <m:e>
              <m:r>
                <w:rPr>
                  <w:rFonts w:ascii="Cambria Math" w:hAnsi="Cambria Math"/>
                  <w:sz w:val="20"/>
                </w:rPr>
                <m:t>b</m:t>
              </m:r>
            </m:e>
            <m:sub>
              <m:r>
                <w:rPr>
                  <w:rFonts w:ascii="Cambria Math" w:hAnsi="Cambria Math"/>
                  <w:sz w:val="20"/>
                </w:rPr>
                <m:t>j</m:t>
              </m:r>
            </m:sub>
          </m:sSub>
        </m:oMath>
      </m:oMathPara>
    </w:p>
    <w:p w14:paraId="1F6563BA"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0FAFA94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aⱼ₊₁: </w:t>
      </w:r>
      <w:r>
        <w:rPr>
          <w:rFonts w:ascii="Times New Roman" w:hAnsi="Times New Roman" w:cs="Times New Roman"/>
          <w:sz w:val="24"/>
          <w:szCs w:val="24"/>
        </w:rPr>
        <w:t>asset holdings carried into next period (subject to aⱼ₊₁ ≥ 0)</w:t>
      </w:r>
    </w:p>
    <w:p w14:paraId="60FE6A1A" w14:textId="77777777" w:rsidR="005D489F" w:rsidRDefault="00000000">
      <w:pPr>
        <w:pStyle w:val="ListBullet"/>
        <w:tabs>
          <w:tab w:val="left" w:pos="360"/>
        </w:tabs>
        <w:spacing w:line="360" w:lineRule="auto"/>
        <w:rPr>
          <w:rFonts w:ascii="Times New Roman" w:hAnsi="Times New Roman" w:cs="Times New Roman"/>
          <w:sz w:val="24"/>
          <w:szCs w:val="24"/>
        </w:rPr>
      </w:pPr>
      <w:proofErr w:type="spellStart"/>
      <w:r>
        <w:rPr>
          <w:rFonts w:ascii="Times New Roman" w:hAnsi="Times New Roman" w:cs="Times New Roman"/>
          <w:b/>
          <w:sz w:val="24"/>
          <w:szCs w:val="24"/>
        </w:rPr>
        <w:t>hc</w:t>
      </w:r>
      <w:proofErr w:type="spellEnd"/>
      <w:r>
        <w:rPr>
          <w:rFonts w:ascii="Times New Roman" w:hAnsi="Times New Roman" w:cs="Times New Roman"/>
          <w:b/>
          <w:sz w:val="24"/>
          <w:szCs w:val="24"/>
        </w:rPr>
        <w:t xml:space="preserve">ⱼ: </w:t>
      </w:r>
      <w:r>
        <w:rPr>
          <w:rFonts w:ascii="Times New Roman" w:hAnsi="Times New Roman" w:cs="Times New Roman"/>
          <w:sz w:val="24"/>
          <w:szCs w:val="24"/>
        </w:rPr>
        <w:t>out-of-pocket health expenditures</w:t>
      </w:r>
    </w:p>
    <w:p w14:paraId="1B3948B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cⱼ: </w:t>
      </w:r>
      <w:r>
        <w:rPr>
          <w:rFonts w:ascii="Times New Roman" w:hAnsi="Times New Roman" w:cs="Times New Roman"/>
          <w:sz w:val="24"/>
          <w:szCs w:val="24"/>
        </w:rPr>
        <w:t>consumption</w:t>
      </w:r>
    </w:p>
    <w:p w14:paraId="7FA6F2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r: </w:t>
      </w:r>
      <w:r>
        <w:rPr>
          <w:rFonts w:ascii="Times New Roman" w:hAnsi="Times New Roman" w:cs="Times New Roman"/>
          <w:sz w:val="24"/>
          <w:szCs w:val="24"/>
        </w:rPr>
        <w:t>exogenous interest rate</w:t>
      </w:r>
    </w:p>
    <w:p w14:paraId="42ADA75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w: </w:t>
      </w:r>
      <w:r>
        <w:rPr>
          <w:rFonts w:ascii="Times New Roman" w:hAnsi="Times New Roman" w:cs="Times New Roman"/>
          <w:sz w:val="24"/>
          <w:szCs w:val="24"/>
        </w:rPr>
        <w:t>wage rate</w:t>
      </w:r>
    </w:p>
    <w:p w14:paraId="1AFA8E1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hⱼ(mⱼ): </w:t>
      </w:r>
      <w:r>
        <w:rPr>
          <w:rFonts w:ascii="Times New Roman" w:hAnsi="Times New Roman" w:cs="Times New Roman"/>
          <w:sz w:val="24"/>
          <w:szCs w:val="24"/>
        </w:rPr>
        <w:t>labor productivity (depends on health status, detailed below)</w:t>
      </w:r>
    </w:p>
    <w:p w14:paraId="192A43D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penⱼ: </w:t>
      </w:r>
      <w:r>
        <w:rPr>
          <w:rFonts w:ascii="Times New Roman" w:hAnsi="Times New Roman" w:cs="Times New Roman"/>
          <w:sz w:val="24"/>
          <w:szCs w:val="24"/>
        </w:rPr>
        <w:t>pension income (for retirees)</w:t>
      </w:r>
    </w:p>
    <w:p w14:paraId="0578E15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b/>
          <w:sz w:val="24"/>
          <w:szCs w:val="24"/>
        </w:rPr>
        <w:t xml:space="preserve">bⱼ: </w:t>
      </w:r>
      <w:r>
        <w:rPr>
          <w:rFonts w:ascii="Times New Roman" w:hAnsi="Times New Roman" w:cs="Times New Roman"/>
          <w:sz w:val="24"/>
          <w:szCs w:val="24"/>
        </w:rPr>
        <w:t>government transfer ensuring consumption floor</w:t>
      </w:r>
    </w:p>
    <w:p w14:paraId="096907A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Out-of-pocket health costs follow the specification:</w:t>
      </w:r>
    </w:p>
    <w:p w14:paraId="1D57EEC9" w14:textId="77777777" w:rsidR="005D489F" w:rsidRDefault="00000000">
      <w:pPr>
        <w:jc w:val="center"/>
        <w:rPr>
          <w:i/>
          <w:lang w:val="es-MX"/>
        </w:rPr>
      </w:pPr>
      <m:oMathPara>
        <m:oMath>
          <m:r>
            <m:rPr>
              <m:sty m:val="p"/>
            </m:rPr>
            <w:rPr>
              <w:rFonts w:ascii="Cambria Math" w:hAnsi="Cambria Math"/>
              <w:sz w:val="20"/>
              <w:lang w:val="es-MX"/>
            </w:rPr>
            <w:lastRenderedPageBreak/>
            <m:t>hc</m:t>
          </m:r>
          <m:r>
            <m:rPr>
              <m:sty m:val="p"/>
            </m:rPr>
            <w:rPr>
              <w:rFonts w:ascii="Cambria Math" w:hAnsi="Cambria Math"/>
              <w:sz w:val="20"/>
            </w:rPr>
            <m:t>ⱼ</m:t>
          </m:r>
          <m:r>
            <m:rPr>
              <m:sty m:val="p"/>
            </m:rPr>
            <w:rPr>
              <w:rFonts w:ascii="Cambria Math" w:hAnsi="Cambria Math"/>
              <w:sz w:val="20"/>
              <w:lang w:val="es-MX"/>
            </w:rPr>
            <m:t xml:space="preserve"> = k</m:t>
          </m:r>
          <m:r>
            <m:rPr>
              <m:sty m:val="p"/>
            </m:rPr>
            <w:rPr>
              <w:rFonts w:ascii="Cambria Math" w:hAnsi="Cambria Math"/>
              <w:sz w:val="20"/>
            </w:rPr>
            <m:t>ⱼ</m:t>
          </m:r>
          <m:r>
            <m:rPr>
              <m:sty m:val="p"/>
            </m:rPr>
            <w:rPr>
              <w:rFonts w:ascii="Cambria Math" w:hAnsi="Cambria Math"/>
              <w:sz w:val="20"/>
              <w:lang w:val="es-MX"/>
            </w:rPr>
            <m:t xml:space="preserve"> · exp(</m:t>
          </m:r>
          <m:r>
            <m:rPr>
              <m:sty m:val="p"/>
            </m:rPr>
            <w:rPr>
              <w:rFonts w:ascii="Cambria Math" w:hAnsi="Cambria Math"/>
              <w:sz w:val="20"/>
            </w:rPr>
            <m:t>ζⱼ</m:t>
          </m:r>
          <m:r>
            <m:rPr>
              <m:sty m:val="p"/>
            </m:rPr>
            <w:rPr>
              <w:rFonts w:ascii="Cambria Math" w:hAnsi="Cambria Math"/>
              <w:sz w:val="20"/>
              <w:lang w:val="es-MX"/>
            </w:rPr>
            <m:t>)</m:t>
          </m:r>
        </m:oMath>
      </m:oMathPara>
    </w:p>
    <w:p w14:paraId="5170495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 kⱼ increases linearly with age from k₁ = 0.3 to kⱼ = 0.9, and ζⱼ ~ N(0, 0.04) is a log-normal shock. This formulation captures:</w:t>
      </w:r>
    </w:p>
    <w:p w14:paraId="5BB9A0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Rising healthcare needs with age (captured by kⱼ)</w:t>
      </w:r>
    </w:p>
    <w:p w14:paraId="7B4AC86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Stochastic variation in medical expenses (captured by exp(ζⱼ))</w:t>
      </w:r>
    </w:p>
    <w:p w14:paraId="7EF6504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Potential for catastrophic health costs (right tail of log-normal distribution)</w:t>
      </w:r>
    </w:p>
    <w:p w14:paraId="4A73D88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government provides transfers to ensure a minimum consumption level:</w:t>
      </w:r>
    </w:p>
    <w:p w14:paraId="5946167E" w14:textId="77777777" w:rsidR="005D489F" w:rsidRDefault="00000000">
      <w:pPr>
        <w:spacing w:line="360" w:lineRule="auto"/>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=max</m:t>
          </m:r>
          <m:d>
            <m:dPr>
              <m:begChr m:val="["/>
              <m:endChr m:val="]"/>
              <m:ctrlPr>
                <w:rPr>
                  <w:rFonts w:ascii="Cambria Math" w:hAnsi="Cambria Math" w:cs="Times New Roman"/>
                  <w:i/>
                  <w:sz w:val="24"/>
                  <w:szCs w:val="24"/>
                </w:rPr>
              </m:ctrlPr>
            </m:dPr>
            <m:e>
              <m:bar>
                <m:barPr>
                  <m:ctrlPr>
                    <w:rPr>
                      <w:rFonts w:ascii="Cambria Math" w:hAnsi="Cambria Math" w:cs="Times New Roman"/>
                      <w:sz w:val="24"/>
                      <w:szCs w:val="24"/>
                    </w:rPr>
                  </m:ctrlPr>
                </m:barPr>
                <m:e>
                  <m:r>
                    <w:rPr>
                      <w:rFonts w:ascii="Cambria Math" w:hAnsi="Cambria Math" w:cs="Times New Roman"/>
                      <w:sz w:val="24"/>
                      <w:szCs w:val="24"/>
                    </w:rPr>
                    <m:t>c</m:t>
                  </m:r>
                </m:e>
              </m:bar>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1+r</m:t>
                  </m:r>
                </m:e>
              </m:d>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-pe</m:t>
              </m:r>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r>
                <w:rPr>
                  <w:rFonts w:ascii="Cambria Math" w:hAnsi="Cambria Math" w:cs="Times New Roman"/>
                  <w:sz w:val="24"/>
                  <w:szCs w:val="24"/>
                </w:rPr>
                <m:t>,0</m:t>
              </m:r>
            </m:e>
          </m:d>
        </m:oMath>
      </m:oMathPara>
    </w:p>
    <w:p w14:paraId="70D9D81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with consumption floor c̄ = 0.05. This specification guarantees cⱼ ≥ c̄ for all households, representing Medicaid-type programs and social safety nets.</w:t>
      </w:r>
    </w:p>
    <w:p w14:paraId="70447912" w14:textId="77777777" w:rsidR="005D489F" w:rsidRDefault="00000000">
      <w:pPr>
        <w:pStyle w:val="Heading3"/>
      </w:pPr>
      <w:r>
        <w:t>Skill-Dependent Health Transitions</w:t>
      </w:r>
    </w:p>
    <w:p w14:paraId="0DE58BB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A critical innovation is that health transition probabilities depend on permanent skill levels, reflecting differential exposure to health risks and access to healthcare.</w:t>
      </w:r>
    </w:p>
    <w:p w14:paraId="3A2DE62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For LOW-SKILLED workers (θ = θ₁ = -√0.242):</w:t>
      </w:r>
    </w:p>
    <w:p w14:paraId="0DE2B3D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probability of transitioning from healthy to sick increases linearly with age:</w:t>
      </w:r>
    </w:p>
    <w:p w14:paraId="4D19305E" w14:textId="77777777" w:rsidR="005D489F" w:rsidRDefault="00000000">
      <w:pPr>
        <w:spacing w:line="360" w:lineRule="auto"/>
        <w:jc w:val="center"/>
        <w:rPr>
          <w:rFonts w:ascii="Times New Roman" w:hAnsi="Times New Roman" w:cs="Times New Roman"/>
          <w:sz w:val="24"/>
          <w:szCs w:val="24"/>
        </w:rPr>
      </w:pPr>
      <m:oMathPara>
        <m:oMath>
          <m:r>
            <w:rPr>
              <w:rFonts w:ascii="Cambria Math" w:hAnsi="Cambria Math" w:cs="Times New Roman"/>
              <w:noProof/>
              <w:sz w:val="24"/>
              <w:szCs w:val="24"/>
            </w:rPr>
            <m:t>p</m:t>
          </m:r>
          <m:sSubSup>
            <m:sSubSupPr>
              <m:ctrlPr>
                <w:rPr>
                  <w:rFonts w:ascii="Cambria Math" w:hAnsi="Cambria Math" w:cs="Times New Roman"/>
                  <w:i/>
                  <w:sz w:val="24"/>
                  <w:szCs w:val="24"/>
                </w:rPr>
              </m:ctrlPr>
            </m:sSubSupPr>
            <m:e>
              <m:r>
                <w:rPr>
                  <w:rFonts w:ascii="Cambria Math" w:hAnsi="Cambria Math" w:cs="Times New Roman"/>
                  <w:sz w:val="24"/>
                  <w:szCs w:val="24"/>
                </w:rPr>
                <m:t>g</m:t>
              </m:r>
            </m:e>
            <m:sub>
              <m:r>
                <w:rPr>
                  <w:rFonts w:ascii="Cambria Math" w:hAnsi="Cambria Math" w:cs="Times New Roman"/>
                  <w:sz w:val="24"/>
                  <w:szCs w:val="24"/>
                </w:rPr>
                <m:t>j</m:t>
              </m:r>
            </m:sub>
            <m:sup>
              <m:r>
                <w:rPr>
                  <w:rFonts w:ascii="Cambria Math" w:hAnsi="Cambria Math" w:cs="Times New Roman"/>
                  <w:sz w:val="24"/>
                  <w:szCs w:val="24"/>
                </w:rPr>
                <m:t>low</m:t>
              </m:r>
            </m:sup>
          </m:sSubSup>
          <m:r>
            <w:rPr>
              <w:rFonts w:ascii="Cambria Math" w:hAnsi="Cambria Math" w:cs="Times New Roman"/>
              <w:sz w:val="24"/>
              <w:szCs w:val="24"/>
            </w:rPr>
            <m:t>=0.10+</m:t>
          </m:r>
          <m:d>
            <m:dPr>
              <m:ctrlPr>
                <w:rPr>
                  <w:rFonts w:ascii="Cambria Math" w:hAnsi="Cambria Math" w:cs="Times New Roman"/>
                  <w:i/>
                  <w:sz w:val="24"/>
                  <w:szCs w:val="24"/>
                </w:rPr>
              </m:ctrlPr>
            </m:dPr>
            <m:e>
              <m:r>
                <w:rPr>
                  <w:rFonts w:ascii="Cambria Math" w:hAnsi="Cambria Math" w:cs="Times New Roman"/>
                  <w:sz w:val="24"/>
                  <w:szCs w:val="24"/>
                </w:rPr>
                <m:t>0.40-0.10</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j-1</m:t>
              </m:r>
            </m:e>
          </m:d>
          <m:r>
            <m:rPr>
              <m:lit/>
            </m:rP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J-1</m:t>
              </m:r>
            </m:e>
          </m:d>
        </m:oMath>
      </m:oMathPara>
    </w:p>
    <w:p w14:paraId="5A615F0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At age 1: </w:t>
      </w:r>
      <w:proofErr w:type="spellStart"/>
      <w:r>
        <w:rPr>
          <w:rFonts w:ascii="Times New Roman" w:hAnsi="Times New Roman" w:cs="Times New Roman"/>
          <w:sz w:val="24"/>
          <w:szCs w:val="24"/>
        </w:rPr>
        <w:t>pg₁ˡᵒʷ</w:t>
      </w:r>
      <w:proofErr w:type="spellEnd"/>
      <w:r>
        <w:rPr>
          <w:rFonts w:ascii="Times New Roman" w:hAnsi="Times New Roman" w:cs="Times New Roman"/>
          <w:sz w:val="24"/>
          <w:szCs w:val="24"/>
        </w:rPr>
        <w:t xml:space="preserve"> = 0.10 (10% chance of becoming sick)</w:t>
      </w:r>
      <w:r>
        <w:rPr>
          <w:rFonts w:ascii="Times New Roman" w:hAnsi="Times New Roman" w:cs="Times New Roman"/>
          <w:sz w:val="24"/>
          <w:szCs w:val="24"/>
        </w:rPr>
        <w:br/>
        <w:t xml:space="preserve">At age J: </w:t>
      </w:r>
      <w:proofErr w:type="spellStart"/>
      <w:r>
        <w:rPr>
          <w:rFonts w:ascii="Times New Roman" w:hAnsi="Times New Roman" w:cs="Times New Roman"/>
          <w:sz w:val="24"/>
          <w:szCs w:val="24"/>
        </w:rPr>
        <w:t>pgⱼˡᵒʷ</w:t>
      </w:r>
      <w:proofErr w:type="spellEnd"/>
      <w:r>
        <w:rPr>
          <w:rFonts w:ascii="Times New Roman" w:hAnsi="Times New Roman" w:cs="Times New Roman"/>
          <w:sz w:val="24"/>
          <w:szCs w:val="24"/>
        </w:rPr>
        <w:t xml:space="preserve"> = 0.40 (40% chance of becoming sick)</w:t>
      </w:r>
      <w:r>
        <w:rPr>
          <w:rFonts w:ascii="Times New Roman" w:hAnsi="Times New Roman" w:cs="Times New Roman"/>
          <w:sz w:val="24"/>
          <w:szCs w:val="24"/>
        </w:rPr>
        <w:br/>
        <w:t xml:space="preserve">At age 50 (middle age):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₅₀</w:t>
      </w:r>
      <w:proofErr w:type="spellStart"/>
      <w:r>
        <w:rPr>
          <w:rFonts w:ascii="Times New Roman" w:hAnsi="Times New Roman" w:cs="Times New Roman"/>
          <w:sz w:val="24"/>
          <w:szCs w:val="24"/>
        </w:rPr>
        <w:t>ˡᵒʷ</w:t>
      </w:r>
      <w:proofErr w:type="spellEnd"/>
      <w:r>
        <w:rPr>
          <w:rFonts w:ascii="Times New Roman" w:hAnsi="Times New Roman" w:cs="Times New Roman"/>
          <w:sz w:val="24"/>
          <w:szCs w:val="24"/>
        </w:rPr>
        <w:t xml:space="preserve"> ≈ 0.21 (21% chance of becoming sick)</w:t>
      </w:r>
    </w:p>
    <w:p w14:paraId="6486E04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persistence of poor health (probability of remaining sick) is:</w:t>
      </w:r>
    </w:p>
    <w:p w14:paraId="255652F1" w14:textId="77777777" w:rsidR="005D489F" w:rsidRDefault="00000000">
      <w:pPr>
        <w:spacing w:line="360" w:lineRule="auto"/>
        <w:jc w:val="center"/>
        <w:rPr>
          <w:rFonts w:ascii="Times New Roman" w:hAnsi="Times New Roman" w:cs="Times New Roman"/>
          <w:sz w:val="24"/>
          <w:szCs w:val="24"/>
          <w:lang w:val="es-MX"/>
        </w:rPr>
      </w:pPr>
      <m:oMathPara>
        <m:oMath>
          <m:r>
            <w:rPr>
              <w:rFonts w:ascii="Cambria Math" w:eastAsiaTheme="minorEastAsia" w:hAnsi="Cambria Math" w:cs="Times New Roman"/>
              <w:noProof/>
              <w:sz w:val="24"/>
              <w:szCs w:val="24"/>
              <w:lang w:val="es-MX"/>
            </w:rPr>
            <m:t>p</m:t>
          </m:r>
          <m:sSub>
            <m:sSubPr>
              <m:ctrlPr>
                <w:rPr>
                  <w:rFonts w:ascii="Cambria Math" w:eastAsiaTheme="minorEastAsia" w:hAnsi="Cambria Math" w:cs="Times New Roman"/>
                  <w:i/>
                  <w:sz w:val="24"/>
                  <w:szCs w:val="24"/>
                  <w:lang w:val="es-MX"/>
                </w:rPr>
              </m:ctrlPr>
            </m:sSubPr>
            <m:e>
              <m:r>
                <w:rPr>
                  <w:rFonts w:ascii="Cambria Math" w:eastAsiaTheme="minorEastAsia" w:hAnsi="Cambria Math" w:cs="Times New Roman"/>
                  <w:sz w:val="24"/>
                  <w:szCs w:val="24"/>
                  <w:lang w:val="es-MX"/>
                </w:rPr>
                <m:t>b</m:t>
              </m:r>
            </m:e>
            <m:sub>
              <m:r>
                <w:rPr>
                  <w:rFonts w:ascii="Cambria Math" w:eastAsiaTheme="minorEastAsia" w:hAnsi="Cambria Math" w:cs="Times New Roman"/>
                  <w:sz w:val="24"/>
                  <w:szCs w:val="24"/>
                  <w:lang w:val="es-MX"/>
                </w:rPr>
                <m:t>j</m:t>
              </m:r>
            </m:sub>
          </m:sSub>
          <m:r>
            <w:rPr>
              <w:rFonts w:ascii="Cambria Math" w:eastAsiaTheme="minorEastAsia" w:hAnsi="Cambria Math" w:cs="Times New Roman"/>
              <w:sz w:val="24"/>
              <w:szCs w:val="24"/>
              <w:lang w:val="es-MX"/>
            </w:rPr>
            <m:t>=0.60+</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0.90-0.60</m:t>
              </m:r>
            </m:e>
          </m:d>
          <m:r>
            <w:rPr>
              <w:rFonts w:ascii="Cambria Math" w:eastAsiaTheme="minorEastAsia" w:hAnsi="Cambria Math" w:cs="Times New Roman"/>
              <w:sz w:val="24"/>
              <w:szCs w:val="24"/>
              <w:lang w:val="es-MX"/>
            </w:rPr>
            <m:t>×</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j-1</m:t>
              </m:r>
            </m:e>
          </m:d>
          <m:r>
            <m:rPr>
              <m:lit/>
            </m:rPr>
            <w:rPr>
              <w:rFonts w:ascii="Cambria Math" w:eastAsiaTheme="minorEastAsia" w:hAnsi="Cambria Math" w:cs="Times New Roman"/>
              <w:sz w:val="24"/>
              <w:szCs w:val="24"/>
              <w:lang w:val="es-MX"/>
            </w:rPr>
            <m:t>/</m:t>
          </m:r>
          <m:d>
            <m:dPr>
              <m:ctrlPr>
                <w:rPr>
                  <w:rFonts w:ascii="Cambria Math" w:eastAsiaTheme="minorEastAsia" w:hAnsi="Cambria Math" w:cs="Times New Roman"/>
                  <w:i/>
                  <w:sz w:val="24"/>
                  <w:szCs w:val="24"/>
                  <w:lang w:val="es-MX"/>
                </w:rPr>
              </m:ctrlPr>
            </m:dPr>
            <m:e>
              <m:r>
                <w:rPr>
                  <w:rFonts w:ascii="Cambria Math" w:eastAsiaTheme="minorEastAsia" w:hAnsi="Cambria Math" w:cs="Times New Roman"/>
                  <w:sz w:val="24"/>
                  <w:szCs w:val="24"/>
                  <w:lang w:val="es-MX"/>
                </w:rPr>
                <m:t>J-1</m:t>
              </m:r>
            </m:e>
          </m:d>
        </m:oMath>
      </m:oMathPara>
    </w:p>
    <w:p w14:paraId="7BB8B0E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ranges from 60% at young ages to 90% at old ages, reflecting increasing difficulty of recovery with age.</w:t>
      </w:r>
    </w:p>
    <w:p w14:paraId="7767877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For HIGH-SKILLED workers (θ = θ₂ = √0.242):</w:t>
      </w:r>
    </w:p>
    <w:p w14:paraId="59C4389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probability of becoming sick is substantially lower:</w:t>
      </w:r>
    </w:p>
    <w:p w14:paraId="57BBF5C3" w14:textId="77777777" w:rsidR="005D489F" w:rsidRDefault="00000000">
      <w:pPr>
        <w:spacing w:line="360" w:lineRule="auto"/>
        <w:jc w:val="center"/>
        <w:rPr>
          <w:rFonts w:ascii="Times New Roman" w:hAnsi="Times New Roman" w:cs="Times New Roman"/>
          <w:sz w:val="24"/>
          <w:szCs w:val="24"/>
          <w:lang w:val="es-MX"/>
        </w:rPr>
      </w:pPr>
      <m:oMathPara>
        <m:oMath>
          <m:r>
            <w:rPr>
              <w:rFonts w:ascii="Cambria Math" w:hAnsi="Cambria Math" w:cs="Times New Roman"/>
              <w:noProof/>
              <w:sz w:val="24"/>
              <w:szCs w:val="24"/>
              <w:lang w:val="es-MX"/>
            </w:rPr>
            <w:lastRenderedPageBreak/>
            <m:t>p</m:t>
          </m:r>
          <m:sSubSup>
            <m:sSubSupPr>
              <m:ctrlPr>
                <w:rPr>
                  <w:rFonts w:ascii="Cambria Math" w:hAnsi="Cambria Math" w:cs="Times New Roman"/>
                  <w:i/>
                  <w:sz w:val="24"/>
                  <w:szCs w:val="24"/>
                  <w:lang w:val="es-MX"/>
                </w:rPr>
              </m:ctrlPr>
            </m:sSubSupPr>
            <m:e>
              <m:r>
                <w:rPr>
                  <w:rFonts w:ascii="Cambria Math" w:hAnsi="Cambria Math" w:cs="Times New Roman"/>
                  <w:sz w:val="24"/>
                  <w:szCs w:val="24"/>
                  <w:lang w:val="es-MX"/>
                </w:rPr>
                <m:t>g</m:t>
              </m:r>
            </m:e>
            <m:sub>
              <m:r>
                <w:rPr>
                  <w:rFonts w:ascii="Cambria Math" w:hAnsi="Cambria Math" w:cs="Times New Roman"/>
                  <w:sz w:val="24"/>
                  <w:szCs w:val="24"/>
                  <w:lang w:val="es-MX"/>
                </w:rPr>
                <m:t>j</m:t>
              </m:r>
            </m:sub>
            <m:sup>
              <m:r>
                <w:rPr>
                  <w:rFonts w:ascii="Cambria Math" w:hAnsi="Cambria Math" w:cs="Times New Roman"/>
                  <w:sz w:val="24"/>
                  <w:szCs w:val="24"/>
                  <w:lang w:val="es-MX"/>
                </w:rPr>
                <m:t>high</m:t>
              </m:r>
            </m:sup>
          </m:sSubSup>
          <m:r>
            <w:rPr>
              <w:rFonts w:ascii="Cambria Math" w:hAnsi="Cambria Math" w:cs="Times New Roman"/>
              <w:sz w:val="24"/>
              <w:szCs w:val="24"/>
              <w:lang w:val="es-MX"/>
            </w:rPr>
            <m:t>=0.00+</m:t>
          </m:r>
          <m:d>
            <m:dPr>
              <m:ctrlPr>
                <w:rPr>
                  <w:rFonts w:ascii="Cambria Math" w:hAnsi="Cambria Math" w:cs="Times New Roman"/>
                  <w:i/>
                  <w:sz w:val="24"/>
                  <w:szCs w:val="24"/>
                  <w:lang w:val="es-MX"/>
                </w:rPr>
              </m:ctrlPr>
            </m:dPr>
            <m:e>
              <m:r>
                <w:rPr>
                  <w:rFonts w:ascii="Cambria Math" w:hAnsi="Cambria Math" w:cs="Times New Roman"/>
                  <w:sz w:val="24"/>
                  <w:szCs w:val="24"/>
                  <w:lang w:val="es-MX"/>
                </w:rPr>
                <m:t>0.20-0.00</m:t>
              </m:r>
            </m:e>
          </m:d>
          <m:r>
            <w:rPr>
              <w:rFonts w:ascii="Cambria Math" w:hAnsi="Cambria Math" w:cs="Times New Roman"/>
              <w:sz w:val="24"/>
              <w:szCs w:val="24"/>
              <w:lang w:val="es-MX"/>
            </w:rPr>
            <m:t>×</m:t>
          </m:r>
          <m:d>
            <m:dPr>
              <m:ctrlPr>
                <w:rPr>
                  <w:rFonts w:ascii="Cambria Math" w:hAnsi="Cambria Math" w:cs="Times New Roman"/>
                  <w:i/>
                  <w:sz w:val="24"/>
                  <w:szCs w:val="24"/>
                  <w:lang w:val="es-MX"/>
                </w:rPr>
              </m:ctrlPr>
            </m:dPr>
            <m:e>
              <m:r>
                <w:rPr>
                  <w:rFonts w:ascii="Cambria Math" w:hAnsi="Cambria Math" w:cs="Times New Roman"/>
                  <w:sz w:val="24"/>
                  <w:szCs w:val="24"/>
                  <w:lang w:val="es-MX"/>
                </w:rPr>
                <m:t>j-1</m:t>
              </m:r>
            </m:e>
          </m:d>
          <m:r>
            <m:rPr>
              <m:lit/>
            </m:rPr>
            <w:rPr>
              <w:rFonts w:ascii="Cambria Math" w:hAnsi="Cambria Math" w:cs="Times New Roman"/>
              <w:sz w:val="24"/>
              <w:szCs w:val="24"/>
              <w:lang w:val="es-MX"/>
            </w:rPr>
            <m:t>/</m:t>
          </m:r>
          <m:d>
            <m:dPr>
              <m:ctrlPr>
                <w:rPr>
                  <w:rFonts w:ascii="Cambria Math" w:hAnsi="Cambria Math" w:cs="Times New Roman"/>
                  <w:i/>
                  <w:sz w:val="24"/>
                  <w:szCs w:val="24"/>
                  <w:lang w:val="es-MX"/>
                </w:rPr>
              </m:ctrlPr>
            </m:dPr>
            <m:e>
              <m:r>
                <w:rPr>
                  <w:rFonts w:ascii="Cambria Math" w:hAnsi="Cambria Math" w:cs="Times New Roman"/>
                  <w:sz w:val="24"/>
                  <w:szCs w:val="24"/>
                  <w:lang w:val="es-MX"/>
                </w:rPr>
                <m:t>J-1</m:t>
              </m:r>
            </m:e>
          </m:d>
        </m:oMath>
      </m:oMathPara>
    </w:p>
    <w:p w14:paraId="60D00BC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At age 1: </w:t>
      </w:r>
      <w:proofErr w:type="spellStart"/>
      <w:r>
        <w:rPr>
          <w:rFonts w:ascii="Times New Roman" w:hAnsi="Times New Roman" w:cs="Times New Roman"/>
          <w:sz w:val="24"/>
          <w:szCs w:val="24"/>
        </w:rPr>
        <w:t>pg₁ʰ</w:t>
      </w:r>
      <w:proofErr w:type="spellEnd"/>
      <w:r>
        <w:rPr>
          <w:rFonts w:ascii="Times New Roman" w:hAnsi="Times New Roman" w:cs="Times New Roman"/>
          <w:sz w:val="24"/>
          <w:szCs w:val="24"/>
        </w:rPr>
        <w:t>ⁱᵍʰ = 0.00 (essentially no risk of becoming sick when young)</w:t>
      </w:r>
      <w:r>
        <w:rPr>
          <w:rFonts w:ascii="Times New Roman" w:hAnsi="Times New Roman" w:cs="Times New Roman"/>
          <w:sz w:val="24"/>
          <w:szCs w:val="24"/>
        </w:rPr>
        <w:br/>
        <w:t xml:space="preserve">At age J: </w:t>
      </w:r>
      <w:proofErr w:type="spellStart"/>
      <w:r>
        <w:rPr>
          <w:rFonts w:ascii="Times New Roman" w:hAnsi="Times New Roman" w:cs="Times New Roman"/>
          <w:sz w:val="24"/>
          <w:szCs w:val="24"/>
        </w:rPr>
        <w:t>pgⱼʰ</w:t>
      </w:r>
      <w:proofErr w:type="spellEnd"/>
      <w:r>
        <w:rPr>
          <w:rFonts w:ascii="Times New Roman" w:hAnsi="Times New Roman" w:cs="Times New Roman"/>
          <w:sz w:val="24"/>
          <w:szCs w:val="24"/>
        </w:rPr>
        <w:t>ⁱᵍʰ = 0.20 (20% chance of becoming sick when old)</w:t>
      </w:r>
      <w:r>
        <w:rPr>
          <w:rFonts w:ascii="Times New Roman" w:hAnsi="Times New Roman" w:cs="Times New Roman"/>
          <w:sz w:val="24"/>
          <w:szCs w:val="24"/>
        </w:rPr>
        <w:br/>
        <w:t xml:space="preserve">At age 50: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₅₀ʰⁱᵍʰ ≈ 0.08 (8% chance of becoming sick)</w:t>
      </w:r>
    </w:p>
    <w:p w14:paraId="2861F977" w14:textId="77777777" w:rsidR="005D489F" w:rsidRDefault="00000000" w:rsidP="00D5394C">
      <w:pPr>
        <w:spacing w:line="360" w:lineRule="auto"/>
        <w:ind w:firstLine="708"/>
        <w:rPr>
          <w:rFonts w:ascii="Times New Roman" w:hAnsi="Times New Roman" w:cs="Times New Roman"/>
          <w:sz w:val="24"/>
          <w:szCs w:val="24"/>
        </w:rPr>
      </w:pPr>
      <w:r>
        <w:rPr>
          <w:rFonts w:ascii="Times New Roman" w:hAnsi="Times New Roman" w:cs="Times New Roman"/>
          <w:sz w:val="24"/>
          <w:szCs w:val="24"/>
        </w:rPr>
        <w:t>The persistence of poor health is the same as for low-skilled workers (</w:t>
      </w:r>
      <w:proofErr w:type="spellStart"/>
      <w:r>
        <w:rPr>
          <w:rFonts w:ascii="Times New Roman" w:hAnsi="Times New Roman" w:cs="Times New Roman"/>
          <w:sz w:val="24"/>
          <w:szCs w:val="24"/>
        </w:rPr>
        <w:t>pbⱼʰ</w:t>
      </w:r>
      <w:proofErr w:type="spellEnd"/>
      <w:r>
        <w:rPr>
          <w:rFonts w:ascii="Times New Roman" w:hAnsi="Times New Roman" w:cs="Times New Roman"/>
          <w:sz w:val="24"/>
          <w:szCs w:val="24"/>
        </w:rPr>
        <w:t xml:space="preserve">ⁱᵍʰ = </w:t>
      </w:r>
      <w:proofErr w:type="spellStart"/>
      <w:r>
        <w:rPr>
          <w:rFonts w:ascii="Times New Roman" w:hAnsi="Times New Roman" w:cs="Times New Roman"/>
          <w:sz w:val="24"/>
          <w:szCs w:val="24"/>
        </w:rPr>
        <w:t>pbⱼˡᵒʷ</w:t>
      </w:r>
      <w:proofErr w:type="spellEnd"/>
      <w:r>
        <w:rPr>
          <w:rFonts w:ascii="Times New Roman" w:hAnsi="Times New Roman" w:cs="Times New Roman"/>
          <w:sz w:val="24"/>
          <w:szCs w:val="24"/>
        </w:rPr>
        <w:t>), reflecting that once sick, recovery rates are similar across skill groups—the key difference is in becoming sick in the first place.</w:t>
      </w:r>
    </w:p>
    <w:p w14:paraId="51AC07F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Economic Interpretation:</w:t>
      </w:r>
    </w:p>
    <w:p w14:paraId="4FBAA8B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High-skilled workers at age 50 are approximately 2.6 times less likely to become sick (8% vs. 21%). Over a lifetime, this creates substantial cumulative health advantages. The model captures three empirical regularities: (1) better-educated workers have better health outcomes, (2) health disparities widen with age, and (3) socioeconomic status affects disease incidence more than disease progression.</w:t>
      </w:r>
    </w:p>
    <w:p w14:paraId="46E70C02" w14:textId="77777777" w:rsidR="005D489F" w:rsidRDefault="00000000">
      <w:pPr>
        <w:pStyle w:val="Heading3"/>
      </w:pPr>
      <w:r>
        <w:t>Health-Dependent Labor Productivity</w:t>
      </w:r>
    </w:p>
    <w:p w14:paraId="28C483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Labor productivity depends on health status through skill-specific penalty parameters. For working-age households (j &lt; JR), productivity is:</w:t>
      </w:r>
    </w:p>
    <w:p w14:paraId="16058406" w14:textId="77777777" w:rsidR="005D489F" w:rsidRDefault="00000000">
      <w:pPr>
        <w:spacing w:line="360" w:lineRule="auto"/>
        <w:jc w:val="center"/>
        <w:rPr>
          <w:rFonts w:ascii="Times New Roman" w:hAnsi="Times New Roman" w:cs="Times New Roman"/>
          <w:iCs/>
          <w:sz w:val="24"/>
          <w:szCs w:val="24"/>
        </w:rPr>
      </w:pPr>
      <m:oMathPara>
        <m:oMath>
          <m:sSub>
            <m:sSubPr>
              <m:ctrlPr>
                <w:rPr>
                  <w:rFonts w:ascii="Cambria Math" w:hAnsi="Cambria Math" w:cs="Times New Roman"/>
                  <w:i/>
                  <w:iCs/>
                  <w:noProof/>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·exp</m:t>
          </m:r>
          <m:d>
            <m:dPr>
              <m:ctrlPr>
                <w:rPr>
                  <w:rFonts w:ascii="Cambria Math" w:hAnsi="Cambria Math" w:cs="Times New Roman"/>
                  <w:i/>
                  <w:iCs/>
                  <w:sz w:val="24"/>
                  <w:szCs w:val="24"/>
                </w:rPr>
              </m:ctrlPr>
            </m:dPr>
            <m:e>
              <m:r>
                <w:rPr>
                  <w:rFonts w:ascii="Cambria Math" w:hAnsi="Cambria Math" w:cs="Times New Roman"/>
                  <w:sz w:val="24"/>
                  <w:szCs w:val="24"/>
                </w:rPr>
                <m:t>θ+</m:t>
              </m:r>
              <m:sSub>
                <m:sSubPr>
                  <m:ctrlPr>
                    <w:rPr>
                      <w:rFonts w:ascii="Cambria Math" w:hAnsi="Cambria Math" w:cs="Times New Roman"/>
                      <w:i/>
                      <w:iCs/>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-ϱ</m:t>
              </m:r>
              <m:d>
                <m:dPr>
                  <m:ctrlPr>
                    <w:rPr>
                      <w:rFonts w:ascii="Cambria Math" w:hAnsi="Cambria Math" w:cs="Times New Roman"/>
                      <w:i/>
                      <w:iCs/>
                      <w:sz w:val="24"/>
                      <w:szCs w:val="24"/>
                    </w:rPr>
                  </m:ctrlPr>
                </m:dPr>
                <m:e>
                  <m:r>
                    <w:rPr>
                      <w:rFonts w:ascii="Cambria Math" w:hAnsi="Cambria Math" w:cs="Times New Roman"/>
                      <w:sz w:val="24"/>
                      <w:szCs w:val="24"/>
                    </w:rPr>
                    <m:t>θ</m:t>
                  </m:r>
                </m:e>
              </m:d>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oMath>
      </m:oMathPara>
    </w:p>
    <w:p w14:paraId="6CA68FC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can be decomposed into four components:</w:t>
      </w:r>
    </w:p>
    <w:p w14:paraId="4CE5B415"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eⱼ: deterministic age-efficiency profile (hump-shaped over life cycle)</w:t>
      </w:r>
    </w:p>
    <w:p w14:paraId="233A62D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exp(θ): permanent skill component (θ₁ for low-skilled, θ₂ for high-skilled)</w:t>
      </w:r>
    </w:p>
    <w:p w14:paraId="11EFC54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exp(ηⱼ): transitory shock following AR(1) process</w:t>
      </w:r>
    </w:p>
    <w:p w14:paraId="3670EEF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exp(-ϱ(θ)·mⱼ): health-dependent penalty</w:t>
      </w:r>
    </w:p>
    <w:p w14:paraId="258C6B5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health penalty parameters are:</w:t>
      </w:r>
    </w:p>
    <w:p w14:paraId="16FE10B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ϱ₁ = 0.20 for low-skilled workers</w:t>
      </w:r>
    </w:p>
    <w:p w14:paraId="2BD413D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ϱ₂ = 0.10 for high-skilled workers</w:t>
      </w:r>
    </w:p>
    <w:p w14:paraId="020A3DB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When healthy (m = 0): exp(-ϱ·0) = 1 (no penalty)</w:t>
      </w:r>
      <w:r>
        <w:rPr>
          <w:rFonts w:ascii="Times New Roman" w:hAnsi="Times New Roman" w:cs="Times New Roman"/>
          <w:sz w:val="24"/>
          <w:szCs w:val="24"/>
        </w:rPr>
        <w:br/>
        <w:t>When sick (m = 1):</w:t>
      </w:r>
    </w:p>
    <w:p w14:paraId="5DEEF6DD"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Low-skilled: exp(-0.20) ≈ 0.819 (19% productivity loss)</w:t>
      </w:r>
    </w:p>
    <w:p w14:paraId="3381648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High-skilled: exp(-0.10) ≈ 0.905 (9.5% productivity loss)</w:t>
      </w:r>
    </w:p>
    <w:p w14:paraId="05F9D97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Economic Rationale:</w:t>
      </w:r>
    </w:p>
    <w:p w14:paraId="5D18AF4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larger penalty for low-skilled workers reflects that:</w:t>
      </w:r>
    </w:p>
    <w:p w14:paraId="170A0D9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Physically demanding jobs are more affected by poor health</w:t>
      </w:r>
    </w:p>
    <w:p w14:paraId="77B833E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Low-skilled workers have less workplace accommodation for health limitations</w:t>
      </w:r>
    </w:p>
    <w:p w14:paraId="70ACA4F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Professional jobs (high-skilled) allow more flexibility to work around health issues</w:t>
      </w:r>
    </w:p>
    <w:p w14:paraId="2A40CB6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Education may provide knowledge to better manage health conditions</w:t>
      </w:r>
    </w:p>
    <w:p w14:paraId="12C71EA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specification implies that poor health creates both a level effect (lower productivity) and a distributive effect (larger impact on low-skilled workers), reinforcing income inequality.</w:t>
      </w:r>
    </w:p>
    <w:p w14:paraId="7BEEF0E2" w14:textId="77777777" w:rsidR="005D489F" w:rsidRDefault="00000000">
      <w:pPr>
        <w:pStyle w:val="Heading3"/>
      </w:pPr>
      <w:r>
        <w:t>Government Transfer and Consumption Floor</w:t>
      </w:r>
    </w:p>
    <w:p w14:paraId="189C0B9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is implemented through means-tested transfers:</w:t>
      </w:r>
    </w:p>
    <w:p w14:paraId="35761CBD" w14:textId="77777777" w:rsidR="005D489F" w:rsidRDefault="00000000">
      <w:pPr>
        <w:spacing w:line="360" w:lineRule="auto"/>
        <w:jc w:val="center"/>
        <w:rPr>
          <w:rFonts w:ascii="Times New Roman" w:hAnsi="Times New Roman" w:cs="Times New Roman"/>
          <w:iCs/>
          <w:sz w:val="24"/>
          <w:szCs w:val="24"/>
          <w:lang w:val="es-MX"/>
        </w:rPr>
      </w:pPr>
      <m:oMathPara>
        <m:oMath>
          <m:sSub>
            <m:sSubPr>
              <m:ctrlPr>
                <w:rPr>
                  <w:rFonts w:ascii="Cambria Math" w:hAnsi="Cambria Math" w:cs="Times New Roman"/>
                  <w:i/>
                  <w:iCs/>
                  <w:noProof/>
                  <w:sz w:val="24"/>
                  <w:szCs w:val="24"/>
                  <w:lang w:val="es-MX"/>
                </w:rPr>
              </m:ctrlPr>
            </m:sSubPr>
            <m:e>
              <m:r>
                <w:rPr>
                  <w:rFonts w:ascii="Cambria Math" w:hAnsi="Cambria Math" w:cs="Times New Roman"/>
                  <w:sz w:val="24"/>
                  <w:szCs w:val="24"/>
                  <w:lang w:val="es-MX"/>
                </w:rPr>
                <m:t>b</m:t>
              </m:r>
            </m:e>
            <m:sub>
              <m:r>
                <w:rPr>
                  <w:rFonts w:ascii="Cambria Math" w:hAnsi="Cambria Math" w:cs="Times New Roman"/>
                  <w:sz w:val="24"/>
                  <w:szCs w:val="24"/>
                  <w:lang w:val="es-MX"/>
                </w:rPr>
                <m:t>j</m:t>
              </m:r>
            </m:sub>
          </m:sSub>
          <m:r>
            <w:rPr>
              <w:rFonts w:ascii="Cambria Math" w:hAnsi="Cambria Math" w:cs="Times New Roman"/>
              <w:sz w:val="24"/>
              <w:szCs w:val="24"/>
              <w:lang w:val="es-MX"/>
            </w:rPr>
            <m:t>=max</m:t>
          </m:r>
          <m:d>
            <m:dPr>
              <m:begChr m:val="["/>
              <m:endChr m:val="]"/>
              <m:ctrlPr>
                <w:rPr>
                  <w:rFonts w:ascii="Cambria Math" w:hAnsi="Cambria Math" w:cs="Times New Roman"/>
                  <w:i/>
                  <w:iCs/>
                  <w:sz w:val="24"/>
                  <w:szCs w:val="24"/>
                  <w:lang w:val="es-MX"/>
                </w:rPr>
              </m:ctrlPr>
            </m:dPr>
            <m:e>
              <m:bar>
                <m:barPr>
                  <m:ctrlPr>
                    <w:rPr>
                      <w:rFonts w:ascii="Cambria Math" w:hAnsi="Cambria Math" w:cs="Times New Roman"/>
                      <w:iCs/>
                      <w:sz w:val="24"/>
                      <w:szCs w:val="24"/>
                      <w:lang w:val="es-MX"/>
                    </w:rPr>
                  </m:ctrlPr>
                </m:barPr>
                <m:e>
                  <m:r>
                    <w:rPr>
                      <w:rFonts w:ascii="Cambria Math" w:hAnsi="Cambria Math" w:cs="Times New Roman"/>
                      <w:sz w:val="24"/>
                      <w:szCs w:val="24"/>
                      <w:lang w:val="es-MX"/>
                    </w:rPr>
                    <m:t>c</m:t>
                  </m:r>
                </m:e>
              </m:bar>
              <m:r>
                <w:rPr>
                  <w:rFonts w:ascii="Cambria Math" w:hAnsi="Cambria Math" w:cs="Times New Roman"/>
                  <w:sz w:val="24"/>
                  <w:szCs w:val="24"/>
                  <w:lang w:val="es-MX"/>
                </w:rPr>
                <m:t>+h</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c</m:t>
                  </m:r>
                </m:e>
                <m:sub>
                  <m:r>
                    <w:rPr>
                      <w:rFonts w:ascii="Cambria Math" w:hAnsi="Cambria Math" w:cs="Times New Roman"/>
                      <w:sz w:val="24"/>
                      <w:szCs w:val="24"/>
                      <w:lang w:val="es-MX"/>
                    </w:rPr>
                    <m:t>j</m:t>
                  </m:r>
                </m:sub>
              </m:sSub>
              <m:r>
                <w:rPr>
                  <w:rFonts w:ascii="Cambria Math" w:hAnsi="Cambria Math" w:cs="Times New Roman"/>
                  <w:sz w:val="24"/>
                  <w:szCs w:val="24"/>
                  <w:lang w:val="es-MX"/>
                </w:rPr>
                <m:t>-</m:t>
              </m:r>
              <m:d>
                <m:dPr>
                  <m:ctrlPr>
                    <w:rPr>
                      <w:rFonts w:ascii="Cambria Math" w:hAnsi="Cambria Math" w:cs="Times New Roman"/>
                      <w:i/>
                      <w:iCs/>
                      <w:sz w:val="24"/>
                      <w:szCs w:val="24"/>
                      <w:lang w:val="es-MX"/>
                    </w:rPr>
                  </m:ctrlPr>
                </m:dPr>
                <m:e>
                  <m:r>
                    <w:rPr>
                      <w:rFonts w:ascii="Cambria Math" w:hAnsi="Cambria Math" w:cs="Times New Roman"/>
                      <w:sz w:val="24"/>
                      <w:szCs w:val="24"/>
                      <w:lang w:val="es-MX"/>
                    </w:rPr>
                    <m:t>1+r</m:t>
                  </m:r>
                </m:e>
              </m:d>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a</m:t>
                  </m:r>
                </m:e>
                <m:sub>
                  <m:r>
                    <w:rPr>
                      <w:rFonts w:ascii="Cambria Math" w:hAnsi="Cambria Math" w:cs="Times New Roman"/>
                      <w:sz w:val="24"/>
                      <w:szCs w:val="24"/>
                      <w:lang w:val="es-MX"/>
                    </w:rPr>
                    <m:t>j</m:t>
                  </m:r>
                </m:sub>
              </m:sSub>
              <m:r>
                <w:rPr>
                  <w:rFonts w:ascii="Cambria Math" w:hAnsi="Cambria Math" w:cs="Times New Roman"/>
                  <w:sz w:val="24"/>
                  <w:szCs w:val="24"/>
                  <w:lang w:val="es-MX"/>
                </w:rPr>
                <m:t>-w·</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h</m:t>
                  </m:r>
                </m:e>
                <m:sub>
                  <m:r>
                    <w:rPr>
                      <w:rFonts w:ascii="Cambria Math" w:hAnsi="Cambria Math" w:cs="Times New Roman"/>
                      <w:sz w:val="24"/>
                      <w:szCs w:val="24"/>
                      <w:lang w:val="es-MX"/>
                    </w:rPr>
                    <m:t>j</m:t>
                  </m:r>
                </m:sub>
              </m:sSub>
              <m:d>
                <m:dPr>
                  <m:ctrlPr>
                    <w:rPr>
                      <w:rFonts w:ascii="Cambria Math" w:hAnsi="Cambria Math" w:cs="Times New Roman"/>
                      <w:i/>
                      <w:iCs/>
                      <w:sz w:val="24"/>
                      <w:szCs w:val="24"/>
                      <w:lang w:val="es-MX"/>
                    </w:rPr>
                  </m:ctrlPr>
                </m:dPr>
                <m:e>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m</m:t>
                      </m:r>
                    </m:e>
                    <m:sub>
                      <m:r>
                        <w:rPr>
                          <w:rFonts w:ascii="Cambria Math" w:hAnsi="Cambria Math" w:cs="Times New Roman"/>
                          <w:sz w:val="24"/>
                          <w:szCs w:val="24"/>
                          <w:lang w:val="es-MX"/>
                        </w:rPr>
                        <m:t>j</m:t>
                      </m:r>
                    </m:sub>
                  </m:sSub>
                </m:e>
              </m:d>
              <m:r>
                <w:rPr>
                  <w:rFonts w:ascii="Cambria Math" w:hAnsi="Cambria Math" w:cs="Times New Roman"/>
                  <w:sz w:val="24"/>
                  <w:szCs w:val="24"/>
                  <w:lang w:val="es-MX"/>
                </w:rPr>
                <m:t>-pe</m:t>
              </m:r>
              <m:sSub>
                <m:sSubPr>
                  <m:ctrlPr>
                    <w:rPr>
                      <w:rFonts w:ascii="Cambria Math" w:hAnsi="Cambria Math" w:cs="Times New Roman"/>
                      <w:i/>
                      <w:iCs/>
                      <w:sz w:val="24"/>
                      <w:szCs w:val="24"/>
                      <w:lang w:val="es-MX"/>
                    </w:rPr>
                  </m:ctrlPr>
                </m:sSubPr>
                <m:e>
                  <m:r>
                    <w:rPr>
                      <w:rFonts w:ascii="Cambria Math" w:hAnsi="Cambria Math" w:cs="Times New Roman"/>
                      <w:sz w:val="24"/>
                      <w:szCs w:val="24"/>
                      <w:lang w:val="es-MX"/>
                    </w:rPr>
                    <m:t>n</m:t>
                  </m:r>
                </m:e>
                <m:sub>
                  <m:r>
                    <w:rPr>
                      <w:rFonts w:ascii="Cambria Math" w:hAnsi="Cambria Math" w:cs="Times New Roman"/>
                      <w:sz w:val="24"/>
                      <w:szCs w:val="24"/>
                      <w:lang w:val="es-MX"/>
                    </w:rPr>
                    <m:t>j</m:t>
                  </m:r>
                </m:sub>
              </m:sSub>
              <m:r>
                <w:rPr>
                  <w:rFonts w:ascii="Cambria Math" w:hAnsi="Cambria Math" w:cs="Times New Roman"/>
                  <w:sz w:val="24"/>
                  <w:szCs w:val="24"/>
                  <w:lang w:val="es-MX"/>
                </w:rPr>
                <m:t>,0</m:t>
              </m:r>
            </m:e>
          </m:d>
        </m:oMath>
      </m:oMathPara>
    </w:p>
    <w:p w14:paraId="0F3959ED" w14:textId="77777777" w:rsidR="005D489F" w:rsidRDefault="005D489F">
      <w:pPr>
        <w:spacing w:line="360" w:lineRule="auto"/>
        <w:jc w:val="center"/>
        <w:rPr>
          <w:rFonts w:ascii="Times New Roman" w:hAnsi="Times New Roman" w:cs="Times New Roman"/>
          <w:iCs/>
          <w:color w:val="808080"/>
          <w:sz w:val="24"/>
          <w:szCs w:val="24"/>
          <w:lang w:val="es-MX"/>
        </w:rPr>
      </w:pPr>
    </w:p>
    <w:p w14:paraId="263B95B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formulation has several important features:</w:t>
      </w:r>
    </w:p>
    <w:p w14:paraId="56EB654C"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Coverage of health costs: The transfer covers both the consumption shortfall (relative to c̄) AND the health costs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 A household with zero resources receives c̄ in consumption and has their health costs fully covered.</w:t>
      </w:r>
    </w:p>
    <w:p w14:paraId="1F99E9F4"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Asset test: The transfer decreases with asset holdings (captured by (1+r)aⱼ term). Wealthier households receive smaller transfers.</w:t>
      </w:r>
    </w:p>
    <w:p w14:paraId="6EB10B35"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Income test: The transfer decreases with labor income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ⱼ(mⱼ) and pension income penⱼ. Higher earners receive smaller transfers.</w:t>
      </w:r>
    </w:p>
    <w:p w14:paraId="1907DABB" w14:textId="77777777" w:rsidR="005D489F" w:rsidRDefault="00000000">
      <w:pPr>
        <w:pStyle w:val="ListNumber"/>
        <w:tabs>
          <w:tab w:val="left" w:pos="360"/>
        </w:tabs>
        <w:spacing w:line="360" w:lineRule="auto"/>
        <w:ind w:left="360" w:hanging="360"/>
        <w:rPr>
          <w:rFonts w:ascii="Times New Roman" w:hAnsi="Times New Roman" w:cs="Times New Roman"/>
          <w:sz w:val="24"/>
          <w:szCs w:val="24"/>
        </w:rPr>
      </w:pPr>
      <w:r>
        <w:rPr>
          <w:rFonts w:ascii="Times New Roman" w:hAnsi="Times New Roman" w:cs="Times New Roman"/>
          <w:sz w:val="24"/>
          <w:szCs w:val="24"/>
        </w:rPr>
        <w:t xml:space="preserve">Automatic stabilization: When a household experiences a health shock (high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 the transfer automatically increases to prevent consumption from falling below c̄.</w:t>
      </w:r>
    </w:p>
    <w:p w14:paraId="5D5EEFC1"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lastRenderedPageBreak/>
        <w:t>Economic Effects:</w:t>
      </w:r>
    </w:p>
    <w:p w14:paraId="1E20A55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Insurance: Provides insurance against catastrophic health costs, preventing destitution</w:t>
      </w:r>
    </w:p>
    <w:p w14:paraId="6572E4F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Moral hazard: Reduces incentives for precautionary savings (households know they won't fall below c̄)</w:t>
      </w:r>
    </w:p>
    <w:p w14:paraId="03C7086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Redistribution: Disproportionately benefits low-skilled workers who face higher health risks</w:t>
      </w:r>
    </w:p>
    <w:p w14:paraId="059A89D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Fiscal cost: Government transfers increase with population aging and health deterioration</w:t>
      </w:r>
    </w:p>
    <w:p w14:paraId="14A629CA"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of c̄ = 0.05 represents approximately 5% of average income, consistent with empirical estimates of minimum consumption in developed economies.</w:t>
      </w:r>
    </w:p>
    <w:p w14:paraId="459DDE75" w14:textId="77777777" w:rsidR="005D489F" w:rsidRDefault="00000000">
      <w:pPr>
        <w:pStyle w:val="Heading2"/>
      </w:pPr>
      <w:r>
        <w:t>The Bellman Equation and Optimization</w:t>
      </w:r>
    </w:p>
    <w:p w14:paraId="546C118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household optimization problem is solved recursively using dynamic programming. At each age j, the household chooses savings aⱼ₊₁ to maximize lifetime utility:</w:t>
      </w:r>
    </w:p>
    <w:p w14:paraId="50EA79BC" w14:textId="77777777" w:rsidR="005D489F" w:rsidRDefault="00000000">
      <w:pPr>
        <w:spacing w:line="360" w:lineRule="auto"/>
        <w:jc w:val="center"/>
        <w:rPr>
          <w:rFonts w:ascii="Times New Roman" w:hAnsi="Times New Roman" w:cs="Times New Roman"/>
          <w:color w:val="808080"/>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V</m:t>
              </m:r>
            </m:e>
            <m:sub>
              <m:r>
                <w:rPr>
                  <w:rFonts w:ascii="Cambria Math" w:hAnsi="Cambria Math" w:cs="Times New Roman"/>
                  <w:sz w:val="24"/>
                  <w:szCs w:val="24"/>
                </w:rPr>
                <m:t>j</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e>
          </m:d>
          <m:r>
            <w:rPr>
              <w:rFonts w:ascii="Cambria Math" w:hAnsi="Cambria Math" w:cs="Times New Roman"/>
              <w:sz w:val="24"/>
              <w:szCs w:val="24"/>
            </w:rPr>
            <m:t>=ma</m:t>
          </m:r>
          <m:sSub>
            <m:sSubPr>
              <m:ctrlPr>
                <w:rPr>
                  <w:rFonts w:ascii="Cambria Math" w:hAnsi="Cambria Math" w:cs="Times New Roman"/>
                  <w:i/>
                  <w:sz w:val="24"/>
                  <w:szCs w:val="24"/>
                </w:rPr>
              </m:ctrlPr>
            </m:sSubPr>
            <m:e>
              <m:r>
                <w:rPr>
                  <w:rFonts w:ascii="Cambria Math" w:hAnsi="Cambria Math" w:cs="Times New Roman"/>
                  <w:sz w:val="24"/>
                  <w:szCs w:val="24"/>
                </w:rPr>
                <m:t>x</m:t>
              </m:r>
            </m:e>
            <m: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≥0</m:t>
                  </m:r>
                </m:e>
              </m:d>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u</m:t>
                  </m:r>
                </m:e>
                <m: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e>
              </m:d>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ψ</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V</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m</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η</m:t>
                          </m:r>
                        </m:e>
                        <m:sub>
                          <m:d>
                            <m:dPr>
                              <m:ctrlPr>
                                <w:rPr>
                                  <w:rFonts w:ascii="Cambria Math" w:hAnsi="Cambria Math" w:cs="Times New Roman"/>
                                  <w:i/>
                                  <w:sz w:val="24"/>
                                  <w:szCs w:val="24"/>
                                </w:rPr>
                              </m:ctrlPr>
                            </m:dPr>
                            <m:e>
                              <m:r>
                                <w:rPr>
                                  <w:rFonts w:ascii="Cambria Math" w:hAnsi="Cambria Math" w:cs="Times New Roman"/>
                                  <w:sz w:val="24"/>
                                  <w:szCs w:val="24"/>
                                </w:rPr>
                                <m:t>j+1</m:t>
                              </m:r>
                            </m:e>
                          </m:d>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ζ</m:t>
                          </m:r>
                        </m:e>
                        <m:sub>
                          <m:d>
                            <m:dPr>
                              <m:ctrlPr>
                                <w:rPr>
                                  <w:rFonts w:ascii="Cambria Math" w:hAnsi="Cambria Math" w:cs="Times New Roman"/>
                                  <w:i/>
                                  <w:sz w:val="24"/>
                                  <w:szCs w:val="24"/>
                                </w:rPr>
                              </m:ctrlPr>
                            </m:dPr>
                            <m:e>
                              <m:r>
                                <w:rPr>
                                  <w:rFonts w:ascii="Cambria Math" w:hAnsi="Cambria Math" w:cs="Times New Roman"/>
                                  <w:sz w:val="24"/>
                                  <w:szCs w:val="24"/>
                                </w:rPr>
                                <m:t>j+1</m:t>
                              </m:r>
                            </m:e>
                          </m:d>
                        </m:sub>
                      </m:sSub>
                    </m:e>
                  </m:d>
                </m:e>
              </m:d>
            </m:e>
          </m:d>
        </m:oMath>
      </m:oMathPara>
    </w:p>
    <w:p w14:paraId="4E4CF285" w14:textId="77777777" w:rsidR="005D489F" w:rsidRDefault="005D489F">
      <w:pPr>
        <w:spacing w:line="360" w:lineRule="auto"/>
        <w:jc w:val="center"/>
        <w:rPr>
          <w:rFonts w:ascii="Times New Roman" w:hAnsi="Times New Roman" w:cs="Times New Roman"/>
          <w:color w:val="808080"/>
          <w:sz w:val="24"/>
          <w:szCs w:val="24"/>
        </w:rPr>
      </w:pPr>
    </w:p>
    <w:p w14:paraId="7900AE4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where:</w:t>
      </w:r>
    </w:p>
    <w:p w14:paraId="2A2A00E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Vⱼ is the value function (maximum attainable utility from age j onward)</w:t>
      </w:r>
    </w:p>
    <w:p w14:paraId="2872741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uₘⱼ(cⱼ) is current period utility</w:t>
      </w:r>
    </w:p>
    <w:p w14:paraId="49DD6B94"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β is the discount factor (β = 0.98)</w:t>
      </w:r>
    </w:p>
    <w:p w14:paraId="4E74EDF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ψⱼ₊₁(mⱼ) is the survival probability (depends on current health status)</w:t>
      </w:r>
    </w:p>
    <w:p w14:paraId="76D94D4E"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Eⱼ[·] denotes expectation conditional on current state</w:t>
      </w:r>
    </w:p>
    <w:p w14:paraId="097794D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expectation operator integrates over three sources of future uncertainty:</w:t>
      </w:r>
    </w:p>
    <w:p w14:paraId="4B968893"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Health transitions: mⱼ₊₁ </w:t>
      </w:r>
      <w:r>
        <w:rPr>
          <w:rFonts w:ascii="Cambria Math" w:hAnsi="Cambria Math" w:cs="Cambria Math"/>
          <w:sz w:val="24"/>
          <w:szCs w:val="24"/>
        </w:rPr>
        <w:t>∈</w:t>
      </w:r>
      <w:r>
        <w:rPr>
          <w:rFonts w:ascii="Times New Roman" w:hAnsi="Times New Roman" w:cs="Times New Roman"/>
          <w:sz w:val="24"/>
          <w:szCs w:val="24"/>
        </w:rPr>
        <w:t xml:space="preserve"> {0,1} with probabilities πⱼ(mⱼ₊₁|</w:t>
      </w:r>
      <w:proofErr w:type="spellStart"/>
      <w:r>
        <w:rPr>
          <w:rFonts w:ascii="Times New Roman" w:hAnsi="Times New Roman" w:cs="Times New Roman"/>
          <w:sz w:val="24"/>
          <w:szCs w:val="24"/>
        </w:rPr>
        <w:t>mⱼ,θ</w:t>
      </w:r>
      <w:proofErr w:type="spellEnd"/>
      <w:r>
        <w:rPr>
          <w:rFonts w:ascii="Times New Roman" w:hAnsi="Times New Roman" w:cs="Times New Roman"/>
          <w:sz w:val="24"/>
          <w:szCs w:val="24"/>
        </w:rPr>
        <w:t>)</w:t>
      </w:r>
    </w:p>
    <w:p w14:paraId="69024245"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lastRenderedPageBreak/>
        <w:t>Income shocks: ηⱼ₊₁ follows AR(1) process with ρ = 0.985, discretized into 7 grid points</w:t>
      </w:r>
    </w:p>
    <w:p w14:paraId="16B54D3A"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Health cost shocks: ζⱼ₊₁ ~ N(0, 0.04) </w:t>
      </w:r>
      <w:proofErr w:type="spellStart"/>
      <w:r>
        <w:rPr>
          <w:rFonts w:ascii="Times New Roman" w:hAnsi="Times New Roman" w:cs="Times New Roman"/>
          <w:sz w:val="24"/>
          <w:szCs w:val="24"/>
        </w:rPr>
        <w:t>i.i.d.</w:t>
      </w:r>
      <w:proofErr w:type="spellEnd"/>
      <w:r>
        <w:rPr>
          <w:rFonts w:ascii="Times New Roman" w:hAnsi="Times New Roman" w:cs="Times New Roman"/>
          <w:sz w:val="24"/>
          <w:szCs w:val="24"/>
        </w:rPr>
        <w:t>, discretized into 5 grid points</w:t>
      </w:r>
    </w:p>
    <w:p w14:paraId="44605CB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With discretization, there are 2 (health) × 7 (income) × 5 (health costs) = 70 possible realizations of next period's state at each decision node.</w:t>
      </w:r>
    </w:p>
    <w:p w14:paraId="3FD1F6F4" w14:textId="77777777" w:rsidR="005D489F" w:rsidRDefault="00000000">
      <w:pPr>
        <w:pStyle w:val="Heading3"/>
      </w:pPr>
      <w:r>
        <w:t>First Order Condition (Euler Equation)</w:t>
      </w:r>
    </w:p>
    <w:p w14:paraId="74FBCEF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interior solution (aⱼ₊₁ &gt; 0) satisfies the Euler equation:</w:t>
      </w:r>
    </w:p>
    <w:p w14:paraId="7B40FD1A" w14:textId="77777777" w:rsidR="005D489F" w:rsidRDefault="00000000">
      <w:pPr>
        <w:spacing w:line="360" w:lineRule="auto"/>
        <w:rPr>
          <w:rFonts w:ascii="Times New Roman" w:hAnsi="Times New Roman" w:cs="Times New Roman"/>
          <w:sz w:val="24"/>
          <w:szCs w:val="24"/>
        </w:rPr>
      </w:pPr>
      <m:oMathPara>
        <m:oMath>
          <m:r>
            <w:rPr>
              <w:rFonts w:ascii="Cambria Math" w:hAnsi="Cambria Math" w:cs="Times New Roman"/>
              <w:noProof/>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sSubSup>
            <m:sSubSupPr>
              <m:ctrlPr>
                <w:rPr>
                  <w:rFonts w:ascii="Cambria Math" w:hAnsi="Cambria Math" w:cs="Times New Roman"/>
                  <w:i/>
                  <w:sz w:val="24"/>
                  <w:szCs w:val="24"/>
                </w:rPr>
              </m:ctrlPr>
            </m:sSubSupPr>
            <m:e>
              <m:r>
                <w:rPr>
                  <w:rFonts w:ascii="Cambria Math" w:hAnsi="Cambria Math" w:cs="Times New Roman"/>
                  <w:sz w:val="24"/>
                  <w:szCs w:val="24"/>
                </w:rPr>
                <m:t>c</m:t>
              </m:r>
            </m:e>
            <m:sub>
              <m:r>
                <w:rPr>
                  <w:rFonts w:ascii="Cambria Math" w:hAnsi="Cambria Math" w:cs="Times New Roman"/>
                  <w:sz w:val="24"/>
                  <w:szCs w:val="24"/>
                </w:rPr>
                <m:t>j</m:t>
              </m:r>
            </m:sub>
            <m:sup>
              <m:d>
                <m:dPr>
                  <m:ctrlPr>
                    <w:rPr>
                      <w:rFonts w:ascii="Cambria Math" w:hAnsi="Cambria Math" w:cs="Times New Roman"/>
                      <w:i/>
                      <w:sz w:val="24"/>
                      <w:szCs w:val="24"/>
                    </w:rPr>
                  </m:ctrlPr>
                </m:dPr>
                <m:e>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γ</m:t>
                  </m:r>
                </m:e>
              </m:d>
            </m:sup>
          </m:sSubSup>
          <m:r>
            <w:rPr>
              <w:rFonts w:ascii="Cambria Math" w:hAnsi="Cambria Math" w:cs="Times New Roman"/>
              <w:sz w:val="24"/>
              <w:szCs w:val="24"/>
            </w:rPr>
            <m:t>=β</m:t>
          </m:r>
          <m:sSub>
            <m:sSubPr>
              <m:ctrlPr>
                <w:rPr>
                  <w:rFonts w:ascii="Cambria Math" w:hAnsi="Cambria Math" w:cs="Times New Roman"/>
                  <w:i/>
                  <w:sz w:val="24"/>
                  <w:szCs w:val="24"/>
                </w:rPr>
              </m:ctrlPr>
            </m:sSubPr>
            <m:e>
              <m:r>
                <w:rPr>
                  <w:rFonts w:ascii="Cambria Math" w:hAnsi="Cambria Math" w:cs="Times New Roman"/>
                  <w:sz w:val="24"/>
                  <w:szCs w:val="24"/>
                </w:rPr>
                <m:t>ψ</m:t>
              </m:r>
            </m:e>
            <m:sub>
              <m:d>
                <m:dPr>
                  <m:ctrlPr>
                    <w:rPr>
                      <w:rFonts w:ascii="Cambria Math" w:hAnsi="Cambria Math" w:cs="Times New Roman"/>
                      <w:i/>
                      <w:sz w:val="24"/>
                      <w:szCs w:val="24"/>
                    </w:rPr>
                  </m:ctrlPr>
                </m:dPr>
                <m:e>
                  <m:r>
                    <w:rPr>
                      <w:rFonts w:ascii="Cambria Math" w:hAnsi="Cambria Math" w:cs="Times New Roman"/>
                      <w:sz w:val="24"/>
                      <w:szCs w:val="24"/>
                    </w:rPr>
                    <m:t>j+1</m:t>
                  </m:r>
                </m:e>
              </m:d>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d>
            <m:dPr>
              <m:ctrlPr>
                <w:rPr>
                  <w:rFonts w:ascii="Cambria Math" w:hAnsi="Cambria Math" w:cs="Times New Roman"/>
                  <w:i/>
                  <w:sz w:val="24"/>
                  <w:szCs w:val="24"/>
                </w:rPr>
              </m:ctrlPr>
            </m:dPr>
            <m:e>
              <m:r>
                <w:rPr>
                  <w:rFonts w:ascii="Cambria Math" w:hAnsi="Cambria Math" w:cs="Times New Roman"/>
                  <w:sz w:val="24"/>
                  <w:szCs w:val="24"/>
                </w:rPr>
                <m:t>1+r</m:t>
              </m:r>
            </m:e>
          </m:d>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d>
            <m:dPr>
              <m:begChr m:val="["/>
              <m:endChr m:val="]"/>
              <m:ctrlPr>
                <w:rPr>
                  <w:rFonts w:ascii="Cambria Math" w:hAnsi="Cambria Math" w:cs="Times New Roman"/>
                  <w:i/>
                  <w:sz w:val="24"/>
                  <w:szCs w:val="24"/>
                </w:rPr>
              </m:ctrlPr>
            </m:dPr>
            <m:e>
              <m:r>
                <w:rPr>
                  <w:rFonts w:ascii="Cambria Math" w:hAnsi="Cambria Math" w:cs="Times New Roman"/>
                  <w:sz w:val="24"/>
                  <w:szCs w:val="24"/>
                </w:rPr>
                <m:t>δ</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m</m:t>
                      </m:r>
                    </m:e>
                    <m:sub>
                      <m:d>
                        <m:dPr>
                          <m:ctrlPr>
                            <w:rPr>
                              <w:rFonts w:ascii="Cambria Math" w:hAnsi="Cambria Math" w:cs="Times New Roman"/>
                              <w:i/>
                              <w:sz w:val="24"/>
                              <w:szCs w:val="24"/>
                            </w:rPr>
                          </m:ctrlPr>
                        </m:dPr>
                        <m:e>
                          <m:r>
                            <w:rPr>
                              <w:rFonts w:ascii="Cambria Math" w:hAnsi="Cambria Math" w:cs="Times New Roman"/>
                              <w:sz w:val="24"/>
                              <w:szCs w:val="24"/>
                            </w:rPr>
                            <m:t>j+1</m:t>
                          </m:r>
                        </m:e>
                      </m:d>
                    </m:sub>
                  </m:sSub>
                </m:e>
              </m:d>
              <m:sSubSup>
                <m:sSubSupPr>
                  <m:ctrlPr>
                    <w:rPr>
                      <w:rFonts w:ascii="Cambria Math" w:hAnsi="Cambria Math" w:cs="Times New Roman"/>
                      <w:i/>
                      <w:sz w:val="24"/>
                      <w:szCs w:val="24"/>
                    </w:rPr>
                  </m:ctrlPr>
                </m:sSubSupPr>
                <m:e>
                  <m:r>
                    <w:rPr>
                      <w:rFonts w:ascii="Cambria Math" w:hAnsi="Cambria Math" w:cs="Times New Roman"/>
                      <w:sz w:val="24"/>
                      <w:szCs w:val="24"/>
                    </w:rPr>
                    <m:t>c</m:t>
                  </m:r>
                </m:e>
                <m:sub>
                  <m:d>
                    <m:dPr>
                      <m:ctrlPr>
                        <w:rPr>
                          <w:rFonts w:ascii="Cambria Math" w:hAnsi="Cambria Math" w:cs="Times New Roman"/>
                          <w:i/>
                          <w:sz w:val="24"/>
                          <w:szCs w:val="24"/>
                        </w:rPr>
                      </m:ctrlPr>
                    </m:dPr>
                    <m:e>
                      <m:r>
                        <w:rPr>
                          <w:rFonts w:ascii="Cambria Math" w:hAnsi="Cambria Math" w:cs="Times New Roman"/>
                          <w:sz w:val="24"/>
                          <w:szCs w:val="24"/>
                        </w:rPr>
                        <m:t>j+1</m:t>
                      </m:r>
                    </m:e>
                  </m:d>
                </m:sub>
                <m:sup>
                  <m:d>
                    <m:dPr>
                      <m:ctrlPr>
                        <w:rPr>
                          <w:rFonts w:ascii="Cambria Math" w:hAnsi="Cambria Math" w:cs="Times New Roman"/>
                          <w:i/>
                          <w:sz w:val="24"/>
                          <w:szCs w:val="24"/>
                        </w:rPr>
                      </m:ctrlPr>
                    </m:dPr>
                    <m:e>
                      <m:r>
                        <w:rPr>
                          <w:rFonts w:ascii="Cambria Math" w:hAnsi="Cambria Math" w:cs="Times New Roman"/>
                          <w:sz w:val="24"/>
                          <w:szCs w:val="24"/>
                        </w:rPr>
                        <m:t>-1</m:t>
                      </m:r>
                      <m:r>
                        <m:rPr>
                          <m:lit/>
                        </m:rPr>
                        <w:rPr>
                          <w:rFonts w:ascii="Cambria Math" w:hAnsi="Cambria Math" w:cs="Times New Roman"/>
                          <w:sz w:val="24"/>
                          <w:szCs w:val="24"/>
                        </w:rPr>
                        <m:t>/</m:t>
                      </m:r>
                      <m:r>
                        <w:rPr>
                          <w:rFonts w:ascii="Cambria Math" w:hAnsi="Cambria Math" w:cs="Times New Roman"/>
                          <w:sz w:val="24"/>
                          <w:szCs w:val="24"/>
                        </w:rPr>
                        <m:t>γ</m:t>
                      </m:r>
                    </m:e>
                  </m:d>
                </m:sup>
              </m:sSubSup>
            </m:e>
          </m:d>
        </m:oMath>
      </m:oMathPara>
    </w:p>
    <w:p w14:paraId="073AC10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equation equates:</w:t>
      </w:r>
    </w:p>
    <w:p w14:paraId="740B5F96"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Left side: marginal utility of current consumption</w:t>
      </w:r>
    </w:p>
    <w:p w14:paraId="735EF2F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Right side: expected discounted marginal utility of saving (future consumption)</w:t>
      </w:r>
    </w:p>
    <w:p w14:paraId="1C9C59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Numerical implementation: For each state (aⱼ, θ, mⱼ, ηⱼ, ζⱼ), we use root-finding (bisection or Newton's method) to find aⱼ₊₁ that satisfies: cⱼ(aⱼ₊₁) - RHSⱼ(aⱼ₊₁) = 0, where cⱼ(aⱼ₊₁) comes from the budget constraint and RHSⱼ is the right-hand side of the Euler equation.</w:t>
      </w:r>
    </w:p>
    <w:p w14:paraId="352F0158"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sz w:val="24"/>
          <w:szCs w:val="24"/>
        </w:rPr>
        <w:t>Corner solution (aⱼ₊₁ = 0):</w:t>
      </w:r>
    </w:p>
    <w:p w14:paraId="675352F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If the Euler equation implies aⱼ₊₁ &lt; 0, the borrowing constraint binds. We set aⱼ₊₁ = 0 and consume all available resources (after paying health costs): cⱼ = (1+r)aⱼ +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 xml:space="preserve">ⱼ(mⱼ) + penⱼ + bⱼ -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w:t>
      </w:r>
    </w:p>
    <w:p w14:paraId="02A22725" w14:textId="77777777" w:rsidR="005D489F" w:rsidRDefault="00000000">
      <w:pPr>
        <w:pStyle w:val="Heading2"/>
      </w:pPr>
      <w:r>
        <w:t>Numerical Solution Algorithm</w:t>
      </w:r>
    </w:p>
    <w:p w14:paraId="21C47B61"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model is solved using backward induction for policy functions followed by forward simulation for the distribution.</w:t>
      </w:r>
    </w:p>
    <w:p w14:paraId="09BDEFEA" w14:textId="77777777" w:rsidR="005D489F" w:rsidRDefault="00000000">
      <w:pPr>
        <w:pStyle w:val="Heading3"/>
      </w:pPr>
      <w:r>
        <w:t>Backward Iteration (Solving for Policy Functions)</w:t>
      </w:r>
    </w:p>
    <w:p w14:paraId="56A9ACE9"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1: Terminal period (j = J)</w:t>
      </w:r>
    </w:p>
    <w:p w14:paraId="465B5CB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Set aJ+1 = 0 (no bequests)</w:t>
      </w:r>
    </w:p>
    <w:p w14:paraId="3A0155F7"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 xml:space="preserve">Consumption: </w:t>
      </w:r>
      <w:proofErr w:type="spellStart"/>
      <w:r>
        <w:rPr>
          <w:rFonts w:ascii="Times New Roman" w:hAnsi="Times New Roman" w:cs="Times New Roman"/>
          <w:sz w:val="24"/>
          <w:szCs w:val="24"/>
        </w:rPr>
        <w:t>cJ</w:t>
      </w:r>
      <w:proofErr w:type="spellEnd"/>
      <w:r>
        <w:rPr>
          <w:rFonts w:ascii="Times New Roman" w:hAnsi="Times New Roman" w:cs="Times New Roman"/>
          <w:sz w:val="24"/>
          <w:szCs w:val="24"/>
        </w:rPr>
        <w:t xml:space="preserve"> = (1+r)</w:t>
      </w:r>
      <w:proofErr w:type="spellStart"/>
      <w:r>
        <w:rPr>
          <w:rFonts w:ascii="Times New Roman" w:hAnsi="Times New Roman" w:cs="Times New Roman"/>
          <w:sz w:val="24"/>
          <w:szCs w:val="24"/>
        </w:rPr>
        <w:t>aJ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penJ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bJ</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hcJ</w:t>
      </w:r>
      <w:proofErr w:type="spellEnd"/>
    </w:p>
    <w:p w14:paraId="604BAB0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 xml:space="preserve">Value: VJ = </w:t>
      </w:r>
      <w:proofErr w:type="spellStart"/>
      <w:r>
        <w:rPr>
          <w:rFonts w:ascii="Times New Roman" w:hAnsi="Times New Roman" w:cs="Times New Roman"/>
          <w:sz w:val="24"/>
          <w:szCs w:val="24"/>
        </w:rPr>
        <w:t>uₘJ</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cJ</w:t>
      </w:r>
      <w:proofErr w:type="spellEnd"/>
      <w:r>
        <w:rPr>
          <w:rFonts w:ascii="Times New Roman" w:hAnsi="Times New Roman" w:cs="Times New Roman"/>
          <w:sz w:val="24"/>
          <w:szCs w:val="24"/>
        </w:rPr>
        <w:t>)</w:t>
      </w:r>
    </w:p>
    <w:p w14:paraId="51EC7A77"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Step 2: For each age j = J-1, J-2, ..., 1:</w:t>
      </w:r>
    </w:p>
    <w:p w14:paraId="7823020A"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Define grids: Asset grid {a₁, ..., aₙₐ} (typically 50-100 points), Income shock grid (7 points), Health cost grid (5 points)</w:t>
      </w:r>
    </w:p>
    <w:p w14:paraId="72123F87"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For each grid point (aᵢ, θₛ, mₖ, ηₗ, ζₘ):</w:t>
      </w:r>
    </w:p>
    <w:p w14:paraId="411C0EA9" w14:textId="77777777" w:rsidR="005D489F" w:rsidRDefault="00000000">
      <w:pPr>
        <w:pStyle w:val="ListBullet"/>
        <w:numPr>
          <w:ilvl w:val="0"/>
          <w:numId w:val="0"/>
        </w:numPr>
        <w:spacing w:line="360" w:lineRule="auto"/>
        <w:ind w:left="142"/>
        <w:rPr>
          <w:rFonts w:ascii="Times New Roman" w:hAnsi="Times New Roman" w:cs="Times New Roman"/>
          <w:sz w:val="24"/>
          <w:szCs w:val="24"/>
        </w:rPr>
      </w:pPr>
      <w:r>
        <w:rPr>
          <w:rFonts w:ascii="Times New Roman" w:hAnsi="Times New Roman" w:cs="Times New Roman"/>
          <w:sz w:val="24"/>
          <w:szCs w:val="24"/>
        </w:rPr>
        <w:t>• Solve Euler equation to find optimal savings a*ⱼ₊₁ (if a*ⱼ₊₁ &lt; 0, set a*ⱼ₊₁ = 0)</w:t>
      </w:r>
    </w:p>
    <w:p w14:paraId="6C6B4388"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xml:space="preserve">• Compute optimal consumption: c*ⱼ = (1+r)aᵢ + </w:t>
      </w:r>
      <w:proofErr w:type="spellStart"/>
      <w:r>
        <w:rPr>
          <w:rFonts w:ascii="Times New Roman" w:hAnsi="Times New Roman" w:cs="Times New Roman"/>
          <w:sz w:val="24"/>
          <w:szCs w:val="24"/>
        </w:rPr>
        <w:t>w·h</w:t>
      </w:r>
      <w:proofErr w:type="spellEnd"/>
      <w:r>
        <w:rPr>
          <w:rFonts w:ascii="Times New Roman" w:hAnsi="Times New Roman" w:cs="Times New Roman"/>
          <w:sz w:val="24"/>
          <w:szCs w:val="24"/>
        </w:rPr>
        <w:t xml:space="preserve">ⱼ(mₖ) + penⱼ + bⱼ - </w:t>
      </w:r>
      <w:proofErr w:type="spellStart"/>
      <w:r>
        <w:rPr>
          <w:rFonts w:ascii="Times New Roman" w:hAnsi="Times New Roman" w:cs="Times New Roman"/>
          <w:sz w:val="24"/>
          <w:szCs w:val="24"/>
        </w:rPr>
        <w:t>hc</w:t>
      </w:r>
      <w:proofErr w:type="spellEnd"/>
      <w:r>
        <w:rPr>
          <w:rFonts w:ascii="Times New Roman" w:hAnsi="Times New Roman" w:cs="Times New Roman"/>
          <w:sz w:val="24"/>
          <w:szCs w:val="24"/>
        </w:rPr>
        <w:t>ⱼ(ζₘ) - a*ⱼ₊₁</w:t>
      </w:r>
    </w:p>
    <w:p w14:paraId="6A0AA5F3"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Compute continuation value by interpolating Vⱼ₊₁</w:t>
      </w:r>
    </w:p>
    <w:p w14:paraId="358D4AB2"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xml:space="preserve">• Compute current value: Vⱼ = uₘₖ(c*ⱼ) + βψⱼ₊₁(mₖ) · </w:t>
      </w:r>
      <w:proofErr w:type="spellStart"/>
      <w:r>
        <w:rPr>
          <w:rFonts w:ascii="Times New Roman" w:hAnsi="Times New Roman" w:cs="Times New Roman"/>
          <w:sz w:val="24"/>
          <w:szCs w:val="24"/>
        </w:rPr>
        <w:t>V^cont</w:t>
      </w:r>
      <w:proofErr w:type="spellEnd"/>
    </w:p>
    <w:p w14:paraId="08776C54"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Store policy functions: a*ⱼ, c*ⱼ, and Vⱼ</w:t>
      </w:r>
    </w:p>
    <w:p w14:paraId="688387F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3: Repeat for all ages until reaching j = 1</w:t>
      </w:r>
    </w:p>
    <w:p w14:paraId="1902EF9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produces policy functions {a*ⱼ, c*ⱼ, Vⱼ} for all j and all possible states.</w:t>
      </w:r>
    </w:p>
    <w:p w14:paraId="20AE0877" w14:textId="77777777" w:rsidR="005D489F" w:rsidRDefault="00000000">
      <w:pPr>
        <w:pStyle w:val="Heading3"/>
      </w:pPr>
      <w:r>
        <w:t>Forward Simulation (Computing the Distribution)</w:t>
      </w:r>
    </w:p>
    <w:p w14:paraId="4F876E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Once policy functions are computed, simulate the cross-sectional distribution of households:</w:t>
      </w:r>
    </w:p>
    <w:p w14:paraId="19B3C4A9"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Initialize at j = 1: All households start with zero assets (a₁ = 0). Distribute initial population across (θ, m₁, η₁, ζ₁): 50% low-skilled, 50% high-skilled; initial health determined by </w:t>
      </w:r>
      <w:proofErr w:type="spellStart"/>
      <w:r>
        <w:rPr>
          <w:rFonts w:ascii="Times New Roman" w:hAnsi="Times New Roman" w:cs="Times New Roman"/>
          <w:sz w:val="24"/>
          <w:szCs w:val="24"/>
        </w:rPr>
        <w:t>pg</w:t>
      </w:r>
      <w:proofErr w:type="spellEnd"/>
      <w:r>
        <w:rPr>
          <w:rFonts w:ascii="Times New Roman" w:hAnsi="Times New Roman" w:cs="Times New Roman"/>
          <w:sz w:val="24"/>
          <w:szCs w:val="24"/>
        </w:rPr>
        <w:t>₁(θ); shocks drawn from stationary distributions.</w:t>
      </w:r>
    </w:p>
    <w:p w14:paraId="208C54B9" w14:textId="77777777" w:rsidR="005D489F" w:rsidRDefault="005D489F">
      <w:pPr>
        <w:pStyle w:val="ListNumber"/>
        <w:numPr>
          <w:ilvl w:val="0"/>
          <w:numId w:val="0"/>
        </w:numPr>
        <w:spacing w:line="360" w:lineRule="auto"/>
        <w:ind w:left="-360" w:firstLine="360"/>
        <w:rPr>
          <w:rFonts w:ascii="Times New Roman" w:hAnsi="Times New Roman" w:cs="Times New Roman"/>
          <w:sz w:val="24"/>
          <w:szCs w:val="24"/>
        </w:rPr>
      </w:pPr>
    </w:p>
    <w:p w14:paraId="429B0211" w14:textId="77777777" w:rsidR="005D489F" w:rsidRDefault="00000000">
      <w:pPr>
        <w:pStyle w:val="ListNumber"/>
        <w:numPr>
          <w:ilvl w:val="0"/>
          <w:numId w:val="0"/>
        </w:num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For each age j = 2, 3, ..., J:</w:t>
      </w:r>
    </w:p>
    <w:p w14:paraId="4FAB1D3E"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For each household type at j-1: Look up optimal savings a*ⱼ from policy function</w:t>
      </w:r>
    </w:p>
    <w:p w14:paraId="728DAFE8"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Distribute mass to age j states weighted by transition probabilities: μⱼ(a*ⱼ, θ, mⱼ, ηⱼ, ζⱼ) += μⱼ₋₁ × πⱼ(mⱼ|mⱼ₋₁,θ) × πη(ηⱼ|ηⱼ₋₁) × πζ(ζⱼ)</w:t>
      </w:r>
    </w:p>
    <w:p w14:paraId="40A2560F"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Account for mortality: μⱼ = ψⱼ(mⱼ₋₁) × μⱼ</w:t>
      </w:r>
    </w:p>
    <w:p w14:paraId="2ECC642D" w14:textId="77777777" w:rsidR="005D489F" w:rsidRDefault="00000000">
      <w:pPr>
        <w:pStyle w:val="ListBullet"/>
        <w:numPr>
          <w:ilvl w:val="0"/>
          <w:numId w:val="0"/>
        </w:numPr>
        <w:spacing w:line="360" w:lineRule="auto"/>
        <w:rPr>
          <w:rFonts w:ascii="Times New Roman" w:hAnsi="Times New Roman" w:cs="Times New Roman"/>
          <w:sz w:val="24"/>
          <w:szCs w:val="24"/>
        </w:rPr>
      </w:pPr>
      <w:r>
        <w:rPr>
          <w:rFonts w:ascii="Times New Roman" w:hAnsi="Times New Roman" w:cs="Times New Roman"/>
          <w:sz w:val="24"/>
          <w:szCs w:val="24"/>
        </w:rPr>
        <w:t>• Normalize distribution to maintain constant cohort size</w:t>
      </w:r>
    </w:p>
    <w:p w14:paraId="722BED4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Step 3: Aggregate to compute cohort averages:</w:t>
      </w:r>
    </w:p>
    <w:p w14:paraId="1A3BDD2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Average consumption by skill and health: C̄ⱼ(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05A0A30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Average assets by skill and health: Āⱼ(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7E99EB7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Average income by skill and health: Ȳⱼ(</w:t>
      </w:r>
      <w:proofErr w:type="spellStart"/>
      <w:r>
        <w:rPr>
          <w:rFonts w:ascii="Times New Roman" w:hAnsi="Times New Roman" w:cs="Times New Roman"/>
          <w:sz w:val="24"/>
          <w:szCs w:val="24"/>
        </w:rPr>
        <w:t>θ,m</w:t>
      </w:r>
      <w:proofErr w:type="spellEnd"/>
      <w:r>
        <w:rPr>
          <w:rFonts w:ascii="Times New Roman" w:hAnsi="Times New Roman" w:cs="Times New Roman"/>
          <w:sz w:val="24"/>
          <w:szCs w:val="24"/>
        </w:rPr>
        <w:t>)</w:t>
      </w:r>
    </w:p>
    <w:p w14:paraId="71EA7A4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Fraction receiving transfers by skill and health</w:t>
      </w:r>
    </w:p>
    <w:p w14:paraId="4B631951"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Wealth inequality measures (Gini coefficient, percentile ratios)</w:t>
      </w:r>
    </w:p>
    <w:p w14:paraId="33CF1291" w14:textId="77777777" w:rsidR="005D489F" w:rsidRDefault="00000000">
      <w:pPr>
        <w:pStyle w:val="Heading2"/>
      </w:pPr>
      <w:r>
        <w:t>Key Parameters and Calibration Strategy</w:t>
      </w:r>
    </w:p>
    <w:p w14:paraId="2A080BD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model parameters are calibrated using a combination of: (1) Direct empirical evidence from Mexico, (2) Standard values from the macroeconomics literature, and (3) Calibration to match aggregate moments.</w:t>
      </w:r>
    </w:p>
    <w:tbl>
      <w:tblPr>
        <w:tblStyle w:val="Tablaconcuadrculaclara1"/>
        <w:tblW w:w="8828" w:type="dxa"/>
        <w:tblLook w:val="04A0" w:firstRow="1" w:lastRow="0" w:firstColumn="1" w:lastColumn="0" w:noHBand="0" w:noVBand="1"/>
      </w:tblPr>
      <w:tblGrid>
        <w:gridCol w:w="2907"/>
        <w:gridCol w:w="2846"/>
        <w:gridCol w:w="3075"/>
      </w:tblGrid>
      <w:tr w:rsidR="005D489F" w14:paraId="354AD996" w14:textId="77777777" w:rsidTr="005D4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7" w:type="dxa"/>
          </w:tcPr>
          <w:p w14:paraId="11BBBFD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Parameter</w:t>
            </w:r>
          </w:p>
        </w:tc>
        <w:tc>
          <w:tcPr>
            <w:tcW w:w="2846" w:type="dxa"/>
          </w:tcPr>
          <w:p w14:paraId="6ABAF7BD" w14:textId="77777777" w:rsidR="005D489F"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Value</w:t>
            </w:r>
          </w:p>
        </w:tc>
        <w:tc>
          <w:tcPr>
            <w:tcW w:w="3075" w:type="dxa"/>
          </w:tcPr>
          <w:p w14:paraId="21BEF1B1" w14:textId="77777777" w:rsidR="005D489F" w:rsidRDefault="00000000">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Description/Justification</w:t>
            </w:r>
          </w:p>
        </w:tc>
      </w:tr>
      <w:tr w:rsidR="005D489F" w14:paraId="1C6DD1C8"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138A1182" w14:textId="04BB954E"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Γ</w:t>
            </w:r>
          </w:p>
        </w:tc>
        <w:tc>
          <w:tcPr>
            <w:tcW w:w="2846" w:type="dxa"/>
          </w:tcPr>
          <w:p w14:paraId="32CE5CA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w:t>
            </w:r>
          </w:p>
        </w:tc>
        <w:tc>
          <w:tcPr>
            <w:tcW w:w="3075" w:type="dxa"/>
          </w:tcPr>
          <w:p w14:paraId="31C6386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Intertemporal elasticity of substitution (mid-range of macro estimates)</w:t>
            </w:r>
          </w:p>
        </w:tc>
      </w:tr>
      <w:tr w:rsidR="005D489F" w14:paraId="210DFED5"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C15B8C1" w14:textId="71284F8D"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Β</w:t>
            </w:r>
          </w:p>
        </w:tc>
        <w:tc>
          <w:tcPr>
            <w:tcW w:w="2846" w:type="dxa"/>
          </w:tcPr>
          <w:p w14:paraId="285D8873"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0.98</w:t>
            </w:r>
          </w:p>
        </w:tc>
        <w:tc>
          <w:tcPr>
            <w:tcW w:w="3075" w:type="dxa"/>
          </w:tcPr>
          <w:p w14:paraId="2748706E"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Annual discount factor (2% time preference rate)</w:t>
            </w:r>
          </w:p>
        </w:tc>
      </w:tr>
      <w:tr w:rsidR="005D489F" w14:paraId="30CE48B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0F6072C" w14:textId="11096674"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Δ</w:t>
            </w:r>
          </w:p>
        </w:tc>
        <w:tc>
          <w:tcPr>
            <w:tcW w:w="2846" w:type="dxa"/>
          </w:tcPr>
          <w:p w14:paraId="697DFBFF"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3075" w:type="dxa"/>
          </w:tcPr>
          <w:p w14:paraId="21395DC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Utility penalty from poor health (10% reduction when sick)</w:t>
            </w:r>
          </w:p>
        </w:tc>
      </w:tr>
      <w:tr w:rsidR="005D489F" w14:paraId="0A46E73B"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74C9917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ϱ₁</w:t>
            </w:r>
          </w:p>
        </w:tc>
        <w:tc>
          <w:tcPr>
            <w:tcW w:w="2846" w:type="dxa"/>
          </w:tcPr>
          <w:p w14:paraId="73DF5AE6"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w:t>
            </w:r>
          </w:p>
        </w:tc>
        <w:tc>
          <w:tcPr>
            <w:tcW w:w="3075" w:type="dxa"/>
          </w:tcPr>
          <w:p w14:paraId="5AAF185F"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Low-skilled productivity penalty (19% income loss when sick)</w:t>
            </w:r>
          </w:p>
        </w:tc>
      </w:tr>
      <w:tr w:rsidR="005D489F" w14:paraId="02004AA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5D21796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ϱ₂</w:t>
            </w:r>
          </w:p>
        </w:tc>
        <w:tc>
          <w:tcPr>
            <w:tcW w:w="2846" w:type="dxa"/>
          </w:tcPr>
          <w:p w14:paraId="683C573C"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w:t>
            </w:r>
          </w:p>
        </w:tc>
        <w:tc>
          <w:tcPr>
            <w:tcW w:w="3075" w:type="dxa"/>
          </w:tcPr>
          <w:p w14:paraId="6DEB96A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High-skilled productivity penalty (9.5% income loss when sick)</w:t>
            </w:r>
          </w:p>
        </w:tc>
      </w:tr>
      <w:tr w:rsidR="005D489F" w14:paraId="65314867"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603DDB56" w14:textId="55BCE322" w:rsidR="005D489F" w:rsidRDefault="00B73B5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Σ</w:t>
            </w:r>
            <w:r w:rsidR="00000000">
              <w:rPr>
                <w:rFonts w:ascii="Times New Roman" w:hAnsi="Times New Roman" w:cs="Times New Roman"/>
                <w:sz w:val="24"/>
                <w:szCs w:val="24"/>
              </w:rPr>
              <w:t>ζ</w:t>
            </w:r>
            <w:proofErr w:type="spellEnd"/>
          </w:p>
        </w:tc>
        <w:tc>
          <w:tcPr>
            <w:tcW w:w="2846" w:type="dxa"/>
          </w:tcPr>
          <w:p w14:paraId="4014623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w:t>
            </w:r>
          </w:p>
        </w:tc>
        <w:tc>
          <w:tcPr>
            <w:tcW w:w="3075" w:type="dxa"/>
          </w:tcPr>
          <w:p w14:paraId="6907A427"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Volatility of health cost shocks</w:t>
            </w:r>
          </w:p>
        </w:tc>
      </w:tr>
      <w:tr w:rsidR="005D489F" w14:paraId="56143023"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2EB38843"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k₁, kJ</w:t>
            </w:r>
          </w:p>
        </w:tc>
        <w:tc>
          <w:tcPr>
            <w:tcW w:w="2846" w:type="dxa"/>
          </w:tcPr>
          <w:p w14:paraId="387F3AF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0.3, 0.9</w:t>
            </w:r>
          </w:p>
        </w:tc>
        <w:tc>
          <w:tcPr>
            <w:tcW w:w="3075" w:type="dxa"/>
          </w:tcPr>
          <w:p w14:paraId="0405302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Health cost age profile (tripling from young to old)</w:t>
            </w:r>
          </w:p>
        </w:tc>
      </w:tr>
      <w:tr w:rsidR="005D489F" w14:paraId="45683536"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5F8799D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c̄</w:t>
            </w:r>
          </w:p>
        </w:tc>
        <w:tc>
          <w:tcPr>
            <w:tcW w:w="2846" w:type="dxa"/>
          </w:tcPr>
          <w:p w14:paraId="70268362"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0.05</w:t>
            </w:r>
          </w:p>
        </w:tc>
        <w:tc>
          <w:tcPr>
            <w:tcW w:w="3075" w:type="dxa"/>
          </w:tcPr>
          <w:p w14:paraId="108B271D"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Consumption floor (5% of average income)</w:t>
            </w:r>
          </w:p>
        </w:tc>
      </w:tr>
      <w:tr w:rsidR="005D489F" w14:paraId="43573C4B"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49CE42DD" w14:textId="77777777" w:rsidR="005D489F"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pgˡᵒʷ</w:t>
            </w:r>
            <w:proofErr w:type="spellEnd"/>
          </w:p>
        </w:tc>
        <w:tc>
          <w:tcPr>
            <w:tcW w:w="2846" w:type="dxa"/>
          </w:tcPr>
          <w:p w14:paraId="08E807D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[0.1, 0.4]</w:t>
            </w:r>
          </w:p>
        </w:tc>
        <w:tc>
          <w:tcPr>
            <w:tcW w:w="3075" w:type="dxa"/>
          </w:tcPr>
          <w:p w14:paraId="488221C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Low-skilled probability of becoming sick (increases with age)</w:t>
            </w:r>
          </w:p>
        </w:tc>
      </w:tr>
      <w:tr w:rsidR="005D489F" w14:paraId="37555A2A"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04B0D108" w14:textId="77777777" w:rsidR="005D489F" w:rsidRDefault="00000000">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pgʰ</w:t>
            </w:r>
            <w:proofErr w:type="spellEnd"/>
            <w:r>
              <w:rPr>
                <w:rFonts w:ascii="Times New Roman" w:hAnsi="Times New Roman" w:cs="Times New Roman"/>
                <w:sz w:val="24"/>
                <w:szCs w:val="24"/>
              </w:rPr>
              <w:t>ⁱᵍʰ</w:t>
            </w:r>
          </w:p>
        </w:tc>
        <w:tc>
          <w:tcPr>
            <w:tcW w:w="2846" w:type="dxa"/>
          </w:tcPr>
          <w:p w14:paraId="0E4FD3D6"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 0.2]</w:t>
            </w:r>
          </w:p>
        </w:tc>
        <w:tc>
          <w:tcPr>
            <w:tcW w:w="3075" w:type="dxa"/>
          </w:tcPr>
          <w:p w14:paraId="277E678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High-skilled probability of becoming sick (50% lower)</w:t>
            </w:r>
          </w:p>
        </w:tc>
      </w:tr>
      <w:tr w:rsidR="005D489F" w14:paraId="39C4CDBE"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6070CDBB" w14:textId="3B7BB935"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P</w:t>
            </w:r>
            <w:r w:rsidR="00000000">
              <w:rPr>
                <w:rFonts w:ascii="Times New Roman" w:hAnsi="Times New Roman" w:cs="Times New Roman"/>
                <w:sz w:val="24"/>
                <w:szCs w:val="24"/>
              </w:rPr>
              <w:t>b</w:t>
            </w:r>
          </w:p>
        </w:tc>
        <w:tc>
          <w:tcPr>
            <w:tcW w:w="2846" w:type="dxa"/>
          </w:tcPr>
          <w:p w14:paraId="62915BE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[0.6, 0.9]</w:t>
            </w:r>
          </w:p>
        </w:tc>
        <w:tc>
          <w:tcPr>
            <w:tcW w:w="3075" w:type="dxa"/>
          </w:tcPr>
          <w:p w14:paraId="7D80302B"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Persistence of poor health (same for both skills)</w:t>
            </w:r>
          </w:p>
        </w:tc>
      </w:tr>
      <w:tr w:rsidR="005D489F" w14:paraId="7FB76A45"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4E15D00F" w14:textId="19EC90BB" w:rsidR="005D489F" w:rsidRDefault="00B73B56">
            <w:pPr>
              <w:spacing w:line="360" w:lineRule="auto"/>
              <w:rPr>
                <w:rFonts w:ascii="Times New Roman" w:hAnsi="Times New Roman" w:cs="Times New Roman"/>
                <w:sz w:val="24"/>
                <w:szCs w:val="24"/>
              </w:rPr>
            </w:pPr>
            <w:r>
              <w:rPr>
                <w:rFonts w:ascii="Times New Roman" w:hAnsi="Times New Roman" w:cs="Times New Roman"/>
                <w:sz w:val="24"/>
                <w:szCs w:val="24"/>
              </w:rPr>
              <w:t>Ρ</w:t>
            </w:r>
          </w:p>
        </w:tc>
        <w:tc>
          <w:tcPr>
            <w:tcW w:w="2846" w:type="dxa"/>
          </w:tcPr>
          <w:p w14:paraId="35DBA7B7"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0.985</w:t>
            </w:r>
          </w:p>
        </w:tc>
        <w:tc>
          <w:tcPr>
            <w:tcW w:w="3075" w:type="dxa"/>
          </w:tcPr>
          <w:p w14:paraId="46BDF045"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AR(1) persistence of transitory income shocks</w:t>
            </w:r>
          </w:p>
        </w:tc>
      </w:tr>
      <w:tr w:rsidR="005D489F" w14:paraId="28D7571F" w14:textId="77777777" w:rsidTr="005D489F">
        <w:tc>
          <w:tcPr>
            <w:cnfStyle w:val="001000000000" w:firstRow="0" w:lastRow="0" w:firstColumn="1" w:lastColumn="0" w:oddVBand="0" w:evenVBand="0" w:oddHBand="0" w:evenHBand="0" w:firstRowFirstColumn="0" w:firstRowLastColumn="0" w:lastRowFirstColumn="0" w:lastRowLastColumn="0"/>
            <w:tcW w:w="2907" w:type="dxa"/>
          </w:tcPr>
          <w:p w14:paraId="3A74C5CA" w14:textId="76DDA221" w:rsidR="005D489F" w:rsidRDefault="00B73B56">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Σ</w:t>
            </w:r>
            <w:r w:rsidR="00000000">
              <w:rPr>
                <w:rFonts w:ascii="Times New Roman" w:hAnsi="Times New Roman" w:cs="Times New Roman"/>
                <w:sz w:val="24"/>
                <w:szCs w:val="24"/>
              </w:rPr>
              <w:t>ε</w:t>
            </w:r>
            <w:proofErr w:type="spellEnd"/>
          </w:p>
        </w:tc>
        <w:tc>
          <w:tcPr>
            <w:tcW w:w="2846" w:type="dxa"/>
          </w:tcPr>
          <w:p w14:paraId="2CD49F70"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0.022</w:t>
            </w:r>
          </w:p>
        </w:tc>
        <w:tc>
          <w:tcPr>
            <w:tcW w:w="3075" w:type="dxa"/>
          </w:tcPr>
          <w:p w14:paraId="73F56958" w14:textId="77777777" w:rsidR="005D489F" w:rsidRDefault="00000000">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Innovation variance of transitory shocks</w:t>
            </w:r>
          </w:p>
        </w:tc>
      </w:tr>
    </w:tbl>
    <w:p w14:paraId="6836075E" w14:textId="77777777" w:rsidR="005D489F" w:rsidRDefault="005D489F">
      <w:pPr>
        <w:spacing w:line="360" w:lineRule="auto"/>
        <w:rPr>
          <w:rFonts w:ascii="Times New Roman" w:hAnsi="Times New Roman" w:cs="Times New Roman"/>
          <w:sz w:val="24"/>
          <w:szCs w:val="24"/>
        </w:rPr>
      </w:pPr>
    </w:p>
    <w:p w14:paraId="7BC58972"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These parameters jointly determine: (1) the strength of precautionary savings motives, (2) the magnitude of health-related inequality, (3) the value of the social safety net, and (4) the life-cycle profiles of consumption, assets, and welfare.</w:t>
      </w:r>
    </w:p>
    <w:p w14:paraId="6436D49F" w14:textId="77777777" w:rsidR="005D489F" w:rsidRDefault="00000000">
      <w:pPr>
        <w:pStyle w:val="Heading2"/>
      </w:pPr>
      <w:r>
        <w:t>Key Economic Mechanisms</w:t>
      </w:r>
    </w:p>
    <w:p w14:paraId="2687BB7E" w14:textId="77777777" w:rsidR="005D489F" w:rsidRDefault="00000000">
      <w:pPr>
        <w:pStyle w:val="Heading3"/>
      </w:pPr>
      <w:r>
        <w:t>Cumulative Health Advantage</w:t>
      </w:r>
    </w:p>
    <w:p w14:paraId="4030A18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High-skilled workers enjoy better health outcomes through multiple channels:</w:t>
      </w:r>
    </w:p>
    <w:p w14:paraId="24B24A5B"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Lower probability of becoming sick at every age (skill-dependent transitions)</w:t>
      </w:r>
    </w:p>
    <w:p w14:paraId="66DB5E5F"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Higher income enables better nutrition, housing, and healthcare access</w:t>
      </w:r>
    </w:p>
    <w:p w14:paraId="08C05023"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Less physically demanding jobs reduce wear-and-tear on the body</w:t>
      </w:r>
    </w:p>
    <w:p w14:paraId="54CEF83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Better health → higher productivity → more wealth → better health (reinforcing cycle)</w:t>
      </w:r>
    </w:p>
    <w:p w14:paraId="231594AD" w14:textId="77777777" w:rsidR="005D489F" w:rsidRDefault="00000000">
      <w:pPr>
        <w:pStyle w:val="Heading2"/>
        <w:numPr>
          <w:ilvl w:val="0"/>
          <w:numId w:val="0"/>
        </w:numPr>
        <w:spacing w:line="360" w:lineRule="auto"/>
        <w:ind w:left="576"/>
      </w:pPr>
      <w:r>
        <w:t>Health-Income Poverty Trap</w:t>
      </w:r>
    </w:p>
    <w:p w14:paraId="0DF56EE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Low-skilled workers face a poverty trap mechanism:</w:t>
      </w:r>
    </w:p>
    <w:p w14:paraId="1BABE397"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Poor health reduces productivity by 19% (vs. 9.5% for high-skilled)</w:t>
      </w:r>
    </w:p>
    <w:p w14:paraId="2C46EBA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Lower income limits ability to invest in health</w:t>
      </w:r>
    </w:p>
    <w:p w14:paraId="37CA35D0"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Higher health costs relative to income (same absolute costs, lower income)</w:t>
      </w:r>
    </w:p>
    <w:p w14:paraId="637F3A7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More likely to hit consumption floor and require government transfers</w:t>
      </w:r>
    </w:p>
    <w:p w14:paraId="22F3A3A8"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Reduced ability to save for future health shocks</w:t>
      </w:r>
    </w:p>
    <w:p w14:paraId="77DA1A20" w14:textId="77777777" w:rsidR="005D489F" w:rsidRDefault="00000000">
      <w:pPr>
        <w:pStyle w:val="Heading3"/>
      </w:pPr>
      <w:r>
        <w:t>Role of Government Transfers</w:t>
      </w:r>
    </w:p>
    <w:p w14:paraId="0529436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consumption floor provides insurance against catastrophic health costs:</w:t>
      </w:r>
    </w:p>
    <w:p w14:paraId="1B0A763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Prevents extreme poverty when health shocks occur</w:t>
      </w:r>
    </w:p>
    <w:p w14:paraId="7B65181A"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Reduces precautionary savings (moral hazard effect)</w:t>
      </w:r>
    </w:p>
    <w:p w14:paraId="705AA9A2"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More valuable for low-skilled workers (higher probability of use)</w:t>
      </w:r>
    </w:p>
    <w:p w14:paraId="612AA65C"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Trade-off between protection and work incentives</w:t>
      </w:r>
    </w:p>
    <w:p w14:paraId="3C3CF0A9" w14:textId="77777777" w:rsidR="005D489F" w:rsidRDefault="00000000">
      <w:pPr>
        <w:pStyle w:val="ListBullet"/>
        <w:tabs>
          <w:tab w:val="left" w:pos="360"/>
        </w:tabs>
        <w:spacing w:line="360" w:lineRule="auto"/>
        <w:rPr>
          <w:rFonts w:ascii="Times New Roman" w:hAnsi="Times New Roman" w:cs="Times New Roman"/>
          <w:sz w:val="24"/>
          <w:szCs w:val="24"/>
        </w:rPr>
      </w:pPr>
      <w:r>
        <w:rPr>
          <w:rFonts w:ascii="Times New Roman" w:hAnsi="Times New Roman" w:cs="Times New Roman"/>
          <w:sz w:val="24"/>
          <w:szCs w:val="24"/>
        </w:rPr>
        <w:t>Fiscal cost increases with population aging and health deterioration</w:t>
      </w:r>
    </w:p>
    <w:p w14:paraId="08E96A0D" w14:textId="77777777" w:rsidR="005D489F" w:rsidRDefault="00000000">
      <w:pPr>
        <w:spacing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Dynamic optimization problem</w:t>
      </w:r>
    </w:p>
    <w:p w14:paraId="7D96225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dynamic optimization problem of an individual in the presence of different health conditions is given by:</w:t>
      </w:r>
    </w:p>
    <w:p w14:paraId="03B0C84A" w14:textId="77777777" w:rsidR="005D489F" w:rsidRDefault="00000000">
      <w:pPr>
        <w:spacing w:line="360" w:lineRule="auto"/>
        <w:jc w:val="both"/>
        <w:rPr>
          <w:rFonts w:ascii="Times New Roman" w:hAnsi="Times New Roman" w:cs="Times New Roman"/>
          <w:sz w:val="24"/>
          <w:szCs w:val="24"/>
        </w:rPr>
      </w:pPr>
      <m:oMathPara>
        <m:oMath>
          <m:r>
            <w:rPr>
              <w:rFonts w:ascii="Cambria Math" w:hAnsi="Cambria Math" w:cs="Times New Roman"/>
              <w:noProof/>
              <w:sz w:val="24"/>
              <w:szCs w:val="24"/>
            </w:rPr>
            <m:t>V(z)=</m:t>
          </m:r>
          <m:func>
            <m:funcPr>
              <m:ctrlPr>
                <w:rPr>
                  <w:rFonts w:ascii="Cambria Math" w:hAnsi="Cambria Math" w:cs="Times New Roman"/>
                  <w:i/>
                  <w:sz w:val="24"/>
                  <w:szCs w:val="24"/>
                </w:rPr>
              </m:ctrlPr>
            </m:funcPr>
            <m:fName>
              <m:limLow>
                <m:limLowPr>
                  <m:ctrlPr>
                    <w:rPr>
                      <w:rFonts w:ascii="Cambria Math" w:hAnsi="Cambria Math" w:cs="Times New Roman"/>
                      <w:i/>
                      <w:sz w:val="24"/>
                      <w:szCs w:val="24"/>
                    </w:rPr>
                  </m:ctrlPr>
                </m:limLowPr>
                <m:e>
                  <m:r>
                    <m:rPr>
                      <m:sty m:val="p"/>
                    </m:rPr>
                    <w:rPr>
                      <w:rFonts w:ascii="Cambria Math" w:hAnsi="Cambria Math" w:cs="Times New Roman"/>
                      <w:sz w:val="24"/>
                      <w:szCs w:val="24"/>
                    </w:rPr>
                    <m:t>max</m:t>
                  </m:r>
                </m:e>
                <m:lim>
                  <m:r>
                    <w:rPr>
                      <w:rFonts w:ascii="Cambria Math" w:hAnsi="Cambria Math" w:cs="Times New Roman"/>
                      <w:sz w:val="24"/>
                      <w:szCs w:val="24"/>
                    </w:rPr>
                    <m:t>c,</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rPr>
                        <m:t>+</m:t>
                      </m:r>
                    </m:sup>
                  </m:sSup>
                </m:lim>
              </m:limLow>
            </m:fName>
            <m:e>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m</m:t>
                  </m:r>
                </m:sub>
              </m:sSub>
              <m:r>
                <w:rPr>
                  <w:rFonts w:ascii="Cambria Math" w:hAnsi="Cambria Math" w:cs="Times New Roman"/>
                  <w:sz w:val="24"/>
                  <w:szCs w:val="24"/>
                </w:rPr>
                <m:t>(c)+β</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j+1</m:t>
                  </m:r>
                </m:sub>
              </m:sSub>
              <m:r>
                <w:rPr>
                  <w:rFonts w:ascii="Cambria Math" w:hAnsi="Cambria Math" w:cs="Times New Roman"/>
                  <w:sz w:val="24"/>
                  <w:szCs w:val="24"/>
                </w:rPr>
                <m:t>(m)E</m:t>
              </m:r>
              <m:d>
                <m:dPr>
                  <m:begChr m:val="["/>
                  <m:endChr m:val="]"/>
                  <m:ctrlPr>
                    <w:rPr>
                      <w:rFonts w:ascii="Cambria Math" w:hAnsi="Cambria Math" w:cs="Times New Roman"/>
                      <w:i/>
                      <w:sz w:val="24"/>
                      <w:szCs w:val="24"/>
                    </w:rPr>
                  </m:ctrlPr>
                </m:dPr>
                <m:e>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m:t>
                      </m:r>
                    </m:sup>
                  </m:sSup>
                  <m:r>
                    <w:rPr>
                      <w:rFonts w:ascii="Cambria Math" w:hAnsi="Cambria Math" w:cs="Times New Roman"/>
                      <w:sz w:val="24"/>
                      <w:szCs w:val="24"/>
                    </w:rPr>
                    <m:t>)|m,η</m:t>
                  </m:r>
                </m:e>
              </m:d>
            </m:e>
          </m:func>
        </m:oMath>
      </m:oMathPara>
    </w:p>
    <w:p w14:paraId="30008072" w14:textId="77777777" w:rsidR="005D489F" w:rsidRDefault="00000000">
      <w:p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s.a.  </w:t>
      </w:r>
      <m:oMath>
        <m:sSup>
          <m:sSupPr>
            <m:ctrlPr>
              <w:rPr>
                <w:rFonts w:ascii="Cambria Math" w:hAnsi="Cambria Math" w:cs="Times New Roman"/>
                <w:i/>
                <w:noProof/>
                <w:sz w:val="24"/>
                <w:szCs w:val="24"/>
              </w:rPr>
            </m:ctrlPr>
          </m:sSupPr>
          <m:e>
            <m:r>
              <w:rPr>
                <w:rFonts w:ascii="Cambria Math" w:hAnsi="Cambria Math" w:cs="Times New Roman"/>
                <w:sz w:val="24"/>
                <w:szCs w:val="24"/>
              </w:rPr>
              <m:t>a</m:t>
            </m:r>
          </m:e>
          <m:sup>
            <m:r>
              <w:rPr>
                <w:rFonts w:ascii="Cambria Math" w:hAnsi="Cambria Math" w:cs="Times New Roman"/>
                <w:sz w:val="24"/>
                <w:szCs w:val="24"/>
                <w:lang w:val="es-MX"/>
              </w:rPr>
              <m:t>+</m:t>
            </m:r>
          </m:sup>
        </m:sSup>
        <m:r>
          <w:rPr>
            <w:rFonts w:ascii="Cambria Math" w:hAnsi="Cambria Math" w:cs="Times New Roman"/>
            <w:sz w:val="24"/>
            <w:szCs w:val="24"/>
            <w:lang w:val="es-MX"/>
          </w:rPr>
          <m:t>=(1+</m:t>
        </m:r>
        <m:r>
          <w:rPr>
            <w:rFonts w:ascii="Cambria Math" w:hAnsi="Cambria Math" w:cs="Times New Roman"/>
            <w:sz w:val="24"/>
            <w:szCs w:val="24"/>
          </w:rPr>
          <m:t>r</m:t>
        </m:r>
        <m:r>
          <w:rPr>
            <w:rFonts w:ascii="Cambria Math" w:hAnsi="Cambria Math" w:cs="Times New Roman"/>
            <w:sz w:val="24"/>
            <w:szCs w:val="24"/>
            <w:lang w:val="es-MX"/>
          </w:rPr>
          <m:t>)</m:t>
        </m:r>
        <m:r>
          <w:rPr>
            <w:rFonts w:ascii="Cambria Math" w:hAnsi="Cambria Math" w:cs="Times New Roman"/>
            <w:sz w:val="24"/>
            <w:szCs w:val="24"/>
          </w:rPr>
          <m:t>a</m:t>
        </m:r>
        <m:r>
          <w:rPr>
            <w:rFonts w:ascii="Cambria Math" w:hAnsi="Cambria Math" w:cs="Times New Roman"/>
            <w:sz w:val="24"/>
            <w:szCs w:val="24"/>
            <w:lang w:val="es-MX"/>
          </w:rPr>
          <m:t>+</m:t>
        </m:r>
        <m:r>
          <w:rPr>
            <w:rFonts w:ascii="Cambria Math" w:hAnsi="Cambria Math" w:cs="Times New Roman"/>
            <w:sz w:val="24"/>
            <w:szCs w:val="24"/>
          </w:rPr>
          <m:t>w</m:t>
        </m:r>
        <m:r>
          <w:rPr>
            <w:rFonts w:ascii="Cambria Math" w:hAnsi="Cambria Math" w:cs="Times New Roman"/>
            <w:sz w:val="24"/>
            <w:szCs w:val="24"/>
            <w:lang w:val="es-MX"/>
          </w:rPr>
          <m:t>h+</m:t>
        </m:r>
        <m:r>
          <w:rPr>
            <w:rFonts w:ascii="Cambria Math" w:hAnsi="Cambria Math" w:cs="Times New Roman"/>
            <w:sz w:val="24"/>
            <w:szCs w:val="24"/>
          </w:rPr>
          <m:t>pen</m:t>
        </m:r>
        <m:r>
          <w:rPr>
            <w:rFonts w:ascii="Cambria Math" w:hAnsi="Cambria Math" w:cs="Times New Roman"/>
            <w:sz w:val="24"/>
            <w:szCs w:val="24"/>
            <w:lang w:val="es-MX"/>
          </w:rPr>
          <m:t>-</m:t>
        </m:r>
        <m:r>
          <w:rPr>
            <w:rFonts w:ascii="Cambria Math" w:hAnsi="Cambria Math" w:cs="Times New Roman"/>
            <w:sz w:val="24"/>
            <w:szCs w:val="24"/>
          </w:rPr>
          <m:t>c</m:t>
        </m:r>
        <m:r>
          <w:rPr>
            <w:rFonts w:ascii="Cambria Math" w:hAnsi="Cambria Math" w:cs="Times New Roman"/>
            <w:sz w:val="24"/>
            <w:szCs w:val="24"/>
            <w:lang w:val="es-MX"/>
          </w:rPr>
          <m:t xml:space="preserve">,            </m:t>
        </m:r>
        <m:sSup>
          <m:sSupPr>
            <m:ctrlPr>
              <w:rPr>
                <w:rFonts w:ascii="Cambria Math" w:hAnsi="Cambria Math" w:cs="Times New Roman"/>
                <w:i/>
                <w:sz w:val="24"/>
                <w:szCs w:val="24"/>
              </w:rPr>
            </m:ctrlPr>
          </m:sSupPr>
          <m:e>
            <m:r>
              <w:rPr>
                <w:rFonts w:ascii="Cambria Math" w:hAnsi="Cambria Math" w:cs="Times New Roman"/>
                <w:sz w:val="24"/>
                <w:szCs w:val="24"/>
              </w:rPr>
              <m:t>a</m:t>
            </m:r>
          </m:e>
          <m:sup>
            <m:r>
              <w:rPr>
                <w:rFonts w:ascii="Cambria Math" w:hAnsi="Cambria Math" w:cs="Times New Roman"/>
                <w:sz w:val="24"/>
                <w:szCs w:val="24"/>
                <w:lang w:val="es-MX"/>
              </w:rPr>
              <m:t>+</m:t>
            </m:r>
          </m:sup>
        </m:sSup>
        <m:r>
          <w:rPr>
            <w:rFonts w:ascii="Cambria Math" w:hAnsi="Cambria Math" w:cs="Times New Roman"/>
            <w:sz w:val="24"/>
            <w:szCs w:val="24"/>
            <w:lang w:val="es-MX"/>
          </w:rPr>
          <m:t>≥0,</m:t>
        </m:r>
      </m:oMath>
    </w:p>
    <w:p w14:paraId="1E4C6CC8" w14:textId="77777777" w:rsidR="005D489F" w:rsidRDefault="00000000">
      <w:pPr>
        <w:spacing w:line="360" w:lineRule="auto"/>
        <w:jc w:val="both"/>
        <w:rPr>
          <w:rFonts w:ascii="Times New Roman" w:hAnsi="Times New Roman" w:cs="Times New Roman"/>
          <w:sz w:val="24"/>
          <w:szCs w:val="24"/>
          <w:lang w:val="es-MX"/>
        </w:rPr>
      </w:pPr>
      <m:oMath>
        <m:sSup>
          <m:sSupPr>
            <m:ctrlPr>
              <w:rPr>
                <w:rFonts w:ascii="Cambria Math" w:hAnsi="Cambria Math" w:cs="Times New Roman"/>
                <w:i/>
                <w:noProof/>
                <w:sz w:val="24"/>
                <w:szCs w:val="24"/>
              </w:rPr>
            </m:ctrlPr>
          </m:sSupPr>
          <m:e>
            <m:r>
              <w:rPr>
                <w:rFonts w:ascii="Cambria Math" w:hAnsi="Cambria Math" w:cs="Times New Roman"/>
                <w:sz w:val="24"/>
                <w:szCs w:val="24"/>
              </w:rPr>
              <m:t>η</m:t>
            </m:r>
          </m:e>
          <m:sup>
            <m:r>
              <w:rPr>
                <w:rFonts w:ascii="Cambria Math" w:hAnsi="Cambria Math" w:cs="Times New Roman"/>
                <w:sz w:val="24"/>
                <w:szCs w:val="24"/>
                <w:lang w:val="es-MX"/>
              </w:rPr>
              <m:t>+</m:t>
            </m:r>
          </m:sup>
        </m:sSup>
        <m:r>
          <w:rPr>
            <w:rFonts w:ascii="Cambria Math" w:hAnsi="Cambria Math" w:cs="Times New Roman"/>
            <w:sz w:val="24"/>
            <w:szCs w:val="24"/>
            <w:lang w:val="es-MX"/>
          </w:rPr>
          <m:t>=</m:t>
        </m:r>
        <m:r>
          <w:rPr>
            <w:rFonts w:ascii="Cambria Math" w:hAnsi="Cambria Math" w:cs="Times New Roman"/>
            <w:sz w:val="24"/>
            <w:szCs w:val="24"/>
          </w:rPr>
          <m:t>ρη</m:t>
        </m:r>
        <m:r>
          <w:rPr>
            <w:rFonts w:ascii="Cambria Math" w:hAnsi="Cambria Math" w:cs="Times New Roman"/>
            <w:sz w:val="24"/>
            <w:szCs w:val="24"/>
            <w:lang w:val="es-MX"/>
          </w:rPr>
          <m:t>+</m:t>
        </m:r>
        <m:sSup>
          <m:sSupPr>
            <m:ctrlPr>
              <w:rPr>
                <w:rFonts w:ascii="Cambria Math" w:hAnsi="Cambria Math" w:cs="Times New Roman"/>
                <w:i/>
                <w:sz w:val="24"/>
                <w:szCs w:val="24"/>
              </w:rPr>
            </m:ctrlPr>
          </m:sSupPr>
          <m:e>
            <m:r>
              <w:rPr>
                <w:rFonts w:ascii="Cambria Math" w:hAnsi="Cambria Math" w:cs="Times New Roman"/>
                <w:sz w:val="24"/>
                <w:szCs w:val="24"/>
              </w:rPr>
              <m:t>ϵ</m:t>
            </m:r>
          </m:e>
          <m:sup>
            <m:r>
              <w:rPr>
                <w:rFonts w:ascii="Cambria Math" w:hAnsi="Cambria Math" w:cs="Times New Roman"/>
                <w:sz w:val="24"/>
                <w:szCs w:val="24"/>
                <w:lang w:val="es-MX"/>
              </w:rPr>
              <m:t>+</m:t>
            </m:r>
          </m:sup>
        </m:sSup>
        <m:r>
          <w:rPr>
            <w:rFonts w:ascii="Cambria Math" w:hAnsi="Cambria Math" w:cs="Times New Roman"/>
            <w:sz w:val="24"/>
            <w:szCs w:val="24"/>
            <w:lang w:val="es-MX"/>
          </w:rPr>
          <m:t xml:space="preserve">       </m:t>
        </m:r>
        <m:r>
          <w:rPr>
            <w:rFonts w:ascii="Cambria Math" w:hAnsi="Cambria Math" w:cs="Times New Roman"/>
            <w:sz w:val="24"/>
            <w:szCs w:val="24"/>
          </w:rPr>
          <m:t>con</m:t>
        </m:r>
        <m:r>
          <w:rPr>
            <w:rFonts w:ascii="Cambria Math" w:hAnsi="Cambria Math" w:cs="Times New Roman"/>
            <w:sz w:val="24"/>
            <w:szCs w:val="24"/>
            <w:lang w:val="es-MX"/>
          </w:rPr>
          <m:t xml:space="preserve"> </m:t>
        </m:r>
      </m:oMath>
      <w:r>
        <w:rPr>
          <w:rFonts w:ascii="Times New Roman" w:hAnsi="Times New Roman" w:cs="Times New Roman"/>
          <w:sz w:val="24"/>
          <w:szCs w:val="24"/>
          <w:lang w:val="es-MX"/>
        </w:rPr>
        <w:t xml:space="preserve">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sz w:val="24"/>
                <w:szCs w:val="24"/>
              </w:rPr>
              <m:t>ϵ</m:t>
            </m:r>
          </m:e>
          <m:sup>
            <m:r>
              <w:rPr>
                <w:rFonts w:ascii="Cambria Math" w:eastAsiaTheme="minorEastAsia" w:hAnsi="Cambria Math" w:cs="Times New Roman"/>
                <w:sz w:val="24"/>
                <w:szCs w:val="24"/>
                <w:lang w:val="es-MX"/>
              </w:rPr>
              <m:t>+</m:t>
            </m:r>
          </m:sup>
        </m:sSup>
        <m:r>
          <w:rPr>
            <w:rFonts w:ascii="Cambria Math" w:eastAsiaTheme="minorEastAsia" w:hAnsi="Cambria Math" w:cs="Times New Roman"/>
            <w:sz w:val="24"/>
            <w:szCs w:val="24"/>
            <w:lang w:val="es-MX"/>
          </w:rPr>
          <m:t>~</m:t>
        </m:r>
        <m:r>
          <w:rPr>
            <w:rFonts w:ascii="Cambria Math" w:eastAsiaTheme="minorEastAsia" w:hAnsi="Cambria Math" w:cs="Times New Roman"/>
            <w:sz w:val="24"/>
            <w:szCs w:val="24"/>
          </w:rPr>
          <m:t>N</m:t>
        </m:r>
        <m:r>
          <w:rPr>
            <w:rFonts w:ascii="Cambria Math" w:eastAsiaTheme="minorEastAsia" w:hAnsi="Cambria Math" w:cs="Times New Roman"/>
            <w:sz w:val="24"/>
            <w:szCs w:val="24"/>
            <w:lang w:val="es-MX"/>
          </w:rPr>
          <m:t>(0,</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ϵ</m:t>
            </m:r>
          </m:sub>
          <m:sup>
            <m:r>
              <w:rPr>
                <w:rFonts w:ascii="Cambria Math" w:eastAsiaTheme="minorEastAsia" w:hAnsi="Cambria Math" w:cs="Times New Roman"/>
                <w:sz w:val="24"/>
                <w:szCs w:val="24"/>
                <w:lang w:val="es-MX"/>
              </w:rPr>
              <m:t>2</m:t>
            </m:r>
          </m:sup>
        </m:sSubSup>
        <m:r>
          <w:rPr>
            <w:rFonts w:ascii="Cambria Math" w:eastAsiaTheme="minorEastAsia" w:hAnsi="Cambria Math" w:cs="Times New Roman"/>
            <w:sz w:val="24"/>
            <w:szCs w:val="24"/>
            <w:lang w:val="es-MX"/>
          </w:rPr>
          <m:t>)</m:t>
        </m:r>
      </m:oMath>
    </w:p>
    <w:p w14:paraId="74F6068D"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sub>
          </m:sSub>
          <m:r>
            <w:rPr>
              <w:rFonts w:ascii="Cambria Math" w:hAnsi="Cambria Math" w:cs="Times New Roman"/>
              <w:sz w:val="24"/>
              <w:szCs w:val="24"/>
            </w:rPr>
            <m:t>=Pr(</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j+1</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      con   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 xml:space="preserve"> ϵ</m:t>
          </m:r>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r>
            <w:rPr>
              <w:rFonts w:ascii="Cambria Math" w:hAnsi="Cambria Math" w:cs="Times New Roman"/>
              <w:sz w:val="24"/>
              <w:szCs w:val="24"/>
            </w:rPr>
            <m:t>,</m:t>
          </m:r>
        </m:oMath>
      </m:oMathPara>
    </w:p>
    <w:p w14:paraId="1D663D85"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With the definition of instantaneous utility function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m</m:t>
            </m:r>
          </m:sub>
        </m:sSub>
        <m:r>
          <w:rPr>
            <w:rFonts w:ascii="Cambria Math" w:eastAsiaTheme="minorEastAsia" w:hAnsi="Cambria Math" w:cs="Times New Roman"/>
            <w:sz w:val="24"/>
            <w:szCs w:val="24"/>
          </w:rPr>
          <m:t>(c)</m:t>
        </m:r>
      </m:oMath>
      <w:r>
        <w:rPr>
          <w:rFonts w:ascii="Times New Roman" w:hAnsi="Times New Roman" w:cs="Times New Roman"/>
          <w:sz w:val="24"/>
          <w:szCs w:val="24"/>
        </w:rPr>
        <w:t xml:space="preserve"> previously defined, and its respective Lagrangian that leads to the following first order condition:</w:t>
      </w:r>
    </w:p>
    <w:p w14:paraId="7652D92D" w14:textId="77777777" w:rsidR="005D489F" w:rsidRDefault="00000000">
      <w:pPr>
        <w:spacing w:line="360" w:lineRule="auto"/>
        <w:jc w:val="both"/>
        <w:rPr>
          <w:rFonts w:ascii="Times New Roman" w:hAnsi="Times New Roman" w:cs="Times New Roman"/>
          <w:sz w:val="24"/>
          <w:szCs w:val="24"/>
        </w:rPr>
      </w:pPr>
      <m:oMathPara>
        <m:oMath>
          <m:r>
            <w:rPr>
              <w:rFonts w:ascii="Cambria Math" w:hAnsi="Cambria Math" w:cs="Times New Roman"/>
              <w:noProof/>
              <w:sz w:val="24"/>
              <w:szCs w:val="24"/>
            </w:rPr>
            <m:t>c=</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β</m:t>
                  </m:r>
                  <m:sSub>
                    <m:sSubPr>
                      <m:ctrlPr>
                        <w:rPr>
                          <w:rFonts w:ascii="Cambria Math" w:hAnsi="Cambria Math" w:cs="Times New Roman"/>
                          <w:sz w:val="24"/>
                          <w:szCs w:val="24"/>
                        </w:rPr>
                      </m:ctrlPr>
                    </m:sSubPr>
                    <m:e>
                      <m:r>
                        <w:rPr>
                          <w:rFonts w:ascii="Cambria Math" w:hAnsi="Cambria Math" w:cs="Times New Roman"/>
                          <w:sz w:val="24"/>
                          <w:szCs w:val="24"/>
                        </w:rPr>
                        <m:t>ψ</m:t>
                      </m:r>
                    </m:e>
                    <m:sub>
                      <m:r>
                        <w:rPr>
                          <w:rFonts w:ascii="Cambria Math" w:hAnsi="Cambria Math" w:cs="Times New Roman"/>
                          <w:sz w:val="24"/>
                          <w:szCs w:val="24"/>
                        </w:rPr>
                        <m:t>j+1</m:t>
                      </m:r>
                    </m:sub>
                  </m:sSub>
                  <m:d>
                    <m:dPr>
                      <m:ctrlPr>
                        <w:rPr>
                          <w:rFonts w:ascii="Cambria Math" w:hAnsi="Cambria Math" w:cs="Times New Roman"/>
                          <w:i/>
                          <w:sz w:val="24"/>
                          <w:szCs w:val="24"/>
                        </w:rPr>
                      </m:ctrlPr>
                    </m:dPr>
                    <m:e>
                      <m:r>
                        <w:rPr>
                          <w:rFonts w:ascii="Cambria Math" w:hAnsi="Cambria Math" w:cs="Times New Roman"/>
                          <w:sz w:val="24"/>
                          <w:szCs w:val="24"/>
                        </w:rPr>
                        <m:t>m</m:t>
                      </m:r>
                    </m:e>
                  </m:d>
                  <m:d>
                    <m:dPr>
                      <m:ctrlPr>
                        <w:rPr>
                          <w:rFonts w:ascii="Cambria Math" w:hAnsi="Cambria Math" w:cs="Times New Roman"/>
                          <w:i/>
                          <w:sz w:val="24"/>
                          <w:szCs w:val="24"/>
                        </w:rPr>
                      </m:ctrlPr>
                    </m:dPr>
                    <m:e>
                      <m:r>
                        <w:rPr>
                          <w:rFonts w:ascii="Cambria Math" w:hAnsi="Cambria Math" w:cs="Times New Roman"/>
                          <w:sz w:val="24"/>
                          <w:szCs w:val="24"/>
                        </w:rPr>
                        <m:t>1+r</m:t>
                      </m:r>
                    </m:e>
                  </m:d>
                  <m:r>
                    <m:rPr>
                      <m:sty m:val="p"/>
                    </m:rPr>
                    <w:rPr>
                      <w:rFonts w:ascii="Cambria Math" w:hAnsi="Cambria Math" w:cs="Times New Roman"/>
                      <w:sz w:val="24"/>
                      <w:szCs w:val="24"/>
                    </w:rPr>
                    <m:t>δ</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m</m:t>
                          </m:r>
                        </m:e>
                      </m:d>
                    </m:e>
                    <m:sup>
                      <m:r>
                        <w:rPr>
                          <w:rFonts w:ascii="Cambria Math" w:hAnsi="Cambria Math" w:cs="Times New Roman"/>
                          <w:sz w:val="24"/>
                          <w:szCs w:val="24"/>
                        </w:rPr>
                        <m:t>-1</m:t>
                      </m:r>
                    </m:sup>
                  </m:sSup>
                  <m:r>
                    <w:rPr>
                      <w:rFonts w:ascii="Cambria Math" w:hAnsi="Cambria Math" w:cs="Times New Roman"/>
                      <w:sz w:val="24"/>
                      <w:szCs w:val="24"/>
                    </w:rPr>
                    <m:t>∙E</m:t>
                  </m:r>
                  <m:d>
                    <m:dPr>
                      <m:begChr m:val="["/>
                      <m:endChr m:val="]"/>
                      <m:ctrlPr>
                        <w:rPr>
                          <w:rFonts w:ascii="Cambria Math" w:hAnsi="Cambria Math" w:cs="Times New Roman"/>
                          <w:i/>
                          <w:sz w:val="24"/>
                          <w:szCs w:val="24"/>
                        </w:rPr>
                      </m:ctrlPr>
                    </m:dPr>
                    <m:e>
                      <m:r>
                        <m:rPr>
                          <m:sty m:val="p"/>
                        </m:rPr>
                        <w:rPr>
                          <w:rFonts w:ascii="Cambria Math" w:hAnsi="Cambria Math" w:cs="Times New Roman"/>
                          <w:sz w:val="24"/>
                          <w:szCs w:val="24"/>
                        </w:rPr>
                        <m:t>δ</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)c</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sSup>
                                <m:sSupPr>
                                  <m:ctrlPr>
                                    <w:rPr>
                                      <w:rFonts w:ascii="Cambria Math" w:hAnsi="Cambria Math" w:cs="Times New Roman"/>
                                      <w:i/>
                                      <w:sz w:val="24"/>
                                      <w:szCs w:val="24"/>
                                    </w:rPr>
                                  </m:ctrlPr>
                                </m:sSupPr>
                                <m:e>
                                  <m:r>
                                    <w:rPr>
                                      <w:rFonts w:ascii="Cambria Math" w:hAnsi="Cambria Math" w:cs="Times New Roman"/>
                                      <w:sz w:val="24"/>
                                      <w:szCs w:val="24"/>
                                    </w:rPr>
                                    <m:t>z</m:t>
                                  </m:r>
                                </m:e>
                                <m:sup>
                                  <m:r>
                                    <w:rPr>
                                      <w:rFonts w:ascii="Cambria Math" w:hAnsi="Cambria Math" w:cs="Times New Roman"/>
                                      <w:sz w:val="24"/>
                                      <w:szCs w:val="24"/>
                                    </w:rPr>
                                    <m:t>+</m:t>
                                  </m:r>
                                </m:sup>
                              </m:sSup>
                            </m:e>
                          </m:d>
                        </m:e>
                        <m:sup>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γ</m:t>
                              </m:r>
                            </m:den>
                          </m:f>
                        </m:sup>
                      </m:sSup>
                      <m:r>
                        <w:rPr>
                          <w:rFonts w:ascii="Cambria Math" w:hAnsi="Cambria Math" w:cs="Times New Roman"/>
                          <w:sz w:val="24"/>
                          <w:szCs w:val="24"/>
                        </w:rPr>
                        <m:t>|m,η</m:t>
                      </m:r>
                    </m:e>
                  </m:d>
                </m:e>
              </m:d>
            </m:e>
            <m:sup>
              <m:r>
                <w:rPr>
                  <w:rFonts w:ascii="Cambria Math" w:hAnsi="Cambria Math" w:cs="Times New Roman"/>
                  <w:sz w:val="24"/>
                  <w:szCs w:val="24"/>
                </w:rPr>
                <m:t>-γ</m:t>
              </m:r>
            </m:sup>
          </m:sSup>
        </m:oMath>
      </m:oMathPara>
    </w:p>
    <w:p w14:paraId="63628696"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we use the notation </w:t>
      </w:r>
      <m:oMath>
        <m:sSup>
          <m:sSupPr>
            <m:ctrlPr>
              <w:rPr>
                <w:rFonts w:ascii="Cambria Math" w:eastAsiaTheme="minorEastAsia" w:hAnsi="Cambria Math" w:cs="Times New Roman"/>
                <w:i/>
                <w:noProof/>
                <w:sz w:val="24"/>
                <w:szCs w:val="24"/>
              </w:rPr>
            </m:ctrlPr>
          </m:sSupPr>
          <m:e>
            <m:r>
              <w:rPr>
                <w:rFonts w:ascii="Cambria Math" w:eastAsiaTheme="minorEastAsia" w:hAnsi="Cambria Math" w:cs="Times New Roman"/>
                <w:sz w:val="24"/>
                <w:szCs w:val="24"/>
              </w:rPr>
              <m:t>z</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=(j,</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,θ,</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η</m:t>
            </m:r>
          </m:e>
          <m:sup>
            <m:r>
              <w:rPr>
                <w:rFonts w:ascii="Cambria Math" w:eastAsiaTheme="minorEastAsia" w:hAnsi="Cambria Math" w:cs="Times New Roman"/>
                <w:sz w:val="24"/>
                <w:szCs w:val="24"/>
              </w:rPr>
              <m:t>+</m:t>
            </m:r>
          </m:sup>
        </m:sSup>
        <m:r>
          <w:rPr>
            <w:rFonts w:ascii="Cambria Math" w:eastAsiaTheme="minorEastAsia" w:hAnsi="Cambria Math" w:cs="Times New Roman"/>
            <w:sz w:val="24"/>
            <w:szCs w:val="24"/>
          </w:rPr>
          <m:t>)</m:t>
        </m:r>
      </m:oMath>
      <w:r>
        <w:rPr>
          <w:rFonts w:ascii="Times New Roman" w:hAnsi="Times New Roman" w:cs="Times New Roman"/>
          <w:sz w:val="24"/>
          <w:szCs w:val="24"/>
        </w:rPr>
        <w:t>.</w:t>
      </w:r>
    </w:p>
    <w:p w14:paraId="55D2106B"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the current productivity shock </w:t>
      </w:r>
      <m:oMath>
        <m:r>
          <w:rPr>
            <w:rFonts w:ascii="Cambria Math" w:eastAsiaTheme="minorEastAsia" w:hAnsi="Cambria Math" w:cs="Times New Roman"/>
            <w:noProof/>
            <w:sz w:val="24"/>
            <w:szCs w:val="24"/>
          </w:rPr>
          <m:t>η</m:t>
        </m:r>
      </m:oMath>
      <w:r>
        <w:rPr>
          <w:rFonts w:ascii="Times New Roman" w:hAnsi="Times New Roman" w:cs="Times New Roman"/>
          <w:sz w:val="24"/>
          <w:szCs w:val="24"/>
        </w:rPr>
        <w:t>, The expected marginal utility of future consumption also depends on the health condition in the current state, m.</w:t>
      </w:r>
    </w:p>
    <w:p w14:paraId="76CCB03C"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each period, the transition of health states is determined by the age-dependent transition matrix </w:t>
      </w:r>
      <m:oMath>
        <m:sSub>
          <m:sSubPr>
            <m:ctrlPr>
              <w:rPr>
                <w:rFonts w:ascii="Cambria Math" w:hAnsi="Cambria Math" w:cs="Times New Roman"/>
                <w:i/>
                <w:noProof/>
                <w:sz w:val="24"/>
                <w:szCs w:val="24"/>
              </w:rPr>
            </m:ctrlPr>
          </m:sSubPr>
          <m:e>
            <m:r>
              <w:rPr>
                <w:rFonts w:ascii="Cambria Math" w:hAnsi="Cambria Math" w:cs="Times New Roman"/>
                <w:sz w:val="24"/>
                <w:szCs w:val="24"/>
              </w:rPr>
              <m:t>π</m:t>
            </m:r>
          </m:e>
          <m:sub>
            <m:r>
              <w:rPr>
                <w:rFonts w:ascii="Cambria Math" w:hAnsi="Cambria Math" w:cs="Times New Roman"/>
                <w:sz w:val="24"/>
                <w:szCs w:val="24"/>
              </w:rPr>
              <m:t>j,m,</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m:t>
                </m:r>
              </m:sup>
            </m:sSup>
            <m:r>
              <w:rPr>
                <w:rFonts w:ascii="Cambria Math" w:hAnsi="Cambria Math" w:cs="Times New Roman"/>
                <w:sz w:val="24"/>
                <w:szCs w:val="24"/>
              </w:rPr>
              <m:t>.</m:t>
            </m:r>
          </m:sub>
        </m:sSub>
      </m:oMath>
      <w:r>
        <w:rPr>
          <w:rFonts w:ascii="Times New Roman" w:hAnsi="Times New Roman" w:cs="Times New Roman"/>
          <w:sz w:val="24"/>
          <w:szCs w:val="24"/>
        </w:rPr>
        <w:t xml:space="preserve"> The immediate utility of individuals in poor health is scaled with the parameter </w:t>
      </w:r>
      <m:oMath>
        <m:r>
          <m:rPr>
            <m:sty m:val="p"/>
          </m:rPr>
          <w:rPr>
            <w:rFonts w:ascii="Cambria Math" w:eastAsiaTheme="minorEastAsia" w:hAnsi="Cambria Math" w:cs="Times New Roman"/>
            <w:noProof/>
            <w:sz w:val="24"/>
            <w:szCs w:val="24"/>
          </w:rPr>
          <m:t>δ</m:t>
        </m:r>
        <m:r>
          <w:rPr>
            <w:rFonts w:ascii="Cambria Math" w:eastAsiaTheme="minorEastAsia" w:hAnsi="Cambria Math" w:cs="Times New Roman"/>
            <w:sz w:val="24"/>
            <w:szCs w:val="24"/>
          </w:rPr>
          <m:t>(m)</m:t>
        </m:r>
      </m:oMath>
      <w:r>
        <w:rPr>
          <w:rFonts w:ascii="Times New Roman" w:hAnsi="Times New Roman" w:cs="Times New Roman"/>
          <w:sz w:val="24"/>
          <w:szCs w:val="24"/>
        </w:rPr>
        <w:t xml:space="preserve"> and by the probability of survival subject to a discount factor </w:t>
      </w:r>
      <m:oMath>
        <m:r>
          <m:rPr>
            <m:sty m:val="p"/>
          </m:rPr>
          <w:rPr>
            <w:rFonts w:ascii="Cambria Math" w:hAnsi="Cambria Math" w:cs="Times New Roman"/>
            <w:noProof/>
            <w:sz w:val="24"/>
            <w:szCs w:val="24"/>
          </w:rPr>
          <m:t xml:space="preserve">χ </m:t>
        </m:r>
      </m:oMath>
      <w:r>
        <w:rPr>
          <w:rFonts w:ascii="Times New Roman" w:hAnsi="Times New Roman" w:cs="Times New Roman"/>
          <w:sz w:val="24"/>
          <w:szCs w:val="24"/>
        </w:rPr>
        <w:t xml:space="preserve">. Note that </w:t>
      </w:r>
      <w:r>
        <w:rPr>
          <w:rFonts w:ascii="Times New Roman" w:hAnsi="Times New Roman" w:cs="Times New Roman"/>
          <w:sz w:val="24"/>
          <w:szCs w:val="24"/>
        </w:rPr>
        <w:lastRenderedPageBreak/>
        <w:t>poor health introduces a shock to the probability of survival as long as that condition persists. That shock disappears if there is a transition to good health condition.</w:t>
      </w:r>
    </w:p>
    <w:p w14:paraId="2591E60F"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From this definition, we extend the model with the following changes:</w:t>
      </w:r>
    </w:p>
    <w:p w14:paraId="69339574"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assume that the transition probabilities depend on the income group by setting  </w:t>
      </w:r>
      <m:oMath>
        <m:d>
          <m:dPr>
            <m:begChr m:val="["/>
            <m:endChr m:val="]"/>
            <m:ctrlPr>
              <w:rPr>
                <w:rFonts w:ascii="Cambria Math" w:hAnsi="Cambria Math" w:cs="Times New Roman"/>
                <w:i/>
                <w:noProof/>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pg</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pg</m:t>
                </m:r>
              </m:e>
              <m:sub>
                <m:r>
                  <w:rPr>
                    <w:rFonts w:ascii="Cambria Math" w:hAnsi="Cambria Math" w:cs="Times New Roman"/>
                    <w:sz w:val="24"/>
                    <w:szCs w:val="24"/>
                  </w:rPr>
                  <m:t>J</m:t>
                </m:r>
              </m:sub>
            </m:sSub>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r>
              <w:rPr>
                <w:rFonts w:ascii="Cambria Math" w:hAnsi="Cambria Math" w:cs="Times New Roman"/>
                <w:sz w:val="24"/>
                <w:szCs w:val="24"/>
              </w:rPr>
              <m:t>0.0;0.2</m:t>
            </m:r>
          </m:e>
        </m:d>
        <m:r>
          <w:rPr>
            <w:rFonts w:ascii="Cambria Math" w:hAnsi="Cambria Math" w:cs="Times New Roman"/>
            <w:sz w:val="24"/>
            <w:szCs w:val="24"/>
          </w:rPr>
          <m:t xml:space="preserve"> </m:t>
        </m:r>
      </m:oMath>
      <w:r>
        <w:rPr>
          <w:rFonts w:ascii="Times New Roman" w:hAnsi="Times New Roman" w:cs="Times New Roman"/>
          <w:sz w:val="24"/>
          <w:szCs w:val="24"/>
        </w:rPr>
        <w:t>for the highest income group.</w:t>
      </w:r>
    </w:p>
    <w:p w14:paraId="7AF97255"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Furthermore, we allow productivity to be affected by health status if </w:t>
      </w:r>
      <m:oMath>
        <m:r>
          <w:rPr>
            <w:rFonts w:ascii="Cambria Math" w:eastAsiaTheme="minorEastAsia" w:hAnsi="Cambria Math" w:cs="Times New Roman"/>
            <w:noProof/>
            <w:sz w:val="24"/>
            <w:szCs w:val="24"/>
          </w:rPr>
          <m:t xml:space="preserve">j &lt;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r</m:t>
            </m:r>
          </m:sub>
        </m:sSub>
      </m:oMath>
      <w:r>
        <w:rPr>
          <w:rFonts w:ascii="Times New Roman" w:hAnsi="Times New Roman" w:cs="Times New Roman"/>
          <w:sz w:val="24"/>
          <w:szCs w:val="24"/>
        </w:rPr>
        <w:t>;</w:t>
      </w:r>
    </w:p>
    <w:p w14:paraId="4EA415FF"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e</m:t>
              </m:r>
            </m:e>
            <m:sub>
              <m:r>
                <w:rPr>
                  <w:rFonts w:ascii="Cambria Math" w:hAnsi="Cambria Math" w:cs="Times New Roman"/>
                  <w:sz w:val="24"/>
                  <w:szCs w:val="24"/>
                </w:rPr>
                <m:t>j</m:t>
              </m:r>
            </m:sub>
          </m:sSub>
          <m:r>
            <w:rPr>
              <w:rFonts w:ascii="Cambria Math" w:hAnsi="Cambria Math" w:cs="Times New Roman"/>
              <w:sz w:val="24"/>
              <w:szCs w:val="24"/>
            </w:rPr>
            <m:t>∙exp</m:t>
          </m:r>
          <m:d>
            <m:dPr>
              <m:begChr m:val="["/>
              <m:endChr m:val="]"/>
              <m:ctrlPr>
                <w:rPr>
                  <w:rFonts w:ascii="Cambria Math" w:hAnsi="Cambria Math" w:cs="Times New Roman"/>
                  <w:i/>
                  <w:sz w:val="24"/>
                  <w:szCs w:val="24"/>
                </w:rPr>
              </m:ctrlPr>
            </m:dPr>
            <m:e>
              <m:r>
                <w:rPr>
                  <w:rFonts w:ascii="Cambria Math" w:hAnsi="Cambria Math" w:cs="Times New Roman"/>
                  <w:sz w:val="24"/>
                  <w:szCs w:val="24"/>
                </w:rPr>
                <m:t>θ+</m:t>
              </m:r>
              <m:sSub>
                <m:sSubPr>
                  <m:ctrlPr>
                    <w:rPr>
                      <w:rFonts w:ascii="Cambria Math" w:hAnsi="Cambria Math" w:cs="Times New Roman"/>
                      <w:i/>
                      <w:sz w:val="24"/>
                      <w:szCs w:val="24"/>
                    </w:rPr>
                  </m:ctrlPr>
                </m:sSubPr>
                <m:e>
                  <m:r>
                    <w:rPr>
                      <w:rFonts w:ascii="Cambria Math" w:hAnsi="Cambria Math" w:cs="Times New Roman"/>
                      <w:sz w:val="24"/>
                      <w:szCs w:val="24"/>
                    </w:rPr>
                    <m:t>η</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θ</m:t>
                  </m:r>
                </m:sub>
              </m:sSub>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e>
          </m:d>
        </m:oMath>
      </m:oMathPara>
    </w:p>
    <w:p w14:paraId="07ECBFDE"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hAnsi="Cambria Math" w:cs="Times New Roman"/>
                <w:i/>
                <w:noProof/>
                <w:sz w:val="24"/>
                <w:szCs w:val="24"/>
              </w:rPr>
            </m:ctrlPr>
          </m:sSubPr>
          <m:e>
            <m:r>
              <w:rPr>
                <w:rFonts w:ascii="Cambria Math" w:hAnsi="Cambria Math" w:cs="Times New Roman"/>
                <w:sz w:val="24"/>
                <w:szCs w:val="24"/>
              </w:rPr>
              <m:t>ϑ</m:t>
            </m:r>
          </m:e>
          <m:sub>
            <m:r>
              <w:rPr>
                <w:rFonts w:ascii="Cambria Math" w:hAnsi="Cambria Math" w:cs="Times New Roman"/>
                <w:sz w:val="24"/>
                <w:szCs w:val="24"/>
              </w:rPr>
              <m:t>1</m:t>
            </m:r>
          </m:sub>
        </m:sSub>
        <m:r>
          <w:rPr>
            <w:rFonts w:ascii="Cambria Math" w:hAnsi="Cambria Math" w:cs="Times New Roman"/>
            <w:sz w:val="24"/>
            <w:szCs w:val="24"/>
          </w:rPr>
          <m:t xml:space="preserve">=0.2  and  </m:t>
        </m:r>
        <m:sSub>
          <m:sSubPr>
            <m:ctrlPr>
              <w:rPr>
                <w:rFonts w:ascii="Cambria Math" w:hAnsi="Cambria Math" w:cs="Times New Roman"/>
                <w:i/>
                <w:sz w:val="24"/>
                <w:szCs w:val="24"/>
              </w:rPr>
            </m:ctrlPr>
          </m:sSubPr>
          <m:e>
            <m:r>
              <w:rPr>
                <w:rFonts w:ascii="Cambria Math" w:hAnsi="Cambria Math" w:cs="Times New Roman"/>
                <w:sz w:val="24"/>
                <w:szCs w:val="24"/>
              </w:rPr>
              <m:t>ϑ</m:t>
            </m:r>
          </m:e>
          <m:sub>
            <m:r>
              <w:rPr>
                <w:rFonts w:ascii="Cambria Math" w:hAnsi="Cambria Math" w:cs="Times New Roman"/>
                <w:sz w:val="24"/>
                <w:szCs w:val="24"/>
              </w:rPr>
              <m:t>2</m:t>
            </m:r>
          </m:sub>
        </m:sSub>
        <m:r>
          <w:rPr>
            <w:rFonts w:ascii="Cambria Math" w:hAnsi="Cambria Math" w:cs="Times New Roman"/>
            <w:sz w:val="24"/>
            <w:szCs w:val="24"/>
          </w:rPr>
          <m:t>=0.1</m:t>
        </m:r>
      </m:oMath>
    </w:p>
    <w:p w14:paraId="20894E2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Finally, we assume that a state of poor health generates out-of-pocket spending, which depends on a deterministic age profile </w:t>
      </w:r>
      <m:oMath>
        <m:sSub>
          <m:sSubPr>
            <m:ctrlPr>
              <w:rPr>
                <w:rFonts w:ascii="Cambria Math" w:hAnsi="Cambria Math" w:cs="Times New Roman"/>
                <w:i/>
                <w:noProof/>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oMath>
      <w:r>
        <w:rPr>
          <w:rFonts w:ascii="Times New Roman" w:hAnsi="Times New Roman" w:cs="Times New Roman"/>
          <w:sz w:val="24"/>
          <w:szCs w:val="24"/>
        </w:rPr>
        <w:t xml:space="preserve"> and from a stochastic term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ζ</m:t>
            </m:r>
          </m:e>
          <m:sub>
            <m:r>
              <w:rPr>
                <w:rFonts w:ascii="Cambria Math" w:eastAsiaTheme="minorEastAsia" w:hAnsi="Cambria Math" w:cs="Times New Roman"/>
                <w:sz w:val="24"/>
                <w:szCs w:val="24"/>
              </w:rPr>
              <m:t>j</m:t>
            </m:r>
          </m:sub>
        </m:sSub>
      </m:oMath>
      <w:r>
        <w:rPr>
          <w:rFonts w:ascii="Times New Roman" w:hAnsi="Times New Roman" w:cs="Times New Roman"/>
          <w:sz w:val="24"/>
          <w:szCs w:val="24"/>
        </w:rPr>
        <w:t xml:space="preserve"> normally distributed:</w:t>
      </w:r>
    </w:p>
    <w:p w14:paraId="4E8862AB" w14:textId="77777777" w:rsidR="005D489F" w:rsidRDefault="00000000">
      <w:pPr>
        <w:spacing w:line="360" w:lineRule="auto"/>
        <w:jc w:val="both"/>
        <w:rPr>
          <w:rFonts w:ascii="Times New Roman" w:hAnsi="Times New Roman" w:cs="Times New Roman"/>
          <w:sz w:val="24"/>
          <w:szCs w:val="24"/>
        </w:rPr>
      </w:pPr>
      <m:oMath>
        <m:r>
          <w:rPr>
            <w:rFonts w:ascii="Cambria Math" w:hAnsi="Cambria Math" w:cs="Times New Roman"/>
            <w:noProof/>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r>
          <w:rPr>
            <w:rFonts w:ascii="Cambria Math" w:hAnsi="Cambria Math" w:cs="Times New Roman"/>
            <w:sz w:val="24"/>
            <w:szCs w:val="24"/>
          </w:rPr>
          <m:t>∙exp</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oMath>
      <w:r>
        <w:rPr>
          <w:rFonts w:ascii="Times New Roman" w:hAnsi="Times New Roman" w:cs="Times New Roman"/>
          <w:sz w:val="24"/>
          <w:szCs w:val="24"/>
        </w:rPr>
        <w:t xml:space="preserve">  </w:t>
      </w:r>
      <m:oMath>
        <m:r>
          <w:rPr>
            <w:rFonts w:ascii="Cambria Math" w:eastAsiaTheme="minorEastAsia" w:hAnsi="Cambria Math" w:cs="Times New Roman"/>
            <w:noProof/>
            <w:sz w:val="24"/>
            <w:szCs w:val="24"/>
          </w:rPr>
          <m:t xml:space="preserve"> with</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ζ</m:t>
            </m:r>
          </m:e>
          <m:sub>
            <m:r>
              <w:rPr>
                <w:rFonts w:ascii="Cambria Math" w:hAnsi="Cambria Math" w:cs="Times New Roman"/>
                <w:sz w:val="24"/>
                <w:szCs w:val="24"/>
              </w:rPr>
              <m:t>j</m:t>
            </m:r>
          </m:sub>
        </m:sSub>
        <m:r>
          <w:rPr>
            <w:rFonts w:ascii="Cambria Math" w:hAnsi="Cambria Math" w:cs="Times New Roman"/>
            <w:sz w:val="24"/>
            <w:szCs w:val="24"/>
          </w:rPr>
          <m:t>~N(0,</m:t>
        </m:r>
        <m:sSubSup>
          <m:sSubSupPr>
            <m:ctrlPr>
              <w:rPr>
                <w:rFonts w:ascii="Cambria Math" w:hAnsi="Cambria Math" w:cs="Times New Roman"/>
                <w:i/>
                <w:sz w:val="24"/>
                <w:szCs w:val="24"/>
              </w:rPr>
            </m:ctrlPr>
          </m:sSubSupPr>
          <m:e>
            <m:r>
              <w:rPr>
                <w:rFonts w:ascii="Cambria Math" w:hAnsi="Cambria Math" w:cs="Times New Roman"/>
                <w:sz w:val="24"/>
                <w:szCs w:val="24"/>
              </w:rPr>
              <m:t>σ</m:t>
            </m:r>
          </m:e>
          <m:sub>
            <m:r>
              <w:rPr>
                <w:rFonts w:ascii="Cambria Math" w:hAnsi="Cambria Math" w:cs="Times New Roman"/>
                <w:sz w:val="24"/>
                <w:szCs w:val="24"/>
              </w:rPr>
              <m:t>ζ</m:t>
            </m:r>
          </m:sub>
          <m:sup>
            <m:r>
              <w:rPr>
                <w:rFonts w:ascii="Cambria Math" w:hAnsi="Cambria Math" w:cs="Times New Roman"/>
                <w:sz w:val="24"/>
                <w:szCs w:val="24"/>
              </w:rPr>
              <m:t>2</m:t>
            </m:r>
          </m:sup>
        </m:sSubSup>
        <m:r>
          <w:rPr>
            <w:rFonts w:ascii="Cambria Math" w:hAnsi="Cambria Math" w:cs="Times New Roman"/>
            <w:sz w:val="24"/>
            <w:szCs w:val="24"/>
          </w:rPr>
          <m:t>)</m:t>
        </m:r>
      </m:oMath>
    </w:p>
    <w:p w14:paraId="613E29E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Then, households maximize expected utility subject to (periodic) budget constraints.</w:t>
      </w:r>
    </w:p>
    <w:p w14:paraId="28DAD026"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a</m:t>
              </m:r>
            </m:e>
            <m:sub>
              <m:r>
                <w:rPr>
                  <w:rFonts w:ascii="Cambria Math" w:hAnsi="Cambria Math" w:cs="Times New Roman"/>
                  <w:sz w:val="24"/>
                  <w:szCs w:val="24"/>
                </w:rPr>
                <m:t>j+1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hc</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=(1+r)</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pen</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oMath>
      </m:oMathPara>
    </w:p>
    <w:p w14:paraId="6D7008FC"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And to the non-negativity constraint of savings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j+1</m:t>
            </m:r>
          </m:sub>
        </m:sSub>
        <m:r>
          <w:rPr>
            <w:rFonts w:ascii="Cambria Math" w:eastAsiaTheme="minorEastAsia" w:hAnsi="Cambria Math" w:cs="Times New Roman"/>
            <w:sz w:val="24"/>
            <w:szCs w:val="24"/>
          </w:rPr>
          <m:t>≥</m:t>
        </m:r>
      </m:oMath>
      <w:r>
        <w:rPr>
          <w:rFonts w:ascii="Times New Roman" w:hAnsi="Times New Roman" w:cs="Times New Roman"/>
          <w:sz w:val="24"/>
          <w:szCs w:val="24"/>
        </w:rPr>
        <w:t xml:space="preserve"> 0. The right side of the equation includes government transfers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j</m:t>
            </m:r>
          </m:sub>
        </m:sSub>
      </m:oMath>
      <w:r>
        <w:rPr>
          <w:rFonts w:ascii="Times New Roman" w:hAnsi="Times New Roman" w:cs="Times New Roman"/>
          <w:sz w:val="24"/>
          <w:szCs w:val="24"/>
        </w:rPr>
        <w:t xml:space="preserve">, that provide minimum consumption (floor, </w:t>
      </w:r>
      <m:oMath>
        <m:bar>
          <m:barPr>
            <m:ctrlPr>
              <w:rPr>
                <w:rFonts w:ascii="Cambria Math" w:eastAsiaTheme="minorEastAsia" w:hAnsi="Cambria Math" w:cs="Times New Roman"/>
                <w:i/>
                <w:noProof/>
                <w:sz w:val="24"/>
                <w:szCs w:val="24"/>
              </w:rPr>
            </m:ctrlPr>
          </m:barPr>
          <m:e>
            <m:r>
              <w:rPr>
                <w:rFonts w:ascii="Cambria Math" w:eastAsiaTheme="minorEastAsia" w:hAnsi="Cambria Math" w:cs="Times New Roman"/>
                <w:sz w:val="24"/>
                <w:szCs w:val="24"/>
              </w:rPr>
              <m:t>c</m:t>
            </m:r>
          </m:e>
        </m:bar>
      </m:oMath>
      <w:r>
        <w:rPr>
          <w:rFonts w:ascii="Times New Roman" w:hAnsi="Times New Roman" w:cs="Times New Roman"/>
          <w:sz w:val="24"/>
          <w:szCs w:val="24"/>
        </w:rPr>
        <w:t xml:space="preserve">), i.e., </w:t>
      </w:r>
    </w:p>
    <w:p w14:paraId="7E159AD0" w14:textId="77777777" w:rsidR="005D489F" w:rsidRDefault="00000000">
      <w:pPr>
        <w:spacing w:line="360" w:lineRule="auto"/>
        <w:jc w:val="both"/>
        <w:rPr>
          <w:rFonts w:ascii="Times New Roman" w:hAnsi="Times New Roman" w:cs="Times New Roman"/>
          <w:sz w:val="24"/>
          <w:szCs w:val="24"/>
        </w:rPr>
      </w:pPr>
      <m:oMathPara>
        <m:oMath>
          <m:sSub>
            <m:sSubPr>
              <m:ctrlPr>
                <w:rPr>
                  <w:rFonts w:ascii="Cambria Math" w:hAnsi="Cambria Math" w:cs="Times New Roman"/>
                  <w:i/>
                  <w:noProof/>
                  <w:sz w:val="24"/>
                  <w:szCs w:val="24"/>
                </w:rPr>
              </m:ctrlPr>
            </m:sSubPr>
            <m:e>
              <m:r>
                <w:rPr>
                  <w:rFonts w:ascii="Cambria Math" w:hAnsi="Cambria Math" w:cs="Times New Roman"/>
                  <w:sz w:val="24"/>
                  <w:szCs w:val="24"/>
                </w:rPr>
                <m:t>b</m:t>
              </m:r>
            </m:e>
            <m:sub>
              <m:r>
                <w:rPr>
                  <w:rFonts w:ascii="Cambria Math" w:hAnsi="Cambria Math" w:cs="Times New Roman"/>
                  <w:sz w:val="24"/>
                  <w:szCs w:val="24"/>
                </w:rPr>
                <m:t>j</m:t>
              </m:r>
            </m:sub>
          </m:sSub>
          <m:r>
            <w:rPr>
              <w:rFonts w:ascii="Cambria Math" w:hAnsi="Cambria Math" w:cs="Times New Roman"/>
              <w:sz w:val="24"/>
              <w:szCs w:val="24"/>
            </w:rPr>
            <m:t>=max</m:t>
          </m:r>
          <m:d>
            <m:dPr>
              <m:begChr m:val="["/>
              <m:endChr m:val="]"/>
              <m:ctrlPr>
                <w:rPr>
                  <w:rFonts w:ascii="Cambria Math" w:hAnsi="Cambria Math" w:cs="Times New Roman"/>
                  <w:i/>
                  <w:sz w:val="24"/>
                  <w:szCs w:val="24"/>
                </w:rPr>
              </m:ctrlPr>
            </m:dPr>
            <m:e>
              <m:bar>
                <m:barPr>
                  <m:ctrlPr>
                    <w:rPr>
                      <w:rFonts w:ascii="Cambria Math" w:hAnsi="Cambria Math" w:cs="Times New Roman"/>
                      <w:i/>
                      <w:sz w:val="24"/>
                      <w:szCs w:val="24"/>
                    </w:rPr>
                  </m:ctrlPr>
                </m:barPr>
                <m:e>
                  <m:r>
                    <w:rPr>
                      <w:rFonts w:ascii="Cambria Math" w:hAnsi="Cambria Math" w:cs="Times New Roman"/>
                      <w:sz w:val="24"/>
                      <w:szCs w:val="24"/>
                    </w:rPr>
                    <m:t>c</m:t>
                  </m:r>
                </m:e>
              </m:bar>
              <m:r>
                <w:rPr>
                  <w:rFonts w:ascii="Cambria Math" w:hAnsi="Cambria Math" w:cs="Times New Roman"/>
                  <w:sz w:val="24"/>
                  <w:szCs w:val="24"/>
                </w:rPr>
                <m:t>+h</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j</m:t>
                  </m:r>
                </m:sub>
              </m:sSub>
              <m:r>
                <w:rPr>
                  <w:rFonts w:ascii="Cambria Math" w:hAnsi="Cambria Math" w:cs="Times New Roman"/>
                  <w:sz w:val="24"/>
                  <w:szCs w:val="24"/>
                </w:rPr>
                <m:t>-(1+r)</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j</m:t>
                  </m:r>
                </m:sub>
              </m:sSub>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pen</m:t>
                  </m:r>
                </m:e>
                <m:sub>
                  <m:r>
                    <w:rPr>
                      <w:rFonts w:ascii="Cambria Math" w:hAnsi="Cambria Math" w:cs="Times New Roman"/>
                      <w:sz w:val="24"/>
                      <w:szCs w:val="24"/>
                    </w:rPr>
                    <m:t>j</m:t>
                  </m:r>
                </m:sub>
              </m:sSub>
              <m:r>
                <w:rPr>
                  <w:rFonts w:ascii="Cambria Math" w:hAnsi="Cambria Math" w:cs="Times New Roman"/>
                  <w:sz w:val="24"/>
                  <w:szCs w:val="24"/>
                </w:rPr>
                <m:t>;0</m:t>
              </m:r>
            </m:e>
          </m:d>
        </m:oMath>
      </m:oMathPara>
    </w:p>
    <w:p w14:paraId="1DE113BA"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state vector now increases to </w:t>
      </w:r>
      <m:oMath>
        <m:r>
          <w:rPr>
            <w:rFonts w:ascii="Cambria Math" w:hAnsi="Cambria Math" w:cs="Times New Roman"/>
            <w:noProof/>
            <w:sz w:val="24"/>
            <w:szCs w:val="24"/>
          </w:rPr>
          <m:t>z=(j,a,θ,m,η,ζ)</m:t>
        </m:r>
      </m:oMath>
      <w:r>
        <w:rPr>
          <w:rFonts w:ascii="Times New Roman" w:hAnsi="Times New Roman" w:cs="Times New Roman"/>
          <w:sz w:val="24"/>
          <w:szCs w:val="24"/>
        </w:rPr>
        <w:t xml:space="preserve">. </w:t>
      </w:r>
    </w:p>
    <w:p w14:paraId="5EBE8B47"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The implementation is numerical with linear and deterministic increases in costs.</w:t>
      </w:r>
    </w:p>
    <w:p w14:paraId="4EF21249" w14:textId="77777777" w:rsidR="005D489F" w:rsidRDefault="0000000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m:oMath>
        <m:d>
          <m:dPr>
            <m:begChr m:val="["/>
            <m:endChr m:val="]"/>
            <m:ctrlPr>
              <w:rPr>
                <w:rFonts w:ascii="Cambria Math" w:hAnsi="Cambria Math" w:cs="Times New Roman"/>
                <w:i/>
                <w:noProof/>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J</m:t>
                </m:r>
              </m:sub>
            </m:sSub>
          </m:e>
        </m:d>
        <m:r>
          <w:rPr>
            <w:rFonts w:ascii="Cambria Math" w:hAnsi="Cambria Math" w:cs="Times New Roman"/>
            <w:sz w:val="24"/>
            <w:szCs w:val="24"/>
          </w:rPr>
          <m:t xml:space="preserve"> = </m:t>
        </m:r>
        <m:d>
          <m:dPr>
            <m:begChr m:val="["/>
            <m:endChr m:val="]"/>
            <m:ctrlPr>
              <w:rPr>
                <w:rFonts w:ascii="Cambria Math" w:hAnsi="Cambria Math" w:cs="Times New Roman"/>
                <w:i/>
                <w:sz w:val="24"/>
                <w:szCs w:val="24"/>
              </w:rPr>
            </m:ctrlPr>
          </m:dPr>
          <m:e>
            <m:r>
              <w:rPr>
                <w:rFonts w:ascii="Cambria Math" w:hAnsi="Cambria Math" w:cs="Times New Roman"/>
                <w:sz w:val="24"/>
                <w:szCs w:val="24"/>
              </w:rPr>
              <m:t>0.3,0.9</m:t>
            </m:r>
          </m:e>
        </m:d>
        <m:r>
          <w:rPr>
            <w:rFonts w:ascii="Cambria Math" w:hAnsi="Cambria Math" w:cs="Times New Roman"/>
            <w:sz w:val="24"/>
            <w:szCs w:val="24"/>
          </w:rPr>
          <m:t xml:space="preserve">, </m:t>
        </m:r>
      </m:oMath>
      <w:r>
        <w:rPr>
          <w:rFonts w:ascii="Times New Roman" w:hAnsi="Times New Roman" w:cs="Times New Roman"/>
          <w:sz w:val="24"/>
          <w:szCs w:val="24"/>
        </w:rPr>
        <w:t xml:space="preserve"> a variance of </w:t>
      </w:r>
      <m:oMath>
        <m:sSubSup>
          <m:sSubSupPr>
            <m:ctrlPr>
              <w:rPr>
                <w:rFonts w:ascii="Cambria Math" w:eastAsiaTheme="minorEastAsia" w:hAnsi="Cambria Math" w:cs="Times New Roman"/>
                <w:i/>
                <w:noProof/>
                <w:sz w:val="24"/>
                <w:szCs w:val="24"/>
              </w:rPr>
            </m:ctrlPr>
          </m:sSubSup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ζ</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=0.2</m:t>
        </m:r>
      </m:oMath>
      <w:r>
        <w:rPr>
          <w:rFonts w:ascii="Times New Roman" w:hAnsi="Times New Roman" w:cs="Times New Roman"/>
          <w:sz w:val="24"/>
          <w:szCs w:val="24"/>
        </w:rPr>
        <w:t xml:space="preserve">, and minimal consumption </w:t>
      </w:r>
      <m:oMath>
        <m:bar>
          <m:barPr>
            <m:ctrlPr>
              <w:rPr>
                <w:rFonts w:ascii="Cambria Math" w:eastAsiaTheme="minorEastAsia" w:hAnsi="Cambria Math" w:cs="Times New Roman"/>
                <w:i/>
                <w:noProof/>
                <w:sz w:val="24"/>
                <w:szCs w:val="24"/>
              </w:rPr>
            </m:ctrlPr>
          </m:barPr>
          <m:e>
            <m:r>
              <w:rPr>
                <w:rFonts w:ascii="Cambria Math" w:eastAsiaTheme="minorEastAsia" w:hAnsi="Cambria Math" w:cs="Times New Roman"/>
                <w:sz w:val="24"/>
                <w:szCs w:val="24"/>
              </w:rPr>
              <m:t>c</m:t>
            </m:r>
          </m:e>
        </m:bar>
        <m:r>
          <w:rPr>
            <w:rFonts w:ascii="Cambria Math" w:eastAsiaTheme="minorEastAsia" w:hAnsi="Cambria Math" w:cs="Times New Roman"/>
            <w:sz w:val="24"/>
            <w:szCs w:val="24"/>
          </w:rPr>
          <m:t>= 0.05</m:t>
        </m:r>
      </m:oMath>
      <w:r>
        <w:rPr>
          <w:rFonts w:ascii="Times New Roman" w:hAnsi="Times New Roman" w:cs="Times New Roman"/>
          <w:sz w:val="24"/>
          <w:szCs w:val="24"/>
        </w:rPr>
        <w:t>.</w:t>
      </w:r>
    </w:p>
    <w:p w14:paraId="37B45F26" w14:textId="77777777" w:rsidR="005D489F" w:rsidRDefault="00000000">
      <w:pPr>
        <w:pStyle w:val="Heading1"/>
      </w:pPr>
      <w:r>
        <w:t>Model parametrization for Mexico</w:t>
      </w:r>
    </w:p>
    <w:p w14:paraId="1DB30C79" w14:textId="77777777" w:rsidR="005D489F" w:rsidRDefault="00000000">
      <w:pPr>
        <w:pStyle w:val="BodyText"/>
        <w:spacing w:line="360" w:lineRule="auto"/>
        <w:jc w:val="both"/>
        <w:rPr>
          <w:rFonts w:ascii="Times New Roman" w:hAnsi="Times New Roman" w:cs="Times New Roman"/>
        </w:rPr>
      </w:pPr>
      <w:r>
        <w:rPr>
          <w:rFonts w:ascii="Times New Roman" w:hAnsi="Times New Roman" w:cs="Times New Roman"/>
        </w:rPr>
        <w:t>Firstly, for the numerical implementation of the transition probability based on skills between health states, good and bad, a new dimension is added to the transition matrix. Along this additional dimension, we can assign different probabilities of transitioning from a good to a bad health state for each skill group.</w:t>
      </w:r>
    </w:p>
    <w:p w14:paraId="78F2455C"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lastRenderedPageBreak/>
        <w:t>Considering that health status depends on the skill group, we begin by computing the averages per cohort throughout the life cycle, after conditioning on both the skill group and the health status of the individuals. Similarly, we then take this cohort-conditional average to compute non-conditional averages and cohort averages that are conditional on health status or skill group, respectively.</w:t>
      </w:r>
    </w:p>
    <w:p w14:paraId="015BDE99"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Secondly, the numerical implementation of labor productivity based on health condition is very similar to the transition probabilities based on the skill group between different health states. The program is initialized with a new arrangement that corresponds to </w:t>
      </w:r>
      <m:oMath>
        <m:r>
          <w:rPr>
            <w:rFonts w:ascii="Cambria Math" w:hAnsi="Cambria Math"/>
          </w:rPr>
          <m:t>ρ</m:t>
        </m:r>
      </m:oMath>
      <w:r>
        <w:rPr>
          <w:rFonts w:ascii="Times New Roman" w:hAnsi="Times New Roman" w:cs="Times New Roman"/>
        </w:rPr>
        <w:t xml:space="preserve"> qthat takes the effect of a shock in health status on productivity, depending on their skill group, and multiplies it by the productivity in the human capital </w:t>
      </w:r>
      <m:oMath>
        <m:sSub>
          <m:sSubPr>
            <m:ctrlPr>
              <w:rPr>
                <w:rFonts w:ascii="Cambria Math" w:eastAsiaTheme="minorEastAsia" w:hAnsi="Cambria Math" w:cs="Times New Roman"/>
                <w:i/>
              </w:rPr>
            </m:ctrlPr>
          </m:sSubPr>
          <m:e>
            <m:r>
              <w:rPr>
                <w:rFonts w:ascii="Cambria Math" w:eastAsiaTheme="minorEastAsia" w:hAnsi="Cambria Math" w:cs="Times New Roman"/>
              </w:rPr>
              <m:t>h</m:t>
            </m:r>
          </m:e>
          <m:sub>
            <m:r>
              <w:rPr>
                <w:rFonts w:ascii="Cambria Math" w:eastAsiaTheme="minorEastAsia" w:hAnsi="Cambria Math" w:cs="Times New Roman"/>
              </w:rPr>
              <m:t>j</m:t>
            </m:r>
          </m:sub>
        </m:sSub>
      </m:oMath>
      <w:r>
        <w:rPr>
          <w:rFonts w:ascii="Times New Roman" w:hAnsi="Times New Roman" w:cs="Times New Roman"/>
        </w:rPr>
        <w:t xml:space="preserve"> of each individual. </w:t>
      </w:r>
    </w:p>
    <w:p w14:paraId="3C7756F1"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In this way, the negative impact of health status on labor productivity implies an effect on income. Household income, discounted over a lifetime, is lower as a result of lower asset accumulation and a lower lifetime consumption pattern. So that the effect on productivity depends on the level of skills, a </w:t>
      </w:r>
      <m:oMath>
        <m:sSub>
          <m:sSubPr>
            <m:ctrlPr>
              <w:rPr>
                <w:rFonts w:ascii="Cambria Math" w:hAnsi="Cambria Math" w:cs="Times New Roman"/>
                <w:i/>
              </w:rPr>
            </m:ctrlPr>
          </m:sSubPr>
          <m:e>
            <m:r>
              <w:rPr>
                <w:rFonts w:ascii="Cambria Math" w:hAnsi="Cambria Math" w:cs="Times New Roman"/>
              </w:rPr>
              <m:t>ϑ</m:t>
            </m:r>
          </m:e>
          <m:sub>
            <m:r>
              <w:rPr>
                <w:rFonts w:ascii="Cambria Math" w:hAnsi="Cambria Math" w:cs="Times New Roman"/>
              </w:rPr>
              <m:t>θ</m:t>
            </m:r>
          </m:sub>
        </m:sSub>
      </m:oMath>
      <w:r>
        <w:rPr>
          <w:rFonts w:ascii="Times New Roman" w:hAnsi="Times New Roman" w:cs="Times New Roman"/>
        </w:rPr>
        <w:t xml:space="preserve"> greater for the less qualified group than for the group of the most qualified, this leads us to a divergence in the future in the accumulation of assets and in consumption patterns conditional on the state of health.</w:t>
      </w:r>
    </w:p>
    <w:p w14:paraId="494F40B4" w14:textId="77777777" w:rsidR="005D489F" w:rsidRDefault="00000000">
      <w:pPr>
        <w:pStyle w:val="BodyText"/>
        <w:spacing w:line="360" w:lineRule="auto"/>
        <w:ind w:firstLine="708"/>
        <w:jc w:val="both"/>
        <w:rPr>
          <w:rFonts w:ascii="Times New Roman" w:hAnsi="Times New Roman" w:cs="Times New Roman"/>
        </w:rPr>
      </w:pPr>
      <w:r>
        <w:rPr>
          <w:rFonts w:ascii="Times New Roman" w:hAnsi="Times New Roman" w:cs="Times New Roman"/>
        </w:rPr>
        <w:t xml:space="preserve">Finally, to incorporate stochastic out-of-pocket expenditures in individuals in poor health, the normal distribution is discretized for the stochastic component </w:t>
      </w:r>
      <m:oMath>
        <m:r>
          <w:rPr>
            <w:rFonts w:ascii="Cambria Math" w:hAnsi="Cambria Math" w:cs="Times New Roman"/>
          </w:rPr>
          <m:t>ζ</m:t>
        </m:r>
      </m:oMath>
      <w:r>
        <w:rPr>
          <w:rFonts w:ascii="Times New Roman" w:hAnsi="Times New Roman" w:cs="Times New Roman"/>
        </w:rPr>
        <w:t xml:space="preserve"> and we define current out-of-pocket expenses. The additional state variable </w:t>
      </w:r>
      <m:oMath>
        <m:r>
          <w:rPr>
            <w:rFonts w:ascii="Cambria Math" w:hAnsi="Cambria Math" w:cs="Times New Roman"/>
          </w:rPr>
          <m:t>ζ</m:t>
        </m:r>
      </m:oMath>
      <w:r>
        <w:rPr>
          <w:rFonts w:ascii="Times New Roman" w:hAnsi="Times New Roman" w:cs="Times New Roman"/>
        </w:rPr>
        <w:t xml:space="preserve"> results in an additional loop that interacts with the discretized space. In each state where a poor health condition exists current out-of-pocket expenses. The additional state variable </w:t>
      </w:r>
      <m:oMath>
        <m:r>
          <w:rPr>
            <w:rFonts w:ascii="Cambria Math" w:eastAsiaTheme="minorEastAsia" w:hAnsi="Cambria Math" w:cs="Times New Roman"/>
          </w:rPr>
          <m:t>(m = 1)</m:t>
        </m:r>
      </m:oMath>
      <w:r>
        <w:rPr>
          <w:rFonts w:ascii="Times New Roman" w:hAnsi="Times New Roman" w:cs="Times New Roman"/>
        </w:rPr>
        <w:t xml:space="preserve">, the individual is exposed to out-of-pocket expenses </w:t>
      </w:r>
      <m:oMath>
        <m:r>
          <w:rPr>
            <w:rFonts w:ascii="Cambria Math" w:eastAsiaTheme="minorEastAsia" w:hAnsi="Cambria Math" w:cs="Times New Roman"/>
          </w:rPr>
          <m:t>hc</m:t>
        </m:r>
      </m:oMath>
      <w:r>
        <w:rPr>
          <w:rFonts w:ascii="Times New Roman" w:hAnsi="Times New Roman" w:cs="Times New Roman"/>
        </w:rPr>
        <w:t>.</w:t>
      </w:r>
    </w:p>
    <w:p w14:paraId="007226F1" w14:textId="77777777" w:rsidR="005D489F" w:rsidRDefault="00000000">
      <w:pPr>
        <w:pStyle w:val="TableCaption"/>
        <w:rPr>
          <w:rFonts w:ascii="Times New Roman" w:hAnsi="Times New Roman" w:cs="Times New Roman"/>
        </w:rPr>
      </w:pPr>
      <w:r>
        <w:rPr>
          <w:rFonts w:ascii="Times New Roman" w:hAnsi="Times New Roman" w:cs="Times New Roman"/>
        </w:rPr>
        <w:t>Table 1. Exogenous parameters (Y) calibrated (C)</w:t>
      </w:r>
      <w:r>
        <w:rPr>
          <w:rFonts w:ascii="Times New Roman" w:hAnsi="Times New Roman" w:cs="Times New Roman"/>
          <w:b/>
        </w:rPr>
        <w:t xml:space="preserve"> </w:t>
      </w:r>
      <w:r>
        <w:rPr>
          <w:rFonts w:ascii="Times New Roman" w:hAnsi="Times New Roman" w:cs="Times New Roman"/>
        </w:rPr>
        <w:t xml:space="preserve">and objective (T). </w:t>
      </w:r>
    </w:p>
    <w:tbl>
      <w:tblPr>
        <w:tblStyle w:val="Tablaconcuadrcula"/>
        <w:tblW w:w="9453" w:type="dxa"/>
        <w:tblLook w:val="0020" w:firstRow="1" w:lastRow="0" w:firstColumn="0" w:lastColumn="0" w:noHBand="0" w:noVBand="0"/>
      </w:tblPr>
      <w:tblGrid>
        <w:gridCol w:w="1413"/>
        <w:gridCol w:w="3273"/>
        <w:gridCol w:w="656"/>
        <w:gridCol w:w="390"/>
        <w:gridCol w:w="390"/>
        <w:gridCol w:w="3331"/>
      </w:tblGrid>
      <w:tr w:rsidR="005D489F" w14:paraId="293CBE5F" w14:textId="77777777">
        <w:trPr>
          <w:tblHeader/>
        </w:trPr>
        <w:tc>
          <w:tcPr>
            <w:tcW w:w="1413" w:type="dxa"/>
          </w:tcPr>
          <w:p w14:paraId="364C8E18"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Parameter</w:t>
            </w:r>
          </w:p>
        </w:tc>
        <w:tc>
          <w:tcPr>
            <w:tcW w:w="3273" w:type="dxa"/>
          </w:tcPr>
          <w:p w14:paraId="31F3FE72"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c>
          <w:tcPr>
            <w:tcW w:w="656" w:type="dxa"/>
          </w:tcPr>
          <w:p w14:paraId="7875248A"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Y</w:t>
            </w:r>
          </w:p>
        </w:tc>
        <w:tc>
          <w:tcPr>
            <w:tcW w:w="390" w:type="dxa"/>
          </w:tcPr>
          <w:p w14:paraId="4107CD20"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C</w:t>
            </w:r>
          </w:p>
        </w:tc>
        <w:tc>
          <w:tcPr>
            <w:tcW w:w="390" w:type="dxa"/>
          </w:tcPr>
          <w:p w14:paraId="63551C5D"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T</w:t>
            </w:r>
          </w:p>
        </w:tc>
        <w:tc>
          <w:tcPr>
            <w:tcW w:w="3331" w:type="dxa"/>
          </w:tcPr>
          <w:p w14:paraId="532E1086"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r>
      <w:tr w:rsidR="005D489F" w14:paraId="7AB01FDF" w14:textId="77777777">
        <w:tc>
          <w:tcPr>
            <w:tcW w:w="1413" w:type="dxa"/>
          </w:tcPr>
          <w:p w14:paraId="1A600640"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TT</m:t>
                </m:r>
              </m:oMath>
            </m:oMathPara>
          </w:p>
        </w:tc>
        <w:tc>
          <w:tcPr>
            <w:tcW w:w="3273" w:type="dxa"/>
          </w:tcPr>
          <w:p w14:paraId="70DC808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Number of transition periods. Each period is equivalent to 1 year in real life.</w:t>
            </w:r>
          </w:p>
        </w:tc>
        <w:tc>
          <w:tcPr>
            <w:tcW w:w="656" w:type="dxa"/>
          </w:tcPr>
          <w:p w14:paraId="563B3BC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3971ADB1" w14:textId="77777777" w:rsidR="005D489F" w:rsidRDefault="005D489F">
            <w:pPr>
              <w:pStyle w:val="Compact"/>
              <w:rPr>
                <w:rFonts w:ascii="Times New Roman" w:hAnsi="Times New Roman" w:cs="Times New Roman"/>
              </w:rPr>
            </w:pPr>
          </w:p>
        </w:tc>
        <w:tc>
          <w:tcPr>
            <w:tcW w:w="390" w:type="dxa"/>
          </w:tcPr>
          <w:p w14:paraId="59213C10" w14:textId="77777777" w:rsidR="005D489F" w:rsidRDefault="005D489F">
            <w:pPr>
              <w:pStyle w:val="Compact"/>
              <w:rPr>
                <w:rFonts w:ascii="Times New Roman" w:hAnsi="Times New Roman" w:cs="Times New Roman"/>
              </w:rPr>
            </w:pPr>
          </w:p>
        </w:tc>
        <w:tc>
          <w:tcPr>
            <w:tcW w:w="3331" w:type="dxa"/>
          </w:tcPr>
          <w:p w14:paraId="6B0A06B4"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Defined by numerical criteria.</w:t>
            </w:r>
          </w:p>
        </w:tc>
      </w:tr>
      <w:tr w:rsidR="005D489F" w14:paraId="7FB304B3" w14:textId="77777777">
        <w:tc>
          <w:tcPr>
            <w:tcW w:w="1413" w:type="dxa"/>
          </w:tcPr>
          <w:p w14:paraId="51C3B136"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JJ</m:t>
                </m:r>
              </m:oMath>
            </m:oMathPara>
          </w:p>
        </w:tc>
        <w:tc>
          <w:tcPr>
            <w:tcW w:w="3273" w:type="dxa"/>
          </w:tcPr>
          <w:p w14:paraId="5B72408E"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 xml:space="preserve">Number of years a household has lived. Households begin their economic life at age 20 (). </w:t>
            </w:r>
            <w:r>
              <w:rPr>
                <w:rFonts w:ascii="Times New Roman" w:eastAsia="Calibri" w:hAnsi="Times New Roman" w:cs="Times New Roman"/>
              </w:rPr>
              <w:lastRenderedPageBreak/>
              <w:t>They live up to 100 years ().j=JJ=80</w:t>
            </w:r>
          </w:p>
        </w:tc>
        <w:tc>
          <w:tcPr>
            <w:tcW w:w="656" w:type="dxa"/>
          </w:tcPr>
          <w:p w14:paraId="49235C8E" w14:textId="77777777" w:rsidR="005D489F" w:rsidRDefault="00000000">
            <w:pPr>
              <w:pStyle w:val="Compact"/>
              <w:rPr>
                <w:rFonts w:ascii="Times New Roman" w:hAnsi="Times New Roman" w:cs="Times New Roman"/>
              </w:rPr>
            </w:pPr>
            <w:r>
              <w:rPr>
                <w:rFonts w:ascii="Times New Roman" w:eastAsia="Calibri" w:hAnsi="Times New Roman" w:cs="Times New Roman"/>
              </w:rPr>
              <w:lastRenderedPageBreak/>
              <w:t>X</w:t>
            </w:r>
          </w:p>
        </w:tc>
        <w:tc>
          <w:tcPr>
            <w:tcW w:w="390" w:type="dxa"/>
          </w:tcPr>
          <w:p w14:paraId="6CA28CAC" w14:textId="77777777" w:rsidR="005D489F" w:rsidRDefault="005D489F">
            <w:pPr>
              <w:pStyle w:val="Compact"/>
              <w:rPr>
                <w:rFonts w:ascii="Times New Roman" w:hAnsi="Times New Roman" w:cs="Times New Roman"/>
              </w:rPr>
            </w:pPr>
          </w:p>
        </w:tc>
        <w:tc>
          <w:tcPr>
            <w:tcW w:w="390" w:type="dxa"/>
          </w:tcPr>
          <w:p w14:paraId="32FBA190" w14:textId="77777777" w:rsidR="005D489F" w:rsidRDefault="005D489F">
            <w:pPr>
              <w:pStyle w:val="Compact"/>
              <w:rPr>
                <w:rFonts w:ascii="Times New Roman" w:hAnsi="Times New Roman" w:cs="Times New Roman"/>
              </w:rPr>
            </w:pPr>
          </w:p>
        </w:tc>
        <w:tc>
          <w:tcPr>
            <w:tcW w:w="3331" w:type="dxa"/>
          </w:tcPr>
          <w:p w14:paraId="7A71ED8C" w14:textId="77777777" w:rsidR="005D489F" w:rsidRDefault="00000000">
            <w:pPr>
              <w:pStyle w:val="Compact"/>
              <w:rPr>
                <w:rFonts w:ascii="Times New Roman" w:hAnsi="Times New Roman" w:cs="Times New Roman"/>
              </w:rPr>
            </w:pPr>
            <w:r>
              <w:rPr>
                <w:rFonts w:ascii="Times New Roman" w:eastAsia="Calibri" w:hAnsi="Times New Roman" w:cs="Times New Roman"/>
              </w:rPr>
              <w:t>Defined by Fehr y Kindermann (2018).</w:t>
            </w:r>
          </w:p>
        </w:tc>
      </w:tr>
      <w:tr w:rsidR="005D489F" w14:paraId="4EF7F7EF" w14:textId="77777777">
        <w:tc>
          <w:tcPr>
            <w:tcW w:w="1413" w:type="dxa"/>
          </w:tcPr>
          <w:p w14:paraId="11C83626"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JR</m:t>
                </m:r>
              </m:oMath>
            </m:oMathPara>
          </w:p>
        </w:tc>
        <w:tc>
          <w:tcPr>
            <w:tcW w:w="3273" w:type="dxa"/>
          </w:tcPr>
          <w:p w14:paraId="48D211AB"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Mandatory retirement age. Households retire at age 65</w:t>
            </w:r>
          </w:p>
          <w:p w14:paraId="3DFC99FF" w14:textId="77777777" w:rsidR="005D489F" w:rsidRDefault="00000000">
            <w:pPr>
              <w:pStyle w:val="Compact"/>
              <w:rPr>
                <w:rFonts w:ascii="Times New Roman" w:hAnsi="Times New Roman" w:cs="Times New Roman"/>
                <w:lang w:val="es-MX"/>
              </w:rPr>
            </w:pPr>
            <w:r>
              <w:rPr>
                <w:rFonts w:ascii="Times New Roman" w:eastAsia="Calibri" w:hAnsi="Times New Roman" w:cs="Times New Roman"/>
                <w:lang w:val="es-MX"/>
              </w:rPr>
              <w:t>()</w:t>
            </w:r>
            <m:oMath>
              <m:sSub>
                <m:sSubPr>
                  <m:ctrlPr>
                    <w:rPr>
                      <w:rFonts w:ascii="Cambria Math" w:hAnsi="Cambria Math"/>
                    </w:rPr>
                  </m:ctrlPr>
                </m:sSubPr>
                <m:e>
                  <m:r>
                    <w:rPr>
                      <w:rFonts w:ascii="Cambria Math" w:hAnsi="Cambria Math"/>
                    </w:rPr>
                    <m:t>j</m:t>
                  </m:r>
                </m:e>
                <m:sub>
                  <m:r>
                    <w:rPr>
                      <w:rFonts w:ascii="Cambria Math" w:hAnsi="Cambria Math"/>
                    </w:rPr>
                    <m:t>r</m:t>
                  </m:r>
                </m:sub>
              </m:sSub>
              <m:r>
                <w:rPr>
                  <w:rFonts w:ascii="Cambria Math" w:hAnsi="Cambria Math"/>
                  <w:lang w:val="es-MX"/>
                </w:rPr>
                <m:t>=45</m:t>
              </m:r>
            </m:oMath>
          </w:p>
        </w:tc>
        <w:tc>
          <w:tcPr>
            <w:tcW w:w="656" w:type="dxa"/>
          </w:tcPr>
          <w:p w14:paraId="1EACB36A"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626BB2F0" w14:textId="77777777" w:rsidR="005D489F" w:rsidRDefault="005D489F">
            <w:pPr>
              <w:pStyle w:val="Compact"/>
              <w:rPr>
                <w:rFonts w:ascii="Times New Roman" w:hAnsi="Times New Roman" w:cs="Times New Roman"/>
              </w:rPr>
            </w:pPr>
          </w:p>
        </w:tc>
        <w:tc>
          <w:tcPr>
            <w:tcW w:w="390" w:type="dxa"/>
          </w:tcPr>
          <w:p w14:paraId="58BC7B53" w14:textId="77777777" w:rsidR="005D489F" w:rsidRDefault="005D489F">
            <w:pPr>
              <w:pStyle w:val="Compact"/>
              <w:rPr>
                <w:rFonts w:ascii="Times New Roman" w:hAnsi="Times New Roman" w:cs="Times New Roman"/>
              </w:rPr>
            </w:pPr>
          </w:p>
        </w:tc>
        <w:tc>
          <w:tcPr>
            <w:tcW w:w="3331" w:type="dxa"/>
          </w:tcPr>
          <w:p w14:paraId="51D40CB2" w14:textId="77777777" w:rsidR="005D489F" w:rsidRDefault="00000000">
            <w:pPr>
              <w:pStyle w:val="Compact"/>
              <w:rPr>
                <w:rFonts w:ascii="Times New Roman" w:hAnsi="Times New Roman" w:cs="Times New Roman"/>
              </w:rPr>
            </w:pPr>
            <w:r>
              <w:rPr>
                <w:rFonts w:ascii="Times New Roman" w:eastAsia="Calibri" w:hAnsi="Times New Roman" w:cs="Times New Roman"/>
              </w:rPr>
              <w:t>Defined by Fehr y Kindermann (2018).</w:t>
            </w:r>
          </w:p>
        </w:tc>
      </w:tr>
      <w:tr w:rsidR="005D489F" w14:paraId="53AB5769" w14:textId="77777777">
        <w:tc>
          <w:tcPr>
            <w:tcW w:w="1413" w:type="dxa"/>
          </w:tcPr>
          <w:p w14:paraId="19EF5B8D"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γ</m:t>
                </m:r>
              </m:oMath>
            </m:oMathPara>
          </w:p>
        </w:tc>
        <w:tc>
          <w:tcPr>
            <w:tcW w:w="3273" w:type="dxa"/>
          </w:tcPr>
          <w:p w14:paraId="0E97EDE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Relative risk aversion coefficient (reciprocal of</w:t>
            </w:r>
          </w:p>
          <w:p w14:paraId="758E0A1C"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elasticity of intertemporal substitution)</w:t>
            </w:r>
          </w:p>
          <w:p w14:paraId="6526BC8C" w14:textId="77777777" w:rsidR="005D489F" w:rsidRDefault="005D489F">
            <w:pPr>
              <w:pStyle w:val="Compact"/>
              <w:rPr>
                <w:rFonts w:ascii="Times New Roman" w:hAnsi="Times New Roman" w:cs="Times New Roman"/>
                <w:lang w:val="es-MX"/>
              </w:rPr>
            </w:pPr>
          </w:p>
        </w:tc>
        <w:tc>
          <w:tcPr>
            <w:tcW w:w="656" w:type="dxa"/>
          </w:tcPr>
          <w:p w14:paraId="1A1C21C0" w14:textId="77777777" w:rsidR="005D489F" w:rsidRDefault="005D489F">
            <w:pPr>
              <w:pStyle w:val="Compact"/>
              <w:rPr>
                <w:rFonts w:ascii="Times New Roman" w:hAnsi="Times New Roman" w:cs="Times New Roman"/>
                <w:lang w:val="es-MX"/>
              </w:rPr>
            </w:pPr>
          </w:p>
        </w:tc>
        <w:tc>
          <w:tcPr>
            <w:tcW w:w="390" w:type="dxa"/>
          </w:tcPr>
          <w:p w14:paraId="444782E4"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06752AE4" w14:textId="77777777" w:rsidR="005D489F" w:rsidRDefault="005D489F">
            <w:pPr>
              <w:pStyle w:val="Compact"/>
              <w:rPr>
                <w:rFonts w:ascii="Times New Roman" w:hAnsi="Times New Roman" w:cs="Times New Roman"/>
              </w:rPr>
            </w:pPr>
          </w:p>
        </w:tc>
        <w:tc>
          <w:tcPr>
            <w:tcW w:w="3331" w:type="dxa"/>
          </w:tcPr>
          <w:p w14:paraId="57FB19E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The parameter was calibrated to obtain the results closest to the observed values ​​of the Consumption and Investment ratios with respect to GDP.</w:t>
            </w:r>
          </w:p>
          <w:p w14:paraId="571ECD00" w14:textId="77777777" w:rsidR="005D489F" w:rsidRDefault="005D489F">
            <w:pPr>
              <w:pStyle w:val="Compact"/>
              <w:rPr>
                <w:rFonts w:ascii="Times New Roman" w:hAnsi="Times New Roman" w:cs="Times New Roman"/>
              </w:rPr>
            </w:pPr>
          </w:p>
        </w:tc>
      </w:tr>
      <w:tr w:rsidR="005D489F" w14:paraId="55F62D86" w14:textId="77777777">
        <w:tc>
          <w:tcPr>
            <w:tcW w:w="1413" w:type="dxa"/>
          </w:tcPr>
          <w:p w14:paraId="6F452BE3"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β</m:t>
                </m:r>
              </m:oMath>
            </m:oMathPara>
          </w:p>
        </w:tc>
        <w:tc>
          <w:tcPr>
            <w:tcW w:w="3273" w:type="dxa"/>
          </w:tcPr>
          <w:p w14:paraId="4BB18E03"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Temporary discount factor.</w:t>
            </w:r>
          </w:p>
          <w:p w14:paraId="75A1EE51" w14:textId="77777777" w:rsidR="005D489F" w:rsidRDefault="005D489F">
            <w:pPr>
              <w:pStyle w:val="Compact"/>
              <w:rPr>
                <w:rFonts w:ascii="Times New Roman" w:hAnsi="Times New Roman" w:cs="Times New Roman"/>
              </w:rPr>
            </w:pPr>
          </w:p>
        </w:tc>
        <w:tc>
          <w:tcPr>
            <w:tcW w:w="656" w:type="dxa"/>
          </w:tcPr>
          <w:p w14:paraId="60408279" w14:textId="77777777" w:rsidR="005D489F" w:rsidRDefault="005D489F">
            <w:pPr>
              <w:pStyle w:val="Compact"/>
              <w:rPr>
                <w:rFonts w:ascii="Times New Roman" w:hAnsi="Times New Roman" w:cs="Times New Roman"/>
              </w:rPr>
            </w:pPr>
          </w:p>
        </w:tc>
        <w:tc>
          <w:tcPr>
            <w:tcW w:w="390" w:type="dxa"/>
          </w:tcPr>
          <w:p w14:paraId="25DA4F46"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431FF8D0" w14:textId="77777777" w:rsidR="005D489F" w:rsidRDefault="005D489F">
            <w:pPr>
              <w:pStyle w:val="Compact"/>
              <w:rPr>
                <w:rFonts w:ascii="Times New Roman" w:hAnsi="Times New Roman" w:cs="Times New Roman"/>
              </w:rPr>
            </w:pPr>
          </w:p>
        </w:tc>
        <w:tc>
          <w:tcPr>
            <w:tcW w:w="3331" w:type="dxa"/>
          </w:tcPr>
          <w:p w14:paraId="3C9908D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Calibrated by Fehr y Kindermann (2018).</w:t>
            </w:r>
          </w:p>
        </w:tc>
      </w:tr>
      <w:tr w:rsidR="005D489F" w14:paraId="59863598" w14:textId="77777777">
        <w:tc>
          <w:tcPr>
            <w:tcW w:w="1413" w:type="dxa"/>
          </w:tcPr>
          <w:p w14:paraId="603D57B4"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oMath>
            </m:oMathPara>
          </w:p>
        </w:tc>
        <w:tc>
          <w:tcPr>
            <w:tcW w:w="3273" w:type="dxa"/>
          </w:tcPr>
          <w:p w14:paraId="2C5A6F0E"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Variance of the fixed effect on productivity. </w:t>
            </w:r>
            <m:oMath>
              <m:r>
                <w:rPr>
                  <w:rFonts w:ascii="Cambria Math" w:hAnsi="Cambria Math"/>
                </w:rPr>
                <m:t>θ</m:t>
              </m:r>
            </m:oMath>
          </w:p>
        </w:tc>
        <w:tc>
          <w:tcPr>
            <w:tcW w:w="656" w:type="dxa"/>
          </w:tcPr>
          <w:p w14:paraId="24633DAF" w14:textId="77777777" w:rsidR="005D489F" w:rsidRDefault="005D489F">
            <w:pPr>
              <w:pStyle w:val="Compact"/>
              <w:rPr>
                <w:rFonts w:ascii="Times New Roman" w:hAnsi="Times New Roman" w:cs="Times New Roman"/>
              </w:rPr>
            </w:pPr>
          </w:p>
        </w:tc>
        <w:tc>
          <w:tcPr>
            <w:tcW w:w="390" w:type="dxa"/>
          </w:tcPr>
          <w:p w14:paraId="0E423500"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1CF7ECFC" w14:textId="77777777" w:rsidR="005D489F" w:rsidRDefault="005D489F">
            <w:pPr>
              <w:pStyle w:val="Compact"/>
              <w:rPr>
                <w:rFonts w:ascii="Times New Roman" w:hAnsi="Times New Roman" w:cs="Times New Roman"/>
              </w:rPr>
            </w:pPr>
          </w:p>
        </w:tc>
        <w:tc>
          <w:tcPr>
            <w:tcW w:w="3331" w:type="dxa"/>
          </w:tcPr>
          <w:p w14:paraId="6E4B4AEC" w14:textId="77777777" w:rsidR="005D489F" w:rsidRDefault="00000000">
            <w:pPr>
              <w:pStyle w:val="Compact"/>
              <w:rPr>
                <w:rFonts w:ascii="Times New Roman" w:hAnsi="Times New Roman" w:cs="Times New Roman"/>
              </w:rPr>
            </w:pPr>
            <w:r>
              <w:rPr>
                <w:rFonts w:ascii="Times New Roman" w:eastAsia="Calibri" w:hAnsi="Times New Roman" w:cs="Times New Roman"/>
              </w:rPr>
              <w:t>Calibrated by Fehr y Kindermann (2018).</w:t>
            </w:r>
          </w:p>
        </w:tc>
      </w:tr>
      <w:tr w:rsidR="005D489F" w14:paraId="0C5004DD" w14:textId="77777777">
        <w:tc>
          <w:tcPr>
            <w:tcW w:w="1413" w:type="dxa"/>
          </w:tcPr>
          <w:p w14:paraId="0CC2FDC9"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m:oMathPara>
          </w:p>
        </w:tc>
        <w:tc>
          <w:tcPr>
            <w:tcW w:w="3273" w:type="dxa"/>
          </w:tcPr>
          <w:p w14:paraId="2F8EBB46"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Variance of the autoregressive component.</w:t>
            </w:r>
            <m:oMath>
              <m:r>
                <w:rPr>
                  <w:rFonts w:ascii="Cambria Math" w:hAnsi="Cambria Math"/>
                </w:rPr>
                <m:t>η</m:t>
              </m:r>
            </m:oMath>
          </w:p>
        </w:tc>
        <w:tc>
          <w:tcPr>
            <w:tcW w:w="656" w:type="dxa"/>
          </w:tcPr>
          <w:p w14:paraId="11B32933" w14:textId="77777777" w:rsidR="005D489F" w:rsidRDefault="005D489F">
            <w:pPr>
              <w:pStyle w:val="Compact"/>
              <w:rPr>
                <w:rFonts w:ascii="Times New Roman" w:hAnsi="Times New Roman" w:cs="Times New Roman"/>
              </w:rPr>
            </w:pPr>
          </w:p>
        </w:tc>
        <w:tc>
          <w:tcPr>
            <w:tcW w:w="390" w:type="dxa"/>
          </w:tcPr>
          <w:p w14:paraId="214048E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3A3A2C79" w14:textId="77777777" w:rsidR="005D489F" w:rsidRDefault="005D489F">
            <w:pPr>
              <w:pStyle w:val="Compact"/>
              <w:rPr>
                <w:rFonts w:ascii="Times New Roman" w:hAnsi="Times New Roman" w:cs="Times New Roman"/>
              </w:rPr>
            </w:pPr>
          </w:p>
        </w:tc>
        <w:tc>
          <w:tcPr>
            <w:tcW w:w="3331" w:type="dxa"/>
          </w:tcPr>
          <w:p w14:paraId="64C8F446" w14:textId="77777777" w:rsidR="005D489F" w:rsidRDefault="00000000">
            <w:pPr>
              <w:pStyle w:val="Compact"/>
              <w:rPr>
                <w:rFonts w:ascii="Times New Roman" w:hAnsi="Times New Roman" w:cs="Times New Roman"/>
              </w:rPr>
            </w:pPr>
            <w:r>
              <w:rPr>
                <w:rFonts w:ascii="Times New Roman" w:eastAsia="Calibri" w:hAnsi="Times New Roman" w:cs="Times New Roman"/>
              </w:rPr>
              <w:t>Calibrated by Fehr y Kindermann (2018).</w:t>
            </w:r>
          </w:p>
        </w:tc>
      </w:tr>
      <w:tr w:rsidR="005D489F" w14:paraId="79A9EDCF" w14:textId="77777777">
        <w:tc>
          <w:tcPr>
            <w:tcW w:w="1413" w:type="dxa"/>
          </w:tcPr>
          <w:p w14:paraId="74D7472E"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κ</m:t>
                </m:r>
              </m:oMath>
            </m:oMathPara>
          </w:p>
        </w:tc>
        <w:tc>
          <w:tcPr>
            <w:tcW w:w="3273" w:type="dxa"/>
          </w:tcPr>
          <w:p w14:paraId="01D2B90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Replacement rate of the pension system.</w:t>
            </w:r>
          </w:p>
        </w:tc>
        <w:tc>
          <w:tcPr>
            <w:tcW w:w="656" w:type="dxa"/>
          </w:tcPr>
          <w:p w14:paraId="0C1225F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2F47C423" w14:textId="77777777" w:rsidR="005D489F" w:rsidRDefault="005D489F">
            <w:pPr>
              <w:pStyle w:val="Compact"/>
              <w:rPr>
                <w:rFonts w:ascii="Times New Roman" w:hAnsi="Times New Roman" w:cs="Times New Roman"/>
              </w:rPr>
            </w:pPr>
          </w:p>
        </w:tc>
        <w:tc>
          <w:tcPr>
            <w:tcW w:w="390" w:type="dxa"/>
          </w:tcPr>
          <w:p w14:paraId="6F3C34CA" w14:textId="77777777" w:rsidR="005D489F" w:rsidRDefault="005D489F">
            <w:pPr>
              <w:pStyle w:val="Compact"/>
              <w:rPr>
                <w:rFonts w:ascii="Times New Roman" w:hAnsi="Times New Roman" w:cs="Times New Roman"/>
              </w:rPr>
            </w:pPr>
          </w:p>
        </w:tc>
        <w:tc>
          <w:tcPr>
            <w:tcW w:w="3331" w:type="dxa"/>
          </w:tcPr>
          <w:p w14:paraId="73C2224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OECD-Pension Indicators-Contributions were consulted</w:t>
            </w:r>
          </w:p>
        </w:tc>
      </w:tr>
      <w:tr w:rsidR="005D489F" w14:paraId="1012A319" w14:textId="77777777">
        <w:tc>
          <w:tcPr>
            <w:tcW w:w="1413" w:type="dxa"/>
          </w:tcPr>
          <w:p w14:paraId="07150D52" w14:textId="77777777" w:rsidR="005D489F" w:rsidRDefault="00000000">
            <w:pPr>
              <w:pStyle w:val="Compact"/>
              <w:jc w:val="center"/>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j</m:t>
                    </m:r>
                  </m:sub>
                </m:sSub>
              </m:oMath>
            </m:oMathPara>
          </w:p>
        </w:tc>
        <w:tc>
          <w:tcPr>
            <w:tcW w:w="3273" w:type="dxa"/>
          </w:tcPr>
          <w:p w14:paraId="4DACC4A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Survival rates by age cohort.</w:t>
            </w:r>
          </w:p>
          <w:p w14:paraId="7801078B" w14:textId="77777777" w:rsidR="005D489F" w:rsidRDefault="005D489F">
            <w:pPr>
              <w:pStyle w:val="Compact"/>
              <w:rPr>
                <w:rFonts w:ascii="Times New Roman" w:hAnsi="Times New Roman" w:cs="Times New Roman"/>
              </w:rPr>
            </w:pPr>
          </w:p>
        </w:tc>
        <w:tc>
          <w:tcPr>
            <w:tcW w:w="656" w:type="dxa"/>
          </w:tcPr>
          <w:p w14:paraId="5A8B4745" w14:textId="77777777" w:rsidR="005D489F" w:rsidRDefault="005D489F">
            <w:pPr>
              <w:pStyle w:val="Compact"/>
              <w:rPr>
                <w:rFonts w:ascii="Times New Roman" w:hAnsi="Times New Roman" w:cs="Times New Roman"/>
              </w:rPr>
            </w:pPr>
          </w:p>
        </w:tc>
        <w:tc>
          <w:tcPr>
            <w:tcW w:w="390" w:type="dxa"/>
          </w:tcPr>
          <w:p w14:paraId="2C3A11F0" w14:textId="77777777" w:rsidR="005D489F" w:rsidRDefault="00000000">
            <w:pPr>
              <w:pStyle w:val="Compact"/>
              <w:rPr>
                <w:rFonts w:ascii="Times New Roman" w:hAnsi="Times New Roman" w:cs="Times New Roman"/>
              </w:rPr>
            </w:pPr>
            <w:r>
              <w:rPr>
                <w:rFonts w:ascii="Times New Roman" w:hAnsi="Times New Roman" w:cs="Times New Roman"/>
              </w:rPr>
              <w:t>X</w:t>
            </w:r>
          </w:p>
        </w:tc>
        <w:tc>
          <w:tcPr>
            <w:tcW w:w="390" w:type="dxa"/>
          </w:tcPr>
          <w:p w14:paraId="4ACEDEEE" w14:textId="77777777" w:rsidR="005D489F" w:rsidRDefault="005D489F">
            <w:pPr>
              <w:pStyle w:val="Compact"/>
              <w:rPr>
                <w:rFonts w:ascii="Times New Roman" w:hAnsi="Times New Roman" w:cs="Times New Roman"/>
              </w:rPr>
            </w:pPr>
          </w:p>
        </w:tc>
        <w:tc>
          <w:tcPr>
            <w:tcW w:w="3331" w:type="dxa"/>
          </w:tcPr>
          <w:p w14:paraId="7D4B39E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p w14:paraId="49F882BF" w14:textId="77777777" w:rsidR="005D489F" w:rsidRDefault="005D489F">
            <w:pPr>
              <w:pStyle w:val="Compact"/>
              <w:rPr>
                <w:rFonts w:ascii="Times New Roman" w:eastAsia="Calibri" w:hAnsi="Times New Roman" w:cs="Times New Roman"/>
              </w:rPr>
            </w:pPr>
          </w:p>
          <w:p w14:paraId="5DBCA5B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For Mexico, the rates are adjusted according to the data from the life tables of the Public Health Intelligence Unit </w:t>
            </w:r>
          </w:p>
          <w:p w14:paraId="292F2106" w14:textId="77777777" w:rsidR="005D489F" w:rsidRDefault="00000000">
            <w:pPr>
              <w:pStyle w:val="Compact"/>
              <w:rPr>
                <w:rFonts w:ascii="Times New Roman" w:hAnsi="Times New Roman" w:cs="Times New Roman"/>
                <w:lang w:val="es-MX"/>
              </w:rPr>
            </w:pPr>
            <w:r>
              <w:rPr>
                <w:rFonts w:ascii="Times New Roman" w:eastAsia="Calibri" w:hAnsi="Times New Roman" w:cs="Times New Roman"/>
                <w:lang w:val="es-MX"/>
              </w:rPr>
              <w:t>(</w:t>
            </w:r>
            <w:proofErr w:type="spellStart"/>
            <w:r>
              <w:rPr>
                <w:rFonts w:ascii="Times New Roman" w:eastAsia="Calibri" w:hAnsi="Times New Roman" w:cs="Times New Roman"/>
                <w:lang w:val="es-MX"/>
              </w:rPr>
              <w:t>SSa</w:t>
            </w:r>
            <w:proofErr w:type="spellEnd"/>
            <w:r>
              <w:rPr>
                <w:rFonts w:ascii="Times New Roman" w:eastAsia="Calibri" w:hAnsi="Times New Roman" w:cs="Times New Roman"/>
                <w:lang w:val="es-MX"/>
              </w:rPr>
              <w:t>, INSP, UISP, 2019)</w:t>
            </w:r>
          </w:p>
        </w:tc>
      </w:tr>
      <w:tr w:rsidR="005D489F" w14:paraId="105044C4" w14:textId="77777777">
        <w:tc>
          <w:tcPr>
            <w:tcW w:w="1413" w:type="dxa"/>
          </w:tcPr>
          <w:p w14:paraId="3607A73C" w14:textId="77777777" w:rsidR="005D489F" w:rsidRDefault="00000000">
            <w:pPr>
              <w:pStyle w:val="Compact"/>
              <w:jc w:val="center"/>
              <w:rPr>
                <w:rFonts w:ascii="Times New Roman" w:hAnsi="Times New Roman" w:cs="Times New Roman"/>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oMath>
            </m:oMathPara>
          </w:p>
        </w:tc>
        <w:tc>
          <w:tcPr>
            <w:tcW w:w="3273" w:type="dxa"/>
          </w:tcPr>
          <w:p w14:paraId="5EA788A1"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Labor income efficiency profile by age cohort.</w:t>
            </w:r>
          </w:p>
          <w:p w14:paraId="5C316E8A" w14:textId="77777777" w:rsidR="005D489F" w:rsidRDefault="005D489F">
            <w:pPr>
              <w:pStyle w:val="Compact"/>
              <w:rPr>
                <w:rFonts w:ascii="Times New Roman" w:hAnsi="Times New Roman" w:cs="Times New Roman"/>
              </w:rPr>
            </w:pPr>
          </w:p>
        </w:tc>
        <w:tc>
          <w:tcPr>
            <w:tcW w:w="656" w:type="dxa"/>
          </w:tcPr>
          <w:p w14:paraId="6F6A8D1B" w14:textId="77777777" w:rsidR="005D489F" w:rsidRDefault="00000000">
            <w:pPr>
              <w:pStyle w:val="Compact"/>
              <w:rPr>
                <w:rFonts w:ascii="Times New Roman" w:hAnsi="Times New Roman" w:cs="Times New Roman"/>
              </w:rPr>
            </w:pPr>
            <w:r>
              <w:rPr>
                <w:rFonts w:ascii="Times New Roman" w:eastAsia="Calibri" w:hAnsi="Times New Roman" w:cs="Times New Roman"/>
              </w:rPr>
              <w:t>X</w:t>
            </w:r>
          </w:p>
        </w:tc>
        <w:tc>
          <w:tcPr>
            <w:tcW w:w="390" w:type="dxa"/>
          </w:tcPr>
          <w:p w14:paraId="65B43101" w14:textId="77777777" w:rsidR="005D489F" w:rsidRDefault="005D489F">
            <w:pPr>
              <w:pStyle w:val="Compact"/>
              <w:rPr>
                <w:rFonts w:ascii="Times New Roman" w:hAnsi="Times New Roman" w:cs="Times New Roman"/>
              </w:rPr>
            </w:pPr>
          </w:p>
        </w:tc>
        <w:tc>
          <w:tcPr>
            <w:tcW w:w="390" w:type="dxa"/>
          </w:tcPr>
          <w:p w14:paraId="4CC8D84B" w14:textId="77777777" w:rsidR="005D489F" w:rsidRDefault="005D489F">
            <w:pPr>
              <w:pStyle w:val="Compact"/>
              <w:rPr>
                <w:rFonts w:ascii="Times New Roman" w:hAnsi="Times New Roman" w:cs="Times New Roman"/>
              </w:rPr>
            </w:pPr>
          </w:p>
        </w:tc>
        <w:tc>
          <w:tcPr>
            <w:tcW w:w="3331" w:type="dxa"/>
          </w:tcPr>
          <w:p w14:paraId="501E826C"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p w14:paraId="3D7E4685" w14:textId="77777777" w:rsidR="005D489F" w:rsidRDefault="005D489F">
            <w:pPr>
              <w:pStyle w:val="Compact"/>
              <w:rPr>
                <w:rFonts w:ascii="Times New Roman" w:eastAsia="Calibri" w:hAnsi="Times New Roman" w:cs="Times New Roman"/>
              </w:rPr>
            </w:pPr>
          </w:p>
          <w:p w14:paraId="30643BA0"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 xml:space="preserve">For Mexico, the income profile is adjusted with the data from the ENOE (INEGI, 2015). </w:t>
            </w:r>
          </w:p>
        </w:tc>
      </w:tr>
      <w:tr w:rsidR="005D489F" w14:paraId="2B0017D2" w14:textId="77777777">
        <w:tc>
          <w:tcPr>
            <w:tcW w:w="1413" w:type="dxa"/>
          </w:tcPr>
          <w:p w14:paraId="726ACC4C" w14:textId="77777777" w:rsidR="005D489F" w:rsidRDefault="00000000">
            <w:pPr>
              <w:pStyle w:val="Compact"/>
              <w:jc w:val="center"/>
              <w:rPr>
                <w:rFonts w:cs="Times New Roman"/>
              </w:rPr>
            </w:pPr>
            <w:r>
              <w:rPr>
                <w:rFonts w:cs="Times New Roman"/>
              </w:rPr>
              <w:t>R</w:t>
            </w:r>
          </w:p>
        </w:tc>
        <w:tc>
          <w:tcPr>
            <w:tcW w:w="3273" w:type="dxa"/>
          </w:tcPr>
          <w:p w14:paraId="062C6930"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Interest rate</w:t>
            </w:r>
          </w:p>
          <w:p w14:paraId="70CC075D" w14:textId="77777777" w:rsidR="005D489F" w:rsidRDefault="005D489F">
            <w:pPr>
              <w:pStyle w:val="Compact"/>
              <w:rPr>
                <w:rFonts w:ascii="Times New Roman" w:eastAsia="Calibri" w:hAnsi="Times New Roman" w:cs="Times New Roman"/>
              </w:rPr>
            </w:pPr>
          </w:p>
        </w:tc>
        <w:tc>
          <w:tcPr>
            <w:tcW w:w="656" w:type="dxa"/>
          </w:tcPr>
          <w:p w14:paraId="5E436C13"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5B960751" w14:textId="77777777" w:rsidR="005D489F" w:rsidRDefault="005D489F">
            <w:pPr>
              <w:pStyle w:val="Compact"/>
              <w:rPr>
                <w:rFonts w:ascii="Times New Roman" w:hAnsi="Times New Roman" w:cs="Times New Roman"/>
              </w:rPr>
            </w:pPr>
          </w:p>
        </w:tc>
        <w:tc>
          <w:tcPr>
            <w:tcW w:w="390" w:type="dxa"/>
          </w:tcPr>
          <w:p w14:paraId="25A39647" w14:textId="77777777" w:rsidR="005D489F" w:rsidRDefault="005D489F">
            <w:pPr>
              <w:pStyle w:val="Compact"/>
              <w:rPr>
                <w:rFonts w:ascii="Times New Roman" w:hAnsi="Times New Roman" w:cs="Times New Roman"/>
              </w:rPr>
            </w:pPr>
          </w:p>
        </w:tc>
        <w:tc>
          <w:tcPr>
            <w:tcW w:w="3331" w:type="dxa"/>
          </w:tcPr>
          <w:p w14:paraId="0FC8F23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0B5A9AC9" w14:textId="77777777">
        <w:tc>
          <w:tcPr>
            <w:tcW w:w="1413" w:type="dxa"/>
          </w:tcPr>
          <w:p w14:paraId="3D9E9AD9" w14:textId="77777777" w:rsidR="005D489F" w:rsidRDefault="00000000">
            <w:pPr>
              <w:pStyle w:val="Compact"/>
              <w:jc w:val="center"/>
              <w:rPr>
                <w:rFonts w:cs="Times New Roman"/>
              </w:rPr>
            </w:pPr>
            <w:r>
              <w:rPr>
                <w:rFonts w:cs="Times New Roman"/>
              </w:rPr>
              <w:t>W</w:t>
            </w:r>
          </w:p>
        </w:tc>
        <w:tc>
          <w:tcPr>
            <w:tcW w:w="3273" w:type="dxa"/>
          </w:tcPr>
          <w:p w14:paraId="08A73C38"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Wage</w:t>
            </w:r>
          </w:p>
        </w:tc>
        <w:tc>
          <w:tcPr>
            <w:tcW w:w="656" w:type="dxa"/>
          </w:tcPr>
          <w:p w14:paraId="12BDEB7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1AFEF3C6" w14:textId="77777777" w:rsidR="005D489F" w:rsidRDefault="005D489F">
            <w:pPr>
              <w:pStyle w:val="Compact"/>
              <w:rPr>
                <w:rFonts w:ascii="Times New Roman" w:hAnsi="Times New Roman" w:cs="Times New Roman"/>
              </w:rPr>
            </w:pPr>
          </w:p>
        </w:tc>
        <w:tc>
          <w:tcPr>
            <w:tcW w:w="390" w:type="dxa"/>
          </w:tcPr>
          <w:p w14:paraId="41DAA79B" w14:textId="77777777" w:rsidR="005D489F" w:rsidRDefault="005D489F">
            <w:pPr>
              <w:pStyle w:val="Compact"/>
              <w:rPr>
                <w:rFonts w:ascii="Times New Roman" w:hAnsi="Times New Roman" w:cs="Times New Roman"/>
              </w:rPr>
            </w:pPr>
          </w:p>
        </w:tc>
        <w:tc>
          <w:tcPr>
            <w:tcW w:w="3331" w:type="dxa"/>
          </w:tcPr>
          <w:p w14:paraId="7C5CB361"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4F4B8083" w14:textId="77777777">
        <w:tc>
          <w:tcPr>
            <w:tcW w:w="1413" w:type="dxa"/>
          </w:tcPr>
          <w:p w14:paraId="2DF0BEF4" w14:textId="77777777" w:rsidR="005D489F" w:rsidRDefault="00000000">
            <w:pPr>
              <w:pStyle w:val="Compact"/>
              <w:jc w:val="center"/>
            </w:pPr>
            <m:oMathPara>
              <m:oMath>
                <m:r>
                  <m:rPr>
                    <m:sty m:val="p"/>
                  </m:rPr>
                  <w:rPr>
                    <w:rFonts w:ascii="Cambria Math" w:hAnsi="Cambria Math" w:cs="Times New Roman"/>
                  </w:rPr>
                  <m:t>Δ</m:t>
                </m:r>
              </m:oMath>
            </m:oMathPara>
          </w:p>
          <w:p w14:paraId="07DA5762" w14:textId="77777777" w:rsidR="005D489F" w:rsidRDefault="005D489F">
            <w:pPr>
              <w:pStyle w:val="Compact"/>
              <w:jc w:val="center"/>
            </w:pPr>
          </w:p>
        </w:tc>
        <w:tc>
          <w:tcPr>
            <w:tcW w:w="3273" w:type="dxa"/>
          </w:tcPr>
          <w:p w14:paraId="5E56FBAE"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Determines how health status affects the utility of consumption</w:t>
            </w:r>
          </w:p>
        </w:tc>
        <w:tc>
          <w:tcPr>
            <w:tcW w:w="656" w:type="dxa"/>
          </w:tcPr>
          <w:p w14:paraId="4A021B13"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DD59213" w14:textId="77777777" w:rsidR="005D489F" w:rsidRDefault="005D489F">
            <w:pPr>
              <w:pStyle w:val="Compact"/>
              <w:rPr>
                <w:rFonts w:ascii="Times New Roman" w:hAnsi="Times New Roman" w:cs="Times New Roman"/>
              </w:rPr>
            </w:pPr>
          </w:p>
        </w:tc>
        <w:tc>
          <w:tcPr>
            <w:tcW w:w="390" w:type="dxa"/>
          </w:tcPr>
          <w:p w14:paraId="1551CB81" w14:textId="77777777" w:rsidR="005D489F" w:rsidRDefault="005D489F">
            <w:pPr>
              <w:pStyle w:val="Compact"/>
              <w:rPr>
                <w:rFonts w:ascii="Times New Roman" w:hAnsi="Times New Roman" w:cs="Times New Roman"/>
              </w:rPr>
            </w:pPr>
          </w:p>
        </w:tc>
        <w:tc>
          <w:tcPr>
            <w:tcW w:w="3331" w:type="dxa"/>
          </w:tcPr>
          <w:p w14:paraId="7DF8DD3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7D64C7B0" w14:textId="77777777">
        <w:tc>
          <w:tcPr>
            <w:tcW w:w="1413" w:type="dxa"/>
          </w:tcPr>
          <w:p w14:paraId="1E8E1369" w14:textId="77777777" w:rsidR="005D489F" w:rsidRDefault="00000000">
            <w:pPr>
              <w:pStyle w:val="Compact"/>
              <w:jc w:val="center"/>
            </w:pPr>
            <m:oMathPara>
              <m:oMath>
                <m:r>
                  <m:rPr>
                    <m:sty m:val="p"/>
                  </m:rPr>
                  <w:rPr>
                    <w:rFonts w:ascii="Cambria Math" w:hAnsi="Cambria Math" w:cs="Times New Roman"/>
                  </w:rPr>
                  <w:lastRenderedPageBreak/>
                  <m:t>Χ</m:t>
                </m:r>
              </m:oMath>
            </m:oMathPara>
          </w:p>
          <w:p w14:paraId="4B8B5340" w14:textId="77777777" w:rsidR="005D489F" w:rsidRDefault="005D489F">
            <w:pPr>
              <w:pStyle w:val="Compact"/>
              <w:jc w:val="center"/>
            </w:pPr>
          </w:p>
        </w:tc>
        <w:tc>
          <w:tcPr>
            <w:tcW w:w="3273" w:type="dxa"/>
          </w:tcPr>
          <w:p w14:paraId="3B058941"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Discount factor</w:t>
            </w:r>
          </w:p>
          <w:p w14:paraId="5E6F55A2" w14:textId="77777777" w:rsidR="005D489F" w:rsidRDefault="005D489F">
            <w:pPr>
              <w:pStyle w:val="Compact"/>
              <w:rPr>
                <w:rFonts w:ascii="Times New Roman" w:eastAsia="Calibri" w:hAnsi="Times New Roman" w:cs="Times New Roman"/>
              </w:rPr>
            </w:pPr>
          </w:p>
        </w:tc>
        <w:tc>
          <w:tcPr>
            <w:tcW w:w="656" w:type="dxa"/>
          </w:tcPr>
          <w:p w14:paraId="70350B9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3E0A23E7" w14:textId="77777777" w:rsidR="005D489F" w:rsidRDefault="005D489F">
            <w:pPr>
              <w:pStyle w:val="Compact"/>
              <w:rPr>
                <w:rFonts w:ascii="Times New Roman" w:hAnsi="Times New Roman" w:cs="Times New Roman"/>
              </w:rPr>
            </w:pPr>
          </w:p>
        </w:tc>
        <w:tc>
          <w:tcPr>
            <w:tcW w:w="390" w:type="dxa"/>
          </w:tcPr>
          <w:p w14:paraId="26102791" w14:textId="77777777" w:rsidR="005D489F" w:rsidRDefault="005D489F">
            <w:pPr>
              <w:pStyle w:val="Compact"/>
              <w:rPr>
                <w:rFonts w:ascii="Times New Roman" w:hAnsi="Times New Roman" w:cs="Times New Roman"/>
              </w:rPr>
            </w:pPr>
          </w:p>
        </w:tc>
        <w:tc>
          <w:tcPr>
            <w:tcW w:w="3331" w:type="dxa"/>
          </w:tcPr>
          <w:p w14:paraId="54CAA690"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13973DD2" w14:textId="77777777">
        <w:tc>
          <w:tcPr>
            <w:tcW w:w="1413" w:type="dxa"/>
          </w:tcPr>
          <w:p w14:paraId="1E4DA1ED" w14:textId="77777777" w:rsidR="005D489F" w:rsidRDefault="00000000">
            <w:pPr>
              <w:pStyle w:val="Compact"/>
              <w:jc w:val="center"/>
              <w:rPr>
                <w:rFonts w:cs="Times New Roman"/>
              </w:rPr>
            </w:pPr>
            <m:oMathPara>
              <m:oMath>
                <m:r>
                  <w:rPr>
                    <w:rFonts w:ascii="Cambria Math" w:hAnsi="Cambria Math" w:cs="Times New Roman"/>
                  </w:rPr>
                  <m:t>c_floor</m:t>
                </m:r>
              </m:oMath>
            </m:oMathPara>
          </w:p>
        </w:tc>
        <w:tc>
          <w:tcPr>
            <w:tcW w:w="3273" w:type="dxa"/>
          </w:tcPr>
          <w:p w14:paraId="2349C5A9"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Floor consumption</w:t>
            </w:r>
          </w:p>
          <w:p w14:paraId="60309F96" w14:textId="77777777" w:rsidR="005D489F" w:rsidRDefault="005D489F">
            <w:pPr>
              <w:pStyle w:val="Compact"/>
              <w:rPr>
                <w:rFonts w:ascii="Times New Roman" w:eastAsia="Calibri" w:hAnsi="Times New Roman" w:cs="Times New Roman"/>
              </w:rPr>
            </w:pPr>
          </w:p>
        </w:tc>
        <w:tc>
          <w:tcPr>
            <w:tcW w:w="656" w:type="dxa"/>
          </w:tcPr>
          <w:p w14:paraId="44672A5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4D108B4" w14:textId="77777777" w:rsidR="005D489F" w:rsidRDefault="005D489F">
            <w:pPr>
              <w:pStyle w:val="Compact"/>
              <w:rPr>
                <w:rFonts w:ascii="Times New Roman" w:hAnsi="Times New Roman" w:cs="Times New Roman"/>
              </w:rPr>
            </w:pPr>
          </w:p>
        </w:tc>
        <w:tc>
          <w:tcPr>
            <w:tcW w:w="390" w:type="dxa"/>
          </w:tcPr>
          <w:p w14:paraId="2247AFD8" w14:textId="77777777" w:rsidR="005D489F" w:rsidRDefault="005D489F">
            <w:pPr>
              <w:pStyle w:val="Compact"/>
              <w:rPr>
                <w:rFonts w:ascii="Times New Roman" w:hAnsi="Times New Roman" w:cs="Times New Roman"/>
              </w:rPr>
            </w:pPr>
          </w:p>
        </w:tc>
        <w:tc>
          <w:tcPr>
            <w:tcW w:w="3331" w:type="dxa"/>
          </w:tcPr>
          <w:p w14:paraId="3331ABC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17C5B667" w14:textId="77777777">
        <w:tc>
          <w:tcPr>
            <w:tcW w:w="1413" w:type="dxa"/>
          </w:tcPr>
          <w:p w14:paraId="2C2B5CEF" w14:textId="77777777" w:rsidR="005D489F" w:rsidRDefault="00000000">
            <w:pPr>
              <w:pStyle w:val="Compact"/>
              <w:jc w:val="center"/>
              <w:rPr>
                <w:rFonts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z</m:t>
                    </m:r>
                  </m:sub>
                </m:sSub>
              </m:oMath>
            </m:oMathPara>
          </w:p>
        </w:tc>
        <w:tc>
          <w:tcPr>
            <w:tcW w:w="3273" w:type="dxa"/>
          </w:tcPr>
          <w:p w14:paraId="169906C8" w14:textId="77777777" w:rsidR="005D489F" w:rsidRDefault="00000000">
            <w:pPr>
              <w:pStyle w:val="Compact"/>
              <w:rPr>
                <w:rFonts w:ascii="Times New Roman" w:eastAsia="Calibri" w:hAnsi="Times New Roman" w:cs="Times New Roman"/>
                <w:lang w:val="es-MX"/>
              </w:rPr>
            </w:pPr>
            <w:r>
              <w:rPr>
                <w:rFonts w:ascii="Times New Roman" w:eastAsia="Calibri" w:hAnsi="Times New Roman" w:cs="Times New Roman"/>
              </w:rPr>
              <w:t>Stochastic shock variance</w:t>
            </w:r>
          </w:p>
          <w:p w14:paraId="07A5E4DA" w14:textId="77777777" w:rsidR="005D489F" w:rsidRDefault="005D489F">
            <w:pPr>
              <w:pStyle w:val="Compact"/>
              <w:rPr>
                <w:rFonts w:ascii="Times New Roman" w:eastAsia="Calibri" w:hAnsi="Times New Roman" w:cs="Times New Roman"/>
              </w:rPr>
            </w:pPr>
          </w:p>
        </w:tc>
        <w:tc>
          <w:tcPr>
            <w:tcW w:w="656" w:type="dxa"/>
          </w:tcPr>
          <w:p w14:paraId="02492989"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X</w:t>
            </w:r>
          </w:p>
        </w:tc>
        <w:tc>
          <w:tcPr>
            <w:tcW w:w="390" w:type="dxa"/>
          </w:tcPr>
          <w:p w14:paraId="4BCB11EF" w14:textId="77777777" w:rsidR="005D489F" w:rsidRDefault="005D489F">
            <w:pPr>
              <w:pStyle w:val="Compact"/>
              <w:rPr>
                <w:rFonts w:ascii="Times New Roman" w:hAnsi="Times New Roman" w:cs="Times New Roman"/>
              </w:rPr>
            </w:pPr>
          </w:p>
        </w:tc>
        <w:tc>
          <w:tcPr>
            <w:tcW w:w="390" w:type="dxa"/>
          </w:tcPr>
          <w:p w14:paraId="487BDB43" w14:textId="77777777" w:rsidR="005D489F" w:rsidRDefault="005D489F">
            <w:pPr>
              <w:pStyle w:val="Compact"/>
              <w:rPr>
                <w:rFonts w:ascii="Times New Roman" w:hAnsi="Times New Roman" w:cs="Times New Roman"/>
              </w:rPr>
            </w:pPr>
          </w:p>
        </w:tc>
        <w:tc>
          <w:tcPr>
            <w:tcW w:w="3331" w:type="dxa"/>
          </w:tcPr>
          <w:p w14:paraId="52977739"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Defined by Fehr y Kindermann (2018).</w:t>
            </w:r>
          </w:p>
        </w:tc>
      </w:tr>
      <w:tr w:rsidR="005D489F" w14:paraId="690F7D6F" w14:textId="77777777">
        <w:tc>
          <w:tcPr>
            <w:tcW w:w="1413" w:type="dxa"/>
          </w:tcPr>
          <w:p w14:paraId="16F34817" w14:textId="77777777" w:rsidR="005D489F" w:rsidRDefault="005D489F">
            <w:pPr>
              <w:pStyle w:val="Compact"/>
              <w:jc w:val="center"/>
              <w:rPr>
                <w:rFonts w:cs="Times New Roman"/>
              </w:rPr>
            </w:pPr>
          </w:p>
        </w:tc>
        <w:tc>
          <w:tcPr>
            <w:tcW w:w="3273" w:type="dxa"/>
          </w:tcPr>
          <w:p w14:paraId="0E215674" w14:textId="77777777" w:rsidR="005D489F" w:rsidRDefault="005D489F">
            <w:pPr>
              <w:pStyle w:val="Compact"/>
              <w:rPr>
                <w:rFonts w:ascii="Times New Roman" w:eastAsia="Calibri" w:hAnsi="Times New Roman" w:cs="Times New Roman"/>
              </w:rPr>
            </w:pPr>
          </w:p>
        </w:tc>
        <w:tc>
          <w:tcPr>
            <w:tcW w:w="656" w:type="dxa"/>
          </w:tcPr>
          <w:p w14:paraId="2FFE472E" w14:textId="77777777" w:rsidR="005D489F" w:rsidRDefault="005D489F">
            <w:pPr>
              <w:pStyle w:val="Compact"/>
              <w:rPr>
                <w:rFonts w:ascii="Times New Roman" w:eastAsia="Calibri" w:hAnsi="Times New Roman" w:cs="Times New Roman"/>
              </w:rPr>
            </w:pPr>
          </w:p>
        </w:tc>
        <w:tc>
          <w:tcPr>
            <w:tcW w:w="390" w:type="dxa"/>
          </w:tcPr>
          <w:p w14:paraId="48FD7B8A" w14:textId="77777777" w:rsidR="005D489F" w:rsidRDefault="005D489F">
            <w:pPr>
              <w:pStyle w:val="Compact"/>
              <w:rPr>
                <w:rFonts w:ascii="Times New Roman" w:hAnsi="Times New Roman" w:cs="Times New Roman"/>
              </w:rPr>
            </w:pPr>
          </w:p>
        </w:tc>
        <w:tc>
          <w:tcPr>
            <w:tcW w:w="390" w:type="dxa"/>
          </w:tcPr>
          <w:p w14:paraId="3F793014" w14:textId="77777777" w:rsidR="005D489F" w:rsidRDefault="005D489F">
            <w:pPr>
              <w:pStyle w:val="Compact"/>
              <w:rPr>
                <w:rFonts w:ascii="Times New Roman" w:hAnsi="Times New Roman" w:cs="Times New Roman"/>
              </w:rPr>
            </w:pPr>
          </w:p>
        </w:tc>
        <w:tc>
          <w:tcPr>
            <w:tcW w:w="3331" w:type="dxa"/>
          </w:tcPr>
          <w:p w14:paraId="27364C07" w14:textId="77777777" w:rsidR="005D489F" w:rsidRDefault="005D489F">
            <w:pPr>
              <w:pStyle w:val="Compact"/>
              <w:rPr>
                <w:rFonts w:ascii="Times New Roman" w:eastAsia="Calibri" w:hAnsi="Times New Roman" w:cs="Times New Roman"/>
              </w:rPr>
            </w:pPr>
          </w:p>
        </w:tc>
      </w:tr>
    </w:tbl>
    <w:p w14:paraId="124C03D0" w14:textId="77777777" w:rsidR="005D489F" w:rsidRDefault="005D489F">
      <w:pPr>
        <w:pStyle w:val="TableCaption"/>
        <w:rPr>
          <w:rFonts w:ascii="Times New Roman" w:hAnsi="Times New Roman" w:cs="Times New Roman"/>
        </w:rPr>
      </w:pPr>
    </w:p>
    <w:p w14:paraId="093AF90A" w14:textId="77777777" w:rsidR="005D489F" w:rsidRDefault="00000000">
      <w:pPr>
        <w:pStyle w:val="TableCaption"/>
        <w:rPr>
          <w:rFonts w:ascii="Times New Roman" w:hAnsi="Times New Roman" w:cs="Times New Roman"/>
        </w:rPr>
      </w:pPr>
      <w:r>
        <w:rPr>
          <w:rFonts w:ascii="Times New Roman" w:hAnsi="Times New Roman" w:cs="Times New Roman"/>
        </w:rPr>
        <w:t>Table 2. Value of the parameters.</w:t>
      </w:r>
    </w:p>
    <w:tbl>
      <w:tblPr>
        <w:tblStyle w:val="Tablaconcuadrcula"/>
        <w:tblW w:w="7792" w:type="dxa"/>
        <w:jc w:val="center"/>
        <w:tblLook w:val="0020" w:firstRow="1" w:lastRow="0" w:firstColumn="0" w:lastColumn="0" w:noHBand="0" w:noVBand="0"/>
      </w:tblPr>
      <w:tblGrid>
        <w:gridCol w:w="5172"/>
        <w:gridCol w:w="1486"/>
        <w:gridCol w:w="1134"/>
      </w:tblGrid>
      <w:tr w:rsidR="005D489F" w14:paraId="21D6D9A0" w14:textId="77777777">
        <w:trPr>
          <w:tblHeader/>
          <w:jc w:val="center"/>
        </w:trPr>
        <w:tc>
          <w:tcPr>
            <w:tcW w:w="5172" w:type="dxa"/>
          </w:tcPr>
          <w:p w14:paraId="3670AA22"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Description</w:t>
            </w:r>
          </w:p>
        </w:tc>
        <w:tc>
          <w:tcPr>
            <w:tcW w:w="1486" w:type="dxa"/>
          </w:tcPr>
          <w:p w14:paraId="1B3BA85B"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Parameter</w:t>
            </w:r>
          </w:p>
        </w:tc>
        <w:tc>
          <w:tcPr>
            <w:tcW w:w="1134" w:type="dxa"/>
          </w:tcPr>
          <w:p w14:paraId="5AB661E8" w14:textId="77777777" w:rsidR="005D489F" w:rsidRDefault="00000000">
            <w:pPr>
              <w:pStyle w:val="Compact"/>
              <w:jc w:val="center"/>
              <w:rPr>
                <w:rFonts w:ascii="Times New Roman" w:hAnsi="Times New Roman" w:cs="Times New Roman"/>
              </w:rPr>
            </w:pPr>
            <w:r>
              <w:rPr>
                <w:rFonts w:ascii="Times New Roman" w:eastAsia="Calibri" w:hAnsi="Times New Roman" w:cs="Times New Roman"/>
                <w:b/>
                <w:bCs/>
              </w:rPr>
              <w:t>México</w:t>
            </w:r>
          </w:p>
        </w:tc>
      </w:tr>
      <w:tr w:rsidR="005D489F" w14:paraId="09B5D8A2" w14:textId="77777777">
        <w:trPr>
          <w:jc w:val="center"/>
        </w:trPr>
        <w:tc>
          <w:tcPr>
            <w:tcW w:w="5172" w:type="dxa"/>
          </w:tcPr>
          <w:p w14:paraId="4A678885" w14:textId="77777777" w:rsidR="005D489F" w:rsidRDefault="00000000">
            <w:pPr>
              <w:pStyle w:val="Compact"/>
              <w:rPr>
                <w:rFonts w:ascii="Times New Roman" w:hAnsi="Times New Roman" w:cs="Times New Roman"/>
              </w:rPr>
            </w:pPr>
            <w:r>
              <w:rPr>
                <w:rFonts w:ascii="Times New Roman" w:eastAsia="Calibri" w:hAnsi="Times New Roman" w:cs="Times New Roman"/>
                <w:b/>
                <w:bCs/>
              </w:rPr>
              <w:t>Utility function</w:t>
            </w:r>
          </w:p>
        </w:tc>
        <w:tc>
          <w:tcPr>
            <w:tcW w:w="1486" w:type="dxa"/>
          </w:tcPr>
          <w:p w14:paraId="00ED3568" w14:textId="77777777" w:rsidR="005D489F" w:rsidRDefault="005D489F">
            <w:pPr>
              <w:pStyle w:val="Compact"/>
              <w:rPr>
                <w:rFonts w:ascii="Times New Roman" w:hAnsi="Times New Roman" w:cs="Times New Roman"/>
              </w:rPr>
            </w:pPr>
          </w:p>
        </w:tc>
        <w:tc>
          <w:tcPr>
            <w:tcW w:w="1134" w:type="dxa"/>
          </w:tcPr>
          <w:p w14:paraId="27267727" w14:textId="77777777" w:rsidR="005D489F" w:rsidRDefault="005D489F">
            <w:pPr>
              <w:pStyle w:val="Compact"/>
              <w:rPr>
                <w:rFonts w:ascii="Times New Roman" w:hAnsi="Times New Roman" w:cs="Times New Roman"/>
              </w:rPr>
            </w:pPr>
          </w:p>
        </w:tc>
      </w:tr>
      <w:tr w:rsidR="005D489F" w14:paraId="40D3DE20" w14:textId="77777777">
        <w:trPr>
          <w:jc w:val="center"/>
        </w:trPr>
        <w:tc>
          <w:tcPr>
            <w:tcW w:w="5172" w:type="dxa"/>
          </w:tcPr>
          <w:p w14:paraId="20446614" w14:textId="77777777" w:rsidR="005D489F" w:rsidRDefault="00000000">
            <w:pPr>
              <w:pStyle w:val="Compact"/>
              <w:rPr>
                <w:rFonts w:ascii="Times New Roman" w:hAnsi="Times New Roman" w:cs="Times New Roman"/>
              </w:rPr>
            </w:pPr>
            <w:r>
              <w:rPr>
                <w:rFonts w:ascii="Times New Roman" w:eastAsia="Calibri" w:hAnsi="Times New Roman" w:cs="Times New Roman"/>
              </w:rPr>
              <w:t>Coefficient of relative risk aversion (reciprocal of the elasticity of intertemporal substitution)</w:t>
            </w:r>
          </w:p>
        </w:tc>
        <w:tc>
          <w:tcPr>
            <w:tcW w:w="1486" w:type="dxa"/>
          </w:tcPr>
          <w:p w14:paraId="7B0CD754"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γ</m:t>
                </m:r>
              </m:oMath>
            </m:oMathPara>
          </w:p>
        </w:tc>
        <w:tc>
          <w:tcPr>
            <w:tcW w:w="1134" w:type="dxa"/>
          </w:tcPr>
          <w:p w14:paraId="36ADB3B4" w14:textId="77777777" w:rsidR="005D489F" w:rsidRDefault="00000000">
            <w:pPr>
              <w:pStyle w:val="Compact"/>
              <w:rPr>
                <w:rFonts w:ascii="Times New Roman" w:hAnsi="Times New Roman" w:cs="Times New Roman"/>
              </w:rPr>
            </w:pPr>
            <w:r>
              <w:rPr>
                <w:rFonts w:ascii="Times New Roman" w:eastAsia="Calibri" w:hAnsi="Times New Roman" w:cs="Times New Roman"/>
              </w:rPr>
              <w:t>0.5</w:t>
            </w:r>
          </w:p>
        </w:tc>
      </w:tr>
      <w:tr w:rsidR="005D489F" w14:paraId="0FA2F50F" w14:textId="77777777">
        <w:trPr>
          <w:jc w:val="center"/>
        </w:trPr>
        <w:tc>
          <w:tcPr>
            <w:tcW w:w="5172" w:type="dxa"/>
          </w:tcPr>
          <w:p w14:paraId="1AFD5462" w14:textId="77777777" w:rsidR="005D489F" w:rsidRDefault="00000000">
            <w:pPr>
              <w:pStyle w:val="Compact"/>
              <w:rPr>
                <w:rFonts w:ascii="Times New Roman" w:hAnsi="Times New Roman" w:cs="Times New Roman"/>
              </w:rPr>
            </w:pPr>
            <w:r>
              <w:rPr>
                <w:rFonts w:ascii="Times New Roman" w:eastAsia="Calibri" w:hAnsi="Times New Roman" w:cs="Times New Roman"/>
              </w:rPr>
              <w:t>Time discount factor</w:t>
            </w:r>
          </w:p>
        </w:tc>
        <w:tc>
          <w:tcPr>
            <w:tcW w:w="1486" w:type="dxa"/>
          </w:tcPr>
          <w:p w14:paraId="039AF684"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β</m:t>
                </m:r>
              </m:oMath>
            </m:oMathPara>
          </w:p>
        </w:tc>
        <w:tc>
          <w:tcPr>
            <w:tcW w:w="1134" w:type="dxa"/>
          </w:tcPr>
          <w:p w14:paraId="6AEFE14B" w14:textId="77777777" w:rsidR="005D489F" w:rsidRDefault="00000000">
            <w:pPr>
              <w:pStyle w:val="Compact"/>
              <w:rPr>
                <w:rFonts w:ascii="Times New Roman" w:hAnsi="Times New Roman" w:cs="Times New Roman"/>
              </w:rPr>
            </w:pPr>
            <w:r>
              <w:rPr>
                <w:rFonts w:ascii="Times New Roman" w:eastAsia="Calibri" w:hAnsi="Times New Roman" w:cs="Times New Roman"/>
              </w:rPr>
              <w:t>0.98</w:t>
            </w:r>
          </w:p>
        </w:tc>
      </w:tr>
      <w:tr w:rsidR="005D489F" w14:paraId="6D1C88F5" w14:textId="77777777">
        <w:trPr>
          <w:jc w:val="center"/>
        </w:trPr>
        <w:tc>
          <w:tcPr>
            <w:tcW w:w="5172" w:type="dxa"/>
          </w:tcPr>
          <w:p w14:paraId="799FE8D5" w14:textId="77777777" w:rsidR="005D489F" w:rsidRDefault="00000000">
            <w:pPr>
              <w:pStyle w:val="Compact"/>
              <w:rPr>
                <w:rFonts w:ascii="Times New Roman" w:hAnsi="Times New Roman" w:cs="Times New Roman"/>
                <w:lang w:val="es-MX"/>
              </w:rPr>
            </w:pPr>
            <w:r>
              <w:rPr>
                <w:rFonts w:ascii="Times New Roman" w:eastAsia="Calibri" w:hAnsi="Times New Roman" w:cs="Times New Roman"/>
                <w:b/>
                <w:bCs/>
              </w:rPr>
              <w:t>Risk in labor productivity</w:t>
            </w:r>
          </w:p>
        </w:tc>
        <w:tc>
          <w:tcPr>
            <w:tcW w:w="1486" w:type="dxa"/>
          </w:tcPr>
          <w:p w14:paraId="06B42FEA" w14:textId="77777777" w:rsidR="005D489F" w:rsidRDefault="005D489F">
            <w:pPr>
              <w:pStyle w:val="Compact"/>
              <w:rPr>
                <w:rFonts w:ascii="Times New Roman" w:hAnsi="Times New Roman" w:cs="Times New Roman"/>
                <w:lang w:val="es-MX"/>
              </w:rPr>
            </w:pPr>
          </w:p>
        </w:tc>
        <w:tc>
          <w:tcPr>
            <w:tcW w:w="1134" w:type="dxa"/>
          </w:tcPr>
          <w:p w14:paraId="499ED34A" w14:textId="77777777" w:rsidR="005D489F" w:rsidRDefault="005D489F">
            <w:pPr>
              <w:pStyle w:val="Compact"/>
              <w:rPr>
                <w:rFonts w:ascii="Times New Roman" w:hAnsi="Times New Roman" w:cs="Times New Roman"/>
                <w:lang w:val="es-MX"/>
              </w:rPr>
            </w:pPr>
          </w:p>
        </w:tc>
      </w:tr>
      <w:tr w:rsidR="005D489F" w14:paraId="35DB29CE" w14:textId="77777777">
        <w:trPr>
          <w:jc w:val="center"/>
        </w:trPr>
        <w:tc>
          <w:tcPr>
            <w:tcW w:w="5172" w:type="dxa"/>
          </w:tcPr>
          <w:p w14:paraId="7ABF1F5A" w14:textId="77777777" w:rsidR="005D489F" w:rsidRDefault="00000000">
            <w:pPr>
              <w:pStyle w:val="Compact"/>
              <w:rPr>
                <w:rFonts w:ascii="Times New Roman" w:hAnsi="Times New Roman" w:cs="Times New Roman"/>
              </w:rPr>
            </w:pPr>
            <w:r>
              <w:rPr>
                <w:rFonts w:ascii="Times New Roman" w:eastAsia="Calibri" w:hAnsi="Times New Roman" w:cs="Times New Roman"/>
              </w:rPr>
              <w:t>Autoregressive component of the productivity shock</w:t>
            </w:r>
          </w:p>
        </w:tc>
        <w:tc>
          <w:tcPr>
            <w:tcW w:w="1486" w:type="dxa"/>
          </w:tcPr>
          <w:p w14:paraId="1122C5BF"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ρ</m:t>
                </m:r>
              </m:oMath>
            </m:oMathPara>
          </w:p>
        </w:tc>
        <w:tc>
          <w:tcPr>
            <w:tcW w:w="1134" w:type="dxa"/>
          </w:tcPr>
          <w:p w14:paraId="7E08E236" w14:textId="77777777" w:rsidR="005D489F" w:rsidRDefault="00000000">
            <w:pPr>
              <w:pStyle w:val="Compact"/>
              <w:rPr>
                <w:rFonts w:ascii="Times New Roman" w:hAnsi="Times New Roman" w:cs="Times New Roman"/>
              </w:rPr>
            </w:pPr>
            <w:r>
              <w:rPr>
                <w:rFonts w:ascii="Times New Roman" w:eastAsia="Calibri" w:hAnsi="Times New Roman" w:cs="Times New Roman"/>
              </w:rPr>
              <w:t>0.98</w:t>
            </w:r>
          </w:p>
        </w:tc>
      </w:tr>
      <w:tr w:rsidR="005D489F" w14:paraId="575974A9" w14:textId="77777777">
        <w:trPr>
          <w:jc w:val="center"/>
        </w:trPr>
        <w:tc>
          <w:tcPr>
            <w:tcW w:w="5172" w:type="dxa"/>
          </w:tcPr>
          <w:p w14:paraId="33DF84CD" w14:textId="77777777" w:rsidR="005D489F" w:rsidRDefault="00000000">
            <w:pPr>
              <w:pStyle w:val="Compact"/>
              <w:rPr>
                <w:rFonts w:ascii="Times New Roman" w:hAnsi="Times New Roman" w:cs="Times New Roman"/>
              </w:rPr>
            </w:pPr>
            <w:r>
              <w:rPr>
                <w:rFonts w:ascii="Times New Roman" w:eastAsia="Calibri" w:hAnsi="Times New Roman" w:cs="Times New Roman"/>
              </w:rPr>
              <w:t>Variance of the fixed effect on productivity.</w:t>
            </w:r>
            <m:oMath>
              <m:r>
                <w:rPr>
                  <w:rFonts w:ascii="Cambria Math" w:hAnsi="Cambria Math"/>
                </w:rPr>
                <m:t>θ</m:t>
              </m:r>
            </m:oMath>
          </w:p>
        </w:tc>
        <w:tc>
          <w:tcPr>
            <w:tcW w:w="1486" w:type="dxa"/>
          </w:tcPr>
          <w:p w14:paraId="20F67275"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θ</m:t>
                    </m:r>
                  </m:sub>
                  <m:sup>
                    <m:r>
                      <w:rPr>
                        <w:rFonts w:ascii="Cambria Math" w:hAnsi="Cambria Math"/>
                      </w:rPr>
                      <m:t>2</m:t>
                    </m:r>
                  </m:sup>
                </m:sSubSup>
              </m:oMath>
            </m:oMathPara>
          </w:p>
        </w:tc>
        <w:tc>
          <w:tcPr>
            <w:tcW w:w="1134" w:type="dxa"/>
          </w:tcPr>
          <w:p w14:paraId="2991BF02" w14:textId="77777777" w:rsidR="005D489F" w:rsidRDefault="00000000">
            <w:pPr>
              <w:pStyle w:val="Compact"/>
              <w:rPr>
                <w:rFonts w:ascii="Times New Roman" w:hAnsi="Times New Roman" w:cs="Times New Roman"/>
              </w:rPr>
            </w:pPr>
            <w:r>
              <w:rPr>
                <w:rFonts w:ascii="Times New Roman" w:eastAsia="Calibri" w:hAnsi="Times New Roman" w:cs="Times New Roman"/>
              </w:rPr>
              <w:t>0.242</w:t>
            </w:r>
          </w:p>
        </w:tc>
      </w:tr>
      <w:tr w:rsidR="005D489F" w14:paraId="501C3D20" w14:textId="77777777">
        <w:trPr>
          <w:jc w:val="center"/>
        </w:trPr>
        <w:tc>
          <w:tcPr>
            <w:tcW w:w="5172" w:type="dxa"/>
          </w:tcPr>
          <w:p w14:paraId="1DDD556F" w14:textId="77777777" w:rsidR="005D489F" w:rsidRDefault="00000000">
            <w:pPr>
              <w:pStyle w:val="Compact"/>
              <w:rPr>
                <w:rFonts w:ascii="Times New Roman" w:hAnsi="Times New Roman" w:cs="Times New Roman"/>
              </w:rPr>
            </w:pPr>
            <w:r>
              <w:rPr>
                <w:rFonts w:ascii="Times New Roman" w:eastAsia="Calibri" w:hAnsi="Times New Roman" w:cs="Times New Roman"/>
              </w:rPr>
              <w:t>Variance of the autoregressive component.</w:t>
            </w:r>
            <m:oMath>
              <m:r>
                <w:rPr>
                  <w:rFonts w:ascii="Cambria Math" w:hAnsi="Cambria Math"/>
                </w:rPr>
                <m:t>η</m:t>
              </m:r>
            </m:oMath>
          </w:p>
        </w:tc>
        <w:tc>
          <w:tcPr>
            <w:tcW w:w="1486" w:type="dxa"/>
          </w:tcPr>
          <w:p w14:paraId="4F23353A" w14:textId="77777777" w:rsidR="005D489F" w:rsidRDefault="00000000">
            <w:pPr>
              <w:pStyle w:val="Compact"/>
              <w:jc w:val="center"/>
              <w:rPr>
                <w:rFonts w:ascii="Times New Roman" w:hAnsi="Times New Roman" w:cs="Times New Roman"/>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ϵ</m:t>
                    </m:r>
                  </m:sub>
                  <m:sup>
                    <m:r>
                      <w:rPr>
                        <w:rFonts w:ascii="Cambria Math" w:hAnsi="Cambria Math"/>
                      </w:rPr>
                      <m:t>2</m:t>
                    </m:r>
                  </m:sup>
                </m:sSubSup>
              </m:oMath>
            </m:oMathPara>
          </w:p>
        </w:tc>
        <w:tc>
          <w:tcPr>
            <w:tcW w:w="1134" w:type="dxa"/>
          </w:tcPr>
          <w:p w14:paraId="14BDCADD" w14:textId="77777777" w:rsidR="005D489F" w:rsidRDefault="00000000">
            <w:pPr>
              <w:pStyle w:val="Compact"/>
              <w:rPr>
                <w:rFonts w:ascii="Times New Roman" w:hAnsi="Times New Roman" w:cs="Times New Roman"/>
              </w:rPr>
            </w:pPr>
            <w:r>
              <w:rPr>
                <w:rFonts w:ascii="Times New Roman" w:eastAsia="Calibri" w:hAnsi="Times New Roman" w:cs="Times New Roman"/>
              </w:rPr>
              <w:t>0.022</w:t>
            </w:r>
          </w:p>
        </w:tc>
      </w:tr>
      <w:tr w:rsidR="005D489F" w14:paraId="3E972F06" w14:textId="77777777">
        <w:trPr>
          <w:jc w:val="center"/>
        </w:trPr>
        <w:tc>
          <w:tcPr>
            <w:tcW w:w="5172" w:type="dxa"/>
          </w:tcPr>
          <w:p w14:paraId="6661E158" w14:textId="77777777" w:rsidR="005D489F" w:rsidRDefault="00000000">
            <w:pPr>
              <w:pStyle w:val="Compact"/>
              <w:rPr>
                <w:rFonts w:ascii="Times New Roman" w:hAnsi="Times New Roman" w:cs="Times New Roman"/>
              </w:rPr>
            </w:pPr>
            <w:r>
              <w:rPr>
                <w:rFonts w:ascii="Times New Roman" w:eastAsia="Calibri" w:hAnsi="Times New Roman" w:cs="Times New Roman"/>
                <w:b/>
                <w:bCs/>
              </w:rPr>
              <w:t>Pension system</w:t>
            </w:r>
          </w:p>
        </w:tc>
        <w:tc>
          <w:tcPr>
            <w:tcW w:w="1486" w:type="dxa"/>
          </w:tcPr>
          <w:p w14:paraId="540EDC50" w14:textId="77777777" w:rsidR="005D489F" w:rsidRDefault="005D489F">
            <w:pPr>
              <w:pStyle w:val="Compact"/>
              <w:rPr>
                <w:rFonts w:ascii="Times New Roman" w:hAnsi="Times New Roman" w:cs="Times New Roman"/>
              </w:rPr>
            </w:pPr>
          </w:p>
        </w:tc>
        <w:tc>
          <w:tcPr>
            <w:tcW w:w="1134" w:type="dxa"/>
          </w:tcPr>
          <w:p w14:paraId="5926BFC1" w14:textId="77777777" w:rsidR="005D489F" w:rsidRDefault="005D489F">
            <w:pPr>
              <w:pStyle w:val="Compact"/>
              <w:rPr>
                <w:rFonts w:ascii="Times New Roman" w:hAnsi="Times New Roman" w:cs="Times New Roman"/>
              </w:rPr>
            </w:pPr>
          </w:p>
        </w:tc>
      </w:tr>
      <w:tr w:rsidR="005D489F" w14:paraId="1C9B0ECB" w14:textId="77777777">
        <w:trPr>
          <w:jc w:val="center"/>
        </w:trPr>
        <w:tc>
          <w:tcPr>
            <w:tcW w:w="5172" w:type="dxa"/>
          </w:tcPr>
          <w:p w14:paraId="48F3BFD6" w14:textId="77777777" w:rsidR="005D489F" w:rsidRDefault="00000000">
            <w:pPr>
              <w:pStyle w:val="Compact"/>
              <w:rPr>
                <w:rFonts w:ascii="Times New Roman" w:hAnsi="Times New Roman" w:cs="Times New Roman"/>
              </w:rPr>
            </w:pPr>
            <w:r>
              <w:rPr>
                <w:rFonts w:ascii="Times New Roman" w:eastAsia="Calibri" w:hAnsi="Times New Roman" w:cs="Times New Roman"/>
              </w:rPr>
              <w:t>Replacement rate of the pension system</w:t>
            </w:r>
          </w:p>
        </w:tc>
        <w:tc>
          <w:tcPr>
            <w:tcW w:w="1486" w:type="dxa"/>
          </w:tcPr>
          <w:p w14:paraId="4A135998" w14:textId="77777777" w:rsidR="005D489F" w:rsidRDefault="00000000">
            <w:pPr>
              <w:pStyle w:val="Compact"/>
              <w:jc w:val="center"/>
              <w:rPr>
                <w:rFonts w:ascii="Times New Roman" w:hAnsi="Times New Roman" w:cs="Times New Roman"/>
              </w:rPr>
            </w:pPr>
            <m:oMathPara>
              <m:oMathParaPr>
                <m:jc m:val="center"/>
              </m:oMathParaPr>
              <m:oMath>
                <m:r>
                  <w:rPr>
                    <w:rFonts w:ascii="Cambria Math" w:hAnsi="Cambria Math"/>
                  </w:rPr>
                  <m:t>κ</m:t>
                </m:r>
              </m:oMath>
            </m:oMathPara>
          </w:p>
        </w:tc>
        <w:tc>
          <w:tcPr>
            <w:tcW w:w="1134" w:type="dxa"/>
          </w:tcPr>
          <w:p w14:paraId="636108CA" w14:textId="77777777" w:rsidR="005D489F" w:rsidRDefault="00000000">
            <w:pPr>
              <w:pStyle w:val="Compact"/>
              <w:rPr>
                <w:rFonts w:ascii="Times New Roman" w:hAnsi="Times New Roman" w:cs="Times New Roman"/>
              </w:rPr>
            </w:pPr>
            <w:r>
              <w:rPr>
                <w:rFonts w:ascii="Times New Roman" w:eastAsia="Calibri" w:hAnsi="Times New Roman" w:cs="Times New Roman"/>
              </w:rPr>
              <w:t>0.5</w:t>
            </w:r>
          </w:p>
        </w:tc>
      </w:tr>
      <w:tr w:rsidR="005D489F" w14:paraId="53E21B80" w14:textId="77777777">
        <w:trPr>
          <w:jc w:val="center"/>
        </w:trPr>
        <w:tc>
          <w:tcPr>
            <w:tcW w:w="5172" w:type="dxa"/>
          </w:tcPr>
          <w:p w14:paraId="03933A52" w14:textId="77777777" w:rsidR="005D489F" w:rsidRDefault="00000000">
            <w:pPr>
              <w:pStyle w:val="Compact"/>
              <w:rPr>
                <w:rFonts w:ascii="Times New Roman" w:eastAsia="Calibri" w:hAnsi="Times New Roman" w:cs="Times New Roman"/>
                <w:b/>
                <w:bCs/>
              </w:rPr>
            </w:pPr>
            <w:r>
              <w:rPr>
                <w:rFonts w:ascii="Times New Roman" w:eastAsia="Calibri" w:hAnsi="Times New Roman" w:cs="Times New Roman"/>
                <w:b/>
                <w:bCs/>
              </w:rPr>
              <w:t>Factor prices</w:t>
            </w:r>
          </w:p>
        </w:tc>
        <w:tc>
          <w:tcPr>
            <w:tcW w:w="1486" w:type="dxa"/>
          </w:tcPr>
          <w:p w14:paraId="42311496" w14:textId="77777777" w:rsidR="005D489F" w:rsidRDefault="005D489F">
            <w:pPr>
              <w:pStyle w:val="Compact"/>
              <w:jc w:val="center"/>
              <w:rPr>
                <w:rFonts w:ascii="Times New Roman" w:hAnsi="Times New Roman" w:cs="Times New Roman"/>
              </w:rPr>
            </w:pPr>
          </w:p>
        </w:tc>
        <w:tc>
          <w:tcPr>
            <w:tcW w:w="1134" w:type="dxa"/>
          </w:tcPr>
          <w:p w14:paraId="6FEF8C31" w14:textId="77777777" w:rsidR="005D489F" w:rsidRDefault="005D489F">
            <w:pPr>
              <w:pStyle w:val="Compact"/>
              <w:rPr>
                <w:rFonts w:ascii="Times New Roman" w:eastAsia="Calibri" w:hAnsi="Times New Roman" w:cs="Times New Roman"/>
              </w:rPr>
            </w:pPr>
          </w:p>
        </w:tc>
      </w:tr>
      <w:tr w:rsidR="005D489F" w14:paraId="401A10DA" w14:textId="77777777">
        <w:trPr>
          <w:jc w:val="center"/>
        </w:trPr>
        <w:tc>
          <w:tcPr>
            <w:tcW w:w="5172" w:type="dxa"/>
          </w:tcPr>
          <w:p w14:paraId="2445E654"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Interest rate</w:t>
            </w:r>
          </w:p>
        </w:tc>
        <w:tc>
          <w:tcPr>
            <w:tcW w:w="1486" w:type="dxa"/>
          </w:tcPr>
          <w:p w14:paraId="28A1DC6A" w14:textId="77777777" w:rsidR="005D489F" w:rsidRDefault="00000000">
            <w:pPr>
              <w:pStyle w:val="Compact"/>
              <w:jc w:val="center"/>
              <w:rPr>
                <w:rFonts w:ascii="Times New Roman" w:hAnsi="Times New Roman" w:cs="Times New Roman"/>
              </w:rPr>
            </w:pPr>
            <w:r>
              <w:rPr>
                <w:rFonts w:ascii="Times New Roman" w:hAnsi="Times New Roman" w:cs="Times New Roman"/>
              </w:rPr>
              <w:t>r</w:t>
            </w:r>
          </w:p>
        </w:tc>
        <w:tc>
          <w:tcPr>
            <w:tcW w:w="1134" w:type="dxa"/>
          </w:tcPr>
          <w:p w14:paraId="64919550" w14:textId="77777777" w:rsidR="005D489F" w:rsidRDefault="005D489F">
            <w:pPr>
              <w:pStyle w:val="Compact"/>
              <w:rPr>
                <w:rFonts w:ascii="Times New Roman" w:eastAsia="Calibri" w:hAnsi="Times New Roman" w:cs="Times New Roman"/>
              </w:rPr>
            </w:pPr>
          </w:p>
        </w:tc>
      </w:tr>
      <w:tr w:rsidR="005D489F" w14:paraId="1FDDC92A" w14:textId="77777777">
        <w:trPr>
          <w:jc w:val="center"/>
        </w:trPr>
        <w:tc>
          <w:tcPr>
            <w:tcW w:w="5172" w:type="dxa"/>
          </w:tcPr>
          <w:p w14:paraId="43055F86"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Wage</w:t>
            </w:r>
          </w:p>
        </w:tc>
        <w:tc>
          <w:tcPr>
            <w:tcW w:w="1486" w:type="dxa"/>
          </w:tcPr>
          <w:p w14:paraId="402E79D6" w14:textId="77777777" w:rsidR="005D489F" w:rsidRDefault="00000000">
            <w:pPr>
              <w:pStyle w:val="Compact"/>
              <w:jc w:val="center"/>
              <w:rPr>
                <w:rFonts w:ascii="Times New Roman" w:hAnsi="Times New Roman" w:cs="Times New Roman"/>
              </w:rPr>
            </w:pPr>
            <w:r>
              <w:rPr>
                <w:rFonts w:ascii="Times New Roman" w:hAnsi="Times New Roman" w:cs="Times New Roman"/>
              </w:rPr>
              <w:t>w</w:t>
            </w:r>
          </w:p>
        </w:tc>
        <w:tc>
          <w:tcPr>
            <w:tcW w:w="1134" w:type="dxa"/>
          </w:tcPr>
          <w:p w14:paraId="5204DEA2" w14:textId="77777777" w:rsidR="005D489F" w:rsidRDefault="005D489F">
            <w:pPr>
              <w:pStyle w:val="Compact"/>
              <w:rPr>
                <w:rFonts w:ascii="Times New Roman" w:eastAsia="Calibri" w:hAnsi="Times New Roman" w:cs="Times New Roman"/>
              </w:rPr>
            </w:pPr>
          </w:p>
        </w:tc>
      </w:tr>
      <w:tr w:rsidR="005D489F" w14:paraId="00B07F62" w14:textId="77777777">
        <w:trPr>
          <w:jc w:val="center"/>
        </w:trPr>
        <w:tc>
          <w:tcPr>
            <w:tcW w:w="5172" w:type="dxa"/>
          </w:tcPr>
          <w:p w14:paraId="1A7B21B5" w14:textId="77777777" w:rsidR="005D489F" w:rsidRDefault="00000000">
            <w:pPr>
              <w:pStyle w:val="Compact"/>
              <w:rPr>
                <w:rFonts w:ascii="Times New Roman" w:eastAsia="Calibri" w:hAnsi="Times New Roman" w:cs="Times New Roman"/>
                <w:b/>
                <w:bCs/>
                <w:lang w:val="es-MX"/>
              </w:rPr>
            </w:pPr>
            <w:r>
              <w:rPr>
                <w:rFonts w:ascii="Times New Roman" w:eastAsia="Calibri" w:hAnsi="Times New Roman" w:cs="Times New Roman"/>
                <w:b/>
                <w:bCs/>
              </w:rPr>
              <w:t>Health risk factors</w:t>
            </w:r>
          </w:p>
        </w:tc>
        <w:tc>
          <w:tcPr>
            <w:tcW w:w="1486" w:type="dxa"/>
          </w:tcPr>
          <w:p w14:paraId="00C8E13E" w14:textId="77777777" w:rsidR="005D489F" w:rsidRDefault="005D489F">
            <w:pPr>
              <w:pStyle w:val="Compact"/>
              <w:jc w:val="center"/>
              <w:rPr>
                <w:rFonts w:ascii="Times New Roman" w:eastAsia="Calibri" w:hAnsi="Times New Roman" w:cs="Times New Roman"/>
                <w:lang w:val="es-MX"/>
              </w:rPr>
            </w:pPr>
          </w:p>
        </w:tc>
        <w:tc>
          <w:tcPr>
            <w:tcW w:w="1134" w:type="dxa"/>
          </w:tcPr>
          <w:p w14:paraId="3575BBC0" w14:textId="77777777" w:rsidR="005D489F" w:rsidRDefault="005D489F">
            <w:pPr>
              <w:pStyle w:val="Compact"/>
              <w:rPr>
                <w:rFonts w:ascii="Times New Roman" w:eastAsia="Calibri" w:hAnsi="Times New Roman" w:cs="Times New Roman"/>
                <w:lang w:val="es-MX"/>
              </w:rPr>
            </w:pPr>
          </w:p>
        </w:tc>
      </w:tr>
      <w:tr w:rsidR="005D489F" w14:paraId="3901DC3E" w14:textId="77777777">
        <w:trPr>
          <w:jc w:val="center"/>
        </w:trPr>
        <w:tc>
          <w:tcPr>
            <w:tcW w:w="5172" w:type="dxa"/>
          </w:tcPr>
          <w:p w14:paraId="0E138E3F"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Determinant of health status in utility</w:t>
            </w:r>
          </w:p>
        </w:tc>
        <w:tc>
          <w:tcPr>
            <w:tcW w:w="1486" w:type="dxa"/>
          </w:tcPr>
          <w:p w14:paraId="1F44D0D8" w14:textId="77777777" w:rsidR="005D489F" w:rsidRDefault="00000000">
            <w:pPr>
              <w:pStyle w:val="Compact"/>
              <w:jc w:val="center"/>
            </w:pPr>
            <m:oMathPara>
              <m:oMath>
                <m:r>
                  <m:rPr>
                    <m:sty m:val="p"/>
                  </m:rPr>
                  <w:rPr>
                    <w:rFonts w:ascii="Cambria Math" w:hAnsi="Cambria Math" w:cs="Times New Roman"/>
                  </w:rPr>
                  <m:t>δ</m:t>
                </m:r>
              </m:oMath>
            </m:oMathPara>
          </w:p>
        </w:tc>
        <w:tc>
          <w:tcPr>
            <w:tcW w:w="1134" w:type="dxa"/>
          </w:tcPr>
          <w:p w14:paraId="2E0CB82A" w14:textId="77777777" w:rsidR="005D489F" w:rsidRDefault="005D489F">
            <w:pPr>
              <w:pStyle w:val="Compact"/>
              <w:rPr>
                <w:rFonts w:ascii="Times New Roman" w:eastAsia="Calibri" w:hAnsi="Times New Roman" w:cs="Times New Roman"/>
              </w:rPr>
            </w:pPr>
          </w:p>
        </w:tc>
      </w:tr>
      <w:tr w:rsidR="005D489F" w14:paraId="6DC4E2EE" w14:textId="77777777">
        <w:trPr>
          <w:trHeight w:val="371"/>
          <w:jc w:val="center"/>
        </w:trPr>
        <w:tc>
          <w:tcPr>
            <w:tcW w:w="5172" w:type="dxa"/>
          </w:tcPr>
          <w:p w14:paraId="176B027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Discount factor</w:t>
            </w:r>
          </w:p>
        </w:tc>
        <w:tc>
          <w:tcPr>
            <w:tcW w:w="1486" w:type="dxa"/>
          </w:tcPr>
          <w:p w14:paraId="7F4A5968" w14:textId="77777777" w:rsidR="005D489F" w:rsidRDefault="00000000">
            <w:pPr>
              <w:pStyle w:val="Compact"/>
              <w:jc w:val="center"/>
            </w:pPr>
            <m:oMathPara>
              <m:oMath>
                <m:r>
                  <m:rPr>
                    <m:sty m:val="p"/>
                  </m:rPr>
                  <w:rPr>
                    <w:rFonts w:ascii="Cambria Math" w:hAnsi="Cambria Math" w:cs="Times New Roman"/>
                  </w:rPr>
                  <m:t>χ</m:t>
                </m:r>
              </m:oMath>
            </m:oMathPara>
          </w:p>
        </w:tc>
        <w:tc>
          <w:tcPr>
            <w:tcW w:w="1134" w:type="dxa"/>
          </w:tcPr>
          <w:p w14:paraId="6254E43D" w14:textId="77777777" w:rsidR="005D489F" w:rsidRDefault="005D489F">
            <w:pPr>
              <w:pStyle w:val="Compact"/>
              <w:rPr>
                <w:rFonts w:ascii="Times New Roman" w:eastAsia="Calibri" w:hAnsi="Times New Roman" w:cs="Times New Roman"/>
              </w:rPr>
            </w:pPr>
          </w:p>
        </w:tc>
      </w:tr>
      <w:tr w:rsidR="005D489F" w14:paraId="087FE218" w14:textId="77777777">
        <w:trPr>
          <w:jc w:val="center"/>
        </w:trPr>
        <w:tc>
          <w:tcPr>
            <w:tcW w:w="5172" w:type="dxa"/>
          </w:tcPr>
          <w:p w14:paraId="3542BE72"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Floor consumption</w:t>
            </w:r>
          </w:p>
        </w:tc>
        <w:tc>
          <w:tcPr>
            <w:tcW w:w="1486" w:type="dxa"/>
          </w:tcPr>
          <w:p w14:paraId="5C90EA2A" w14:textId="77777777" w:rsidR="005D489F" w:rsidRDefault="00000000">
            <w:pPr>
              <w:pStyle w:val="Compact"/>
              <w:jc w:val="center"/>
              <w:rPr>
                <w:rFonts w:ascii="Times New Roman" w:hAnsi="Times New Roman" w:cs="Times New Roman"/>
              </w:rPr>
            </w:pPr>
            <w:proofErr w:type="spellStart"/>
            <w:r>
              <w:rPr>
                <w:rFonts w:ascii="Times New Roman" w:hAnsi="Times New Roman" w:cs="Times New Roman"/>
              </w:rPr>
              <w:t>c_floor</w:t>
            </w:r>
            <w:proofErr w:type="spellEnd"/>
          </w:p>
        </w:tc>
        <w:tc>
          <w:tcPr>
            <w:tcW w:w="1134" w:type="dxa"/>
          </w:tcPr>
          <w:p w14:paraId="3E74236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0.05</w:t>
            </w:r>
          </w:p>
        </w:tc>
      </w:tr>
      <w:tr w:rsidR="005D489F" w14:paraId="0C05B4BD" w14:textId="77777777">
        <w:trPr>
          <w:jc w:val="center"/>
        </w:trPr>
        <w:tc>
          <w:tcPr>
            <w:tcW w:w="5172" w:type="dxa"/>
          </w:tcPr>
          <w:p w14:paraId="2D116FDD"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Variance of the stochastic shock</w:t>
            </w:r>
          </w:p>
        </w:tc>
        <w:tc>
          <w:tcPr>
            <w:tcW w:w="1486" w:type="dxa"/>
          </w:tcPr>
          <w:p w14:paraId="10FD2D28" w14:textId="77777777" w:rsidR="005D489F" w:rsidRDefault="00000000">
            <w:pPr>
              <w:pStyle w:val="Compact"/>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z</m:t>
                    </m:r>
                  </m:sub>
                </m:sSub>
              </m:oMath>
            </m:oMathPara>
          </w:p>
        </w:tc>
        <w:tc>
          <w:tcPr>
            <w:tcW w:w="1134" w:type="dxa"/>
          </w:tcPr>
          <w:p w14:paraId="5BBA1007" w14:textId="77777777" w:rsidR="005D489F" w:rsidRDefault="00000000">
            <w:pPr>
              <w:pStyle w:val="Compact"/>
              <w:rPr>
                <w:rFonts w:ascii="Times New Roman" w:eastAsia="Calibri" w:hAnsi="Times New Roman" w:cs="Times New Roman"/>
              </w:rPr>
            </w:pPr>
            <w:r>
              <w:rPr>
                <w:rFonts w:ascii="Times New Roman" w:eastAsia="Calibri" w:hAnsi="Times New Roman" w:cs="Times New Roman"/>
              </w:rPr>
              <w:t>0.2</w:t>
            </w:r>
          </w:p>
        </w:tc>
      </w:tr>
    </w:tbl>
    <w:p w14:paraId="51F3621E" w14:textId="77777777" w:rsidR="005D489F" w:rsidRDefault="00000000">
      <w:pPr>
        <w:pStyle w:val="Heading1"/>
      </w:pPr>
      <w:r>
        <w:t>Results</w:t>
      </w:r>
    </w:p>
    <w:p w14:paraId="0108003B" w14:textId="5DFEBEDB" w:rsidR="005D489F" w:rsidRDefault="00914778">
      <w:pPr>
        <w:spacing w:line="360" w:lineRule="auto"/>
        <w:jc w:val="both"/>
        <w:rPr>
          <w:rFonts w:ascii="Times New Roman" w:hAnsi="Times New Roman" w:cs="Times New Roman"/>
          <w:sz w:val="24"/>
          <w:szCs w:val="24"/>
        </w:rPr>
      </w:pPr>
      <w:r w:rsidRPr="00914778">
        <w:rPr>
          <w:rFonts w:ascii="Times New Roman" w:hAnsi="Times New Roman" w:cs="Times New Roman"/>
          <w:sz w:val="24"/>
          <w:szCs w:val="24"/>
        </w:rPr>
        <w:t>The reference model corresponds to the calibrated life-cycle model without health heterogeneity or stochastic medical expenditures, following Fehr and Kindermann (2018).</w:t>
      </w:r>
      <w:r w:rsidRPr="00914778">
        <w:rPr>
          <w:rFonts w:ascii="Times New Roman" w:hAnsi="Times New Roman" w:cs="Times New Roman"/>
          <w:sz w:val="24"/>
          <w:szCs w:val="24"/>
        </w:rPr>
        <w:t xml:space="preserve"> </w:t>
      </w:r>
      <w:r w:rsidR="00000000">
        <w:rPr>
          <w:rFonts w:ascii="Times New Roman" w:hAnsi="Times New Roman" w:cs="Times New Roman"/>
          <w:sz w:val="24"/>
          <w:szCs w:val="24"/>
        </w:rPr>
        <w:t xml:space="preserve">The results are presented in Table 3. The first figure corresponds to the partial model defined by the reference literature, the second presents the results with the parameters defined for </w:t>
      </w:r>
      <w:r w:rsidR="00000000">
        <w:rPr>
          <w:rFonts w:ascii="Times New Roman" w:hAnsi="Times New Roman" w:cs="Times New Roman"/>
          <w:sz w:val="24"/>
          <w:szCs w:val="24"/>
        </w:rPr>
        <w:lastRenderedPageBreak/>
        <w:t>Mexico, first for consumption, then for income and, finally, for the proportion of out-of-pocket spending for health services.</w:t>
      </w:r>
    </w:p>
    <w:p w14:paraId="2AFD770E"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Firstly, it is observed that, although the literature speaks of consumption more concentrated towards ages of 60 and over, in Mexico, consumption is higher in the population under 60 years of age. Furthermore, the group with higher skills has a higher level of consumption than the group with lower skills as a result of lower income generated by their health condition. It is observed that, at average levels, the greatest gap occurs in consumption levels due to poor health conditions. </w:t>
      </w:r>
    </w:p>
    <w:p w14:paraId="58CD2096"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The results coincide with the intuition that tells us that, at a certain level of skills, individuals with a good health condition consume more than individuals with a poor health condition. Furthermore, the proportion of individuals with poor health is higher in the less qualified group than in the more skilled group. </w:t>
      </w:r>
    </w:p>
    <w:p w14:paraId="5068114A"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In Mexico the income practically stagnates after the age of 30. Unlike the reference model, which continues to increase from 30 to 50 years. This is due to a selection effect, in which an individual in poor health is more likely to also have a lower income, while an individual in good health has higher productivity.</w:t>
      </w:r>
    </w:p>
    <w:p w14:paraId="436C3087" w14:textId="77777777" w:rsidR="005D489F" w:rsidRDefault="00000000">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Thirdly, in terms of the proportion of income that is borrowed as a result of greater spending due to health conditions. In the reference model, this fraction increases around age 60, due to health needs, since, by definition of the model, there is a precautionary effect in which savings are made to ensure out-of-pocket expenses in future years. However, in Mexico, this begins to increase from the age of 30. Government transfers and subsidies would have to increase to ensure that individuals do not end up with a negative level of consumption due to out-of-pocket health expenditures that exceed their level of income and asset accumulation.</w:t>
      </w:r>
    </w:p>
    <w:p w14:paraId="288E936B" w14:textId="77777777" w:rsidR="005D489F" w:rsidRDefault="005D489F">
      <w:pPr>
        <w:sectPr w:rsidR="005D489F">
          <w:pgSz w:w="12240" w:h="15840"/>
          <w:pgMar w:top="1417" w:right="1701" w:bottom="1417" w:left="1701" w:header="0" w:footer="0" w:gutter="0"/>
          <w:cols w:space="720"/>
        </w:sectPr>
      </w:pPr>
    </w:p>
    <w:p w14:paraId="00BA4AB0" w14:textId="77777777" w:rsidR="005D489F" w:rsidRDefault="00000000">
      <w:pPr>
        <w:spacing w:line="360" w:lineRule="auto"/>
        <w:ind w:firstLine="708"/>
        <w:jc w:val="center"/>
        <w:rPr>
          <w:rFonts w:ascii="Times New Roman" w:hAnsi="Times New Roman" w:cs="Times New Roman"/>
          <w:iCs/>
        </w:rPr>
      </w:pPr>
      <w:r>
        <w:rPr>
          <w:rFonts w:ascii="Times New Roman" w:hAnsi="Times New Roman" w:cs="Times New Roman"/>
          <w:i/>
          <w:iCs/>
        </w:rPr>
        <w:lastRenderedPageBreak/>
        <w:t>Figure</w:t>
      </w:r>
      <w:r>
        <w:rPr>
          <w:rFonts w:ascii="Times New Roman" w:hAnsi="Times New Roman" w:cs="Times New Roman"/>
          <w:iCs/>
        </w:rPr>
        <w:t xml:space="preserve"> 3. Consumption, income and the ratio of health expenditures to income.</w:t>
      </w:r>
    </w:p>
    <w:tbl>
      <w:tblPr>
        <w:tblStyle w:val="Tablaconcuadrcula"/>
        <w:tblW w:w="14390" w:type="dxa"/>
        <w:tblLook w:val="04A0" w:firstRow="1" w:lastRow="0" w:firstColumn="1" w:lastColumn="0" w:noHBand="0" w:noVBand="1"/>
      </w:tblPr>
      <w:tblGrid>
        <w:gridCol w:w="7229"/>
        <w:gridCol w:w="7161"/>
      </w:tblGrid>
      <w:tr w:rsidR="005D489F" w14:paraId="5748FA49" w14:textId="77777777">
        <w:tc>
          <w:tcPr>
            <w:tcW w:w="7225" w:type="dxa"/>
          </w:tcPr>
          <w:p w14:paraId="05CFFB1D"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Reference Model</w:t>
            </w:r>
          </w:p>
        </w:tc>
        <w:tc>
          <w:tcPr>
            <w:tcW w:w="7165" w:type="dxa"/>
          </w:tcPr>
          <w:p w14:paraId="16E12B5B"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Mexico</w:t>
            </w:r>
          </w:p>
        </w:tc>
      </w:tr>
      <w:tr w:rsidR="005D489F" w14:paraId="06764DBB" w14:textId="77777777">
        <w:tc>
          <w:tcPr>
            <w:tcW w:w="7225" w:type="dxa"/>
          </w:tcPr>
          <w:p w14:paraId="25B6B43E" w14:textId="77777777" w:rsidR="005D489F" w:rsidRDefault="00000000">
            <w:pPr>
              <w:spacing w:line="360" w:lineRule="auto"/>
              <w:jc w:val="both"/>
              <w:rPr>
                <w:rFonts w:ascii="Times New Roman" w:hAnsi="Times New Roman" w:cs="Times New Roman"/>
              </w:rPr>
            </w:pPr>
            <w:r>
              <w:rPr>
                <w:noProof/>
              </w:rPr>
              <w:drawing>
                <wp:inline distT="0" distB="0" distL="0" distR="0" wp14:anchorId="0A9F3850" wp14:editId="193FFD27">
                  <wp:extent cx="4391025" cy="2634615"/>
                  <wp:effectExtent l="0" t="0" r="0" b="0"/>
                  <wp:docPr id="10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n 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BAAAAAAAAAAAAAAAAAAAAAAAAAAAAAAAAAAAAAxsAADUQAAAAAAAAAAAAAAAAAAAoAAAACAAAAAEAAAABAAAA"/>
                              </a:ext>
                            </a:extLst>
                          </pic:cNvPicPr>
                        </pic:nvPicPr>
                        <pic:blipFill>
                          <a:blip r:embed="rId6"/>
                          <a:stretch>
                            <a:fillRect/>
                          </a:stretch>
                        </pic:blipFill>
                        <pic:spPr>
                          <a:xfrm>
                            <a:off x="0" y="0"/>
                            <a:ext cx="4391025" cy="2634615"/>
                          </a:xfrm>
                          <a:prstGeom prst="rect">
                            <a:avLst/>
                          </a:prstGeom>
                          <a:noFill/>
                          <a:ln w="12700">
                            <a:noFill/>
                          </a:ln>
                        </pic:spPr>
                      </pic:pic>
                    </a:graphicData>
                  </a:graphic>
                </wp:inline>
              </w:drawing>
            </w:r>
          </w:p>
        </w:tc>
        <w:tc>
          <w:tcPr>
            <w:tcW w:w="7165" w:type="dxa"/>
          </w:tcPr>
          <w:p w14:paraId="6D2D85E3" w14:textId="77777777" w:rsidR="005D489F" w:rsidRDefault="00000000">
            <w:pPr>
              <w:spacing w:line="360" w:lineRule="auto"/>
              <w:jc w:val="both"/>
              <w:rPr>
                <w:rFonts w:ascii="Times New Roman" w:hAnsi="Times New Roman" w:cs="Times New Roman"/>
              </w:rPr>
            </w:pPr>
            <w:r>
              <w:rPr>
                <w:noProof/>
              </w:rPr>
              <w:drawing>
                <wp:inline distT="0" distB="0" distL="0" distR="0" wp14:anchorId="46DF7B76" wp14:editId="069043D9">
                  <wp:extent cx="4411980" cy="2593975"/>
                  <wp:effectExtent l="0" t="0" r="0" b="0"/>
                  <wp:docPr id="10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n 8"/>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Dg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CAAAAAAAAAAAAAAAAAAAAAAAAAAAAAAAAAAAAJBsAAPUPAAAAAAAAAAAAAAAAAAAoAAAACAAAAAEAAAABAAAA"/>
                              </a:ext>
                            </a:extLst>
                          </pic:cNvPicPr>
                        </pic:nvPicPr>
                        <pic:blipFill>
                          <a:blip r:embed="rId7"/>
                          <a:srcRect r="17600"/>
                          <a:stretch>
                            <a:fillRect/>
                          </a:stretch>
                        </pic:blipFill>
                        <pic:spPr>
                          <a:xfrm>
                            <a:off x="0" y="0"/>
                            <a:ext cx="4411980" cy="2593975"/>
                          </a:xfrm>
                          <a:prstGeom prst="rect">
                            <a:avLst/>
                          </a:prstGeom>
                          <a:noFill/>
                          <a:ln w="12700">
                            <a:noFill/>
                          </a:ln>
                        </pic:spPr>
                      </pic:pic>
                    </a:graphicData>
                  </a:graphic>
                </wp:inline>
              </w:drawing>
            </w:r>
          </w:p>
        </w:tc>
      </w:tr>
      <w:tr w:rsidR="005D489F" w14:paraId="1A08B457" w14:textId="77777777">
        <w:tc>
          <w:tcPr>
            <w:tcW w:w="7225" w:type="dxa"/>
          </w:tcPr>
          <w:p w14:paraId="0390A095" w14:textId="77777777" w:rsidR="005D489F" w:rsidRDefault="00000000">
            <w:pPr>
              <w:spacing w:line="360" w:lineRule="auto"/>
              <w:jc w:val="both"/>
              <w:rPr>
                <w:rFonts w:ascii="Times New Roman" w:hAnsi="Times New Roman" w:cs="Times New Roman"/>
              </w:rPr>
            </w:pPr>
            <w:r>
              <w:rPr>
                <w:noProof/>
              </w:rPr>
              <w:drawing>
                <wp:inline distT="0" distB="0" distL="0" distR="0" wp14:anchorId="67879779" wp14:editId="57CAED46">
                  <wp:extent cx="4455795" cy="2646045"/>
                  <wp:effectExtent l="0" t="0" r="0" b="0"/>
                  <wp:docPr id="1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n 4"/>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yBw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DAAAAAAAAAAAAAAAAAAAAAAAAAAAAAAAAAAAAaRsAAEcQAAAAAAAAAAAAAAAAAAAoAAAACAAAAAEAAAABAAAA"/>
                              </a:ext>
                            </a:extLst>
                          </pic:cNvPicPr>
                        </pic:nvPicPr>
                        <pic:blipFill>
                          <a:blip r:embed="rId8"/>
                          <a:srcRect r="18420"/>
                          <a:stretch>
                            <a:fillRect/>
                          </a:stretch>
                        </pic:blipFill>
                        <pic:spPr>
                          <a:xfrm>
                            <a:off x="0" y="0"/>
                            <a:ext cx="4455795" cy="2646045"/>
                          </a:xfrm>
                          <a:prstGeom prst="rect">
                            <a:avLst/>
                          </a:prstGeom>
                          <a:noFill/>
                          <a:ln w="12700">
                            <a:noFill/>
                          </a:ln>
                        </pic:spPr>
                      </pic:pic>
                    </a:graphicData>
                  </a:graphic>
                </wp:inline>
              </w:drawing>
            </w:r>
          </w:p>
        </w:tc>
        <w:tc>
          <w:tcPr>
            <w:tcW w:w="7165" w:type="dxa"/>
          </w:tcPr>
          <w:p w14:paraId="5E6D1698" w14:textId="77777777" w:rsidR="005D489F" w:rsidRDefault="00000000">
            <w:pPr>
              <w:spacing w:line="360" w:lineRule="auto"/>
              <w:jc w:val="both"/>
              <w:rPr>
                <w:rFonts w:ascii="Times New Roman" w:hAnsi="Times New Roman" w:cs="Times New Roman"/>
              </w:rPr>
            </w:pPr>
            <w:r>
              <w:rPr>
                <w:noProof/>
              </w:rPr>
              <w:drawing>
                <wp:inline distT="0" distB="0" distL="0" distR="0" wp14:anchorId="1EFD7AFC" wp14:editId="7D63E63E">
                  <wp:extent cx="4293870" cy="2499995"/>
                  <wp:effectExtent l="0" t="0" r="0" b="0"/>
                  <wp:docPr id="11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n 9"/>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CO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VAQAAB6AAAAAAAAAEAAAAAAAAAAAAAAAAAAAAAAAAAAAAAAAAAAAAahoAAGEPAAAAAAAAAAAAAAAAAAAoAAAACAAAAAEAAAABAAAA"/>
                              </a:ext>
                            </a:extLst>
                          </pic:cNvPicPr>
                        </pic:nvPicPr>
                        <pic:blipFill>
                          <a:blip r:embed="rId9"/>
                          <a:srcRect r="16780"/>
                          <a:stretch>
                            <a:fillRect/>
                          </a:stretch>
                        </pic:blipFill>
                        <pic:spPr>
                          <a:xfrm>
                            <a:off x="0" y="0"/>
                            <a:ext cx="4293870" cy="2499995"/>
                          </a:xfrm>
                          <a:prstGeom prst="rect">
                            <a:avLst/>
                          </a:prstGeom>
                          <a:noFill/>
                          <a:ln w="12700">
                            <a:noFill/>
                          </a:ln>
                        </pic:spPr>
                      </pic:pic>
                    </a:graphicData>
                  </a:graphic>
                </wp:inline>
              </w:drawing>
            </w:r>
          </w:p>
        </w:tc>
      </w:tr>
    </w:tbl>
    <w:p w14:paraId="5AFB2F64" w14:textId="77777777" w:rsidR="005D489F" w:rsidRDefault="005D489F">
      <w:pPr>
        <w:spacing w:line="360" w:lineRule="auto"/>
        <w:ind w:firstLine="708"/>
        <w:jc w:val="both"/>
        <w:rPr>
          <w:rFonts w:ascii="Times New Roman" w:hAnsi="Times New Roman" w:cs="Times New Roman"/>
          <w:sz w:val="24"/>
          <w:szCs w:val="24"/>
        </w:rPr>
      </w:pPr>
    </w:p>
    <w:p w14:paraId="7155FB99" w14:textId="77777777" w:rsidR="005D489F" w:rsidRDefault="005D489F">
      <w:pPr>
        <w:spacing w:line="360" w:lineRule="auto"/>
        <w:ind w:firstLine="708"/>
        <w:jc w:val="both"/>
        <w:rPr>
          <w:rFonts w:ascii="Times New Roman" w:hAnsi="Times New Roman" w:cs="Times New Roman"/>
          <w:sz w:val="24"/>
          <w:szCs w:val="24"/>
        </w:rPr>
      </w:pPr>
    </w:p>
    <w:p w14:paraId="0AA2087B" w14:textId="77777777" w:rsidR="005D489F" w:rsidRDefault="005D489F">
      <w:pPr>
        <w:spacing w:line="360" w:lineRule="auto"/>
        <w:ind w:firstLine="708"/>
        <w:jc w:val="both"/>
        <w:rPr>
          <w:rFonts w:ascii="Times New Roman" w:hAnsi="Times New Roman" w:cs="Times New Roman"/>
          <w:sz w:val="24"/>
          <w:szCs w:val="24"/>
        </w:rPr>
      </w:pPr>
    </w:p>
    <w:p w14:paraId="052C1FBE" w14:textId="77777777" w:rsidR="005D489F" w:rsidRDefault="005D489F">
      <w:pPr>
        <w:spacing w:line="360" w:lineRule="auto"/>
        <w:ind w:firstLine="708"/>
        <w:jc w:val="both"/>
        <w:rPr>
          <w:rFonts w:ascii="Times New Roman" w:hAnsi="Times New Roman" w:cs="Times New Roman"/>
          <w:sz w:val="24"/>
          <w:szCs w:val="24"/>
        </w:rPr>
      </w:pPr>
    </w:p>
    <w:p w14:paraId="08CA7353" w14:textId="77777777" w:rsidR="005D489F" w:rsidRDefault="005D489F">
      <w:pPr>
        <w:spacing w:line="360" w:lineRule="auto"/>
        <w:ind w:firstLine="708"/>
        <w:jc w:val="both"/>
        <w:rPr>
          <w:rFonts w:ascii="Times New Roman" w:hAnsi="Times New Roman" w:cs="Times New Roman"/>
          <w:sz w:val="24"/>
          <w:szCs w:val="24"/>
        </w:rPr>
      </w:pPr>
    </w:p>
    <w:tbl>
      <w:tblPr>
        <w:tblStyle w:val="Tablaconcuadrcula"/>
        <w:tblW w:w="14390" w:type="dxa"/>
        <w:tblLook w:val="04A0" w:firstRow="1" w:lastRow="0" w:firstColumn="1" w:lastColumn="0" w:noHBand="0" w:noVBand="1"/>
      </w:tblPr>
      <w:tblGrid>
        <w:gridCol w:w="7137"/>
        <w:gridCol w:w="7253"/>
      </w:tblGrid>
      <w:tr w:rsidR="005D489F" w14:paraId="37F16371" w14:textId="77777777">
        <w:tc>
          <w:tcPr>
            <w:tcW w:w="7137" w:type="dxa"/>
          </w:tcPr>
          <w:p w14:paraId="59B6EC93"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Reference Model</w:t>
            </w:r>
          </w:p>
        </w:tc>
        <w:tc>
          <w:tcPr>
            <w:tcW w:w="7253" w:type="dxa"/>
          </w:tcPr>
          <w:p w14:paraId="599EB0CC" w14:textId="77777777" w:rsidR="005D489F" w:rsidRDefault="00000000">
            <w:pPr>
              <w:spacing w:line="360" w:lineRule="auto"/>
              <w:jc w:val="center"/>
              <w:rPr>
                <w:rFonts w:ascii="Times New Roman" w:hAnsi="Times New Roman" w:cs="Times New Roman"/>
                <w:b/>
                <w:bCs/>
              </w:rPr>
            </w:pPr>
            <w:r>
              <w:rPr>
                <w:rFonts w:ascii="Times New Roman" w:hAnsi="Times New Roman" w:cs="Times New Roman"/>
                <w:b/>
                <w:bCs/>
              </w:rPr>
              <w:t>Mexico</w:t>
            </w:r>
          </w:p>
        </w:tc>
      </w:tr>
      <w:tr w:rsidR="005D489F" w14:paraId="74D2339F" w14:textId="77777777">
        <w:tc>
          <w:tcPr>
            <w:tcW w:w="7137" w:type="dxa"/>
          </w:tcPr>
          <w:p w14:paraId="4280BE04" w14:textId="77777777" w:rsidR="005D489F" w:rsidRDefault="00000000">
            <w:pPr>
              <w:spacing w:line="360" w:lineRule="auto"/>
              <w:jc w:val="both"/>
              <w:rPr>
                <w:rFonts w:ascii="Times New Roman" w:hAnsi="Times New Roman" w:cs="Times New Roman"/>
              </w:rPr>
            </w:pPr>
            <w:r>
              <w:rPr>
                <w:noProof/>
              </w:rPr>
              <w:drawing>
                <wp:inline distT="0" distB="0" distL="0" distR="0" wp14:anchorId="7C84CA69" wp14:editId="0D5621F2">
                  <wp:extent cx="4443095" cy="2604770"/>
                  <wp:effectExtent l="0" t="0" r="0" b="0"/>
                  <wp:docPr id="1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DH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QAAB6AAAAAAAAAFAAAAAAAAAAAAAAAAAAAAAAAAAAAAAAAAAAAAVRsAAAYQAAAAAAAAAAAAAAAAAAAoAAAACAAAAAEAAAABAAAA"/>
                              </a:ext>
                            </a:extLst>
                          </pic:cNvPicPr>
                        </pic:nvPicPr>
                        <pic:blipFill>
                          <a:blip r:embed="rId10"/>
                          <a:srcRect r="17350"/>
                          <a:stretch>
                            <a:fillRect/>
                          </a:stretch>
                        </pic:blipFill>
                        <pic:spPr>
                          <a:xfrm>
                            <a:off x="0" y="0"/>
                            <a:ext cx="4443095" cy="2604770"/>
                          </a:xfrm>
                          <a:prstGeom prst="rect">
                            <a:avLst/>
                          </a:prstGeom>
                          <a:noFill/>
                          <a:ln w="12700">
                            <a:noFill/>
                          </a:ln>
                        </pic:spPr>
                      </pic:pic>
                    </a:graphicData>
                  </a:graphic>
                </wp:inline>
              </w:drawing>
            </w:r>
          </w:p>
        </w:tc>
        <w:tc>
          <w:tcPr>
            <w:tcW w:w="7253" w:type="dxa"/>
          </w:tcPr>
          <w:p w14:paraId="600682BB" w14:textId="77777777" w:rsidR="005D489F" w:rsidRDefault="00000000">
            <w:pPr>
              <w:spacing w:line="360" w:lineRule="auto"/>
              <w:jc w:val="both"/>
              <w:rPr>
                <w:rFonts w:ascii="Times New Roman" w:hAnsi="Times New Roman" w:cs="Times New Roman"/>
              </w:rPr>
            </w:pPr>
            <w:r>
              <w:rPr>
                <w:noProof/>
              </w:rPr>
              <w:drawing>
                <wp:inline distT="0" distB="0" distL="0" distR="0" wp14:anchorId="3C6107DF" wp14:editId="7177D05F">
                  <wp:extent cx="4518025" cy="2630170"/>
                  <wp:effectExtent l="0" t="0" r="0" b="0"/>
                  <wp:docPr id="11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n 11"/>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COBg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bAQAAB6AAAAAAAAAGAAAAAAAAAAAAAAAAAAAAAAAAAAAAAAAAAAAAyxsAAC4QAAAAAAAAAAAAAAAAAAAoAAAACAAAAAEAAAABAAAA"/>
                              </a:ext>
                            </a:extLst>
                          </pic:cNvPicPr>
                        </pic:nvPicPr>
                        <pic:blipFill>
                          <a:blip r:embed="rId11"/>
                          <a:srcRect r="16780"/>
                          <a:stretch>
                            <a:fillRect/>
                          </a:stretch>
                        </pic:blipFill>
                        <pic:spPr>
                          <a:xfrm>
                            <a:off x="0" y="0"/>
                            <a:ext cx="4518025" cy="2630170"/>
                          </a:xfrm>
                          <a:prstGeom prst="rect">
                            <a:avLst/>
                          </a:prstGeom>
                          <a:noFill/>
                          <a:ln w="12700">
                            <a:noFill/>
                          </a:ln>
                        </pic:spPr>
                      </pic:pic>
                    </a:graphicData>
                  </a:graphic>
                </wp:inline>
              </w:drawing>
            </w:r>
          </w:p>
        </w:tc>
      </w:tr>
      <w:tr w:rsidR="005D489F" w14:paraId="3A77624B" w14:textId="77777777">
        <w:tc>
          <w:tcPr>
            <w:tcW w:w="7137" w:type="dxa"/>
          </w:tcPr>
          <w:p w14:paraId="3F1345FC" w14:textId="77777777" w:rsidR="005D489F" w:rsidRDefault="005D489F">
            <w:pPr>
              <w:spacing w:line="360" w:lineRule="auto"/>
              <w:jc w:val="both"/>
              <w:rPr>
                <w:rFonts w:ascii="Times New Roman" w:hAnsi="Times New Roman" w:cs="Times New Roman"/>
              </w:rPr>
            </w:pPr>
          </w:p>
        </w:tc>
        <w:tc>
          <w:tcPr>
            <w:tcW w:w="7253" w:type="dxa"/>
          </w:tcPr>
          <w:p w14:paraId="6170ABB0" w14:textId="77777777" w:rsidR="005D489F" w:rsidRDefault="005D489F">
            <w:pPr>
              <w:spacing w:line="360" w:lineRule="auto"/>
              <w:jc w:val="both"/>
              <w:rPr>
                <w:rFonts w:ascii="Times New Roman" w:hAnsi="Times New Roman" w:cs="Times New Roman"/>
              </w:rPr>
            </w:pPr>
          </w:p>
        </w:tc>
      </w:tr>
    </w:tbl>
    <w:p w14:paraId="1102AB8B" w14:textId="77777777" w:rsidR="005D489F" w:rsidRDefault="005D489F">
      <w:pPr>
        <w:sectPr w:rsidR="005D489F">
          <w:pgSz w:w="15840" w:h="12240" w:orient="landscape"/>
          <w:pgMar w:top="720" w:right="720" w:bottom="720" w:left="720" w:header="0" w:footer="0" w:gutter="0"/>
          <w:cols w:space="720"/>
        </w:sectPr>
      </w:pPr>
    </w:p>
    <w:p w14:paraId="2E7BB43C" w14:textId="77777777" w:rsidR="005D489F" w:rsidRDefault="005D489F">
      <w:pPr>
        <w:spacing w:line="360" w:lineRule="auto"/>
        <w:rPr>
          <w:rFonts w:ascii="Times New Roman" w:hAnsi="Times New Roman" w:cs="Times New Roman"/>
          <w:sz w:val="24"/>
          <w:szCs w:val="24"/>
        </w:rPr>
      </w:pPr>
    </w:p>
    <w:p w14:paraId="5ABE393D" w14:textId="77777777" w:rsidR="005D489F" w:rsidRDefault="005D489F"/>
    <w:p w14:paraId="4EA6B206" w14:textId="77777777" w:rsidR="005D489F" w:rsidRDefault="00000000">
      <w:pPr>
        <w:pStyle w:val="Heading2"/>
      </w:pPr>
      <w:r>
        <w:t>Average Consumption Over the Life Cycle</w:t>
      </w:r>
    </w:p>
    <w:p w14:paraId="6C087A5A" w14:textId="77777777" w:rsidR="005D489F" w:rsidRDefault="00000000">
      <w:r>
        <w:rPr>
          <w:noProof/>
        </w:rPr>
        <w:drawing>
          <wp:inline distT="0" distB="0" distL="0" distR="0" wp14:anchorId="1C81CEF7" wp14:editId="3AED9659">
            <wp:extent cx="5612130" cy="3306445"/>
            <wp:effectExtent l="0" t="0" r="0" b="0"/>
            <wp:docPr id="1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n 5"/>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fAQAAB6AAAAAAAAAAAAAAAAAAAAAAAAAAAAAAAAAAAAAAAAAAAAAAhiIAAFcUAAAAAAAAAAAAAAAAAAAoAAAACAAAAAEAAAABAAAA"/>
                        </a:ext>
                      </a:extLst>
                    </pic:cNvPicPr>
                  </pic:nvPicPr>
                  <pic:blipFill>
                    <a:blip r:embed="rId12"/>
                    <a:stretch>
                      <a:fillRect/>
                    </a:stretch>
                  </pic:blipFill>
                  <pic:spPr>
                    <a:xfrm>
                      <a:off x="0" y="0"/>
                      <a:ext cx="5612130" cy="3306445"/>
                    </a:xfrm>
                    <a:prstGeom prst="rect">
                      <a:avLst/>
                    </a:prstGeom>
                    <a:noFill/>
                    <a:ln w="12700">
                      <a:noFill/>
                    </a:ln>
                  </pic:spPr>
                </pic:pic>
              </a:graphicData>
            </a:graphic>
          </wp:inline>
        </w:drawing>
      </w:r>
    </w:p>
    <w:p w14:paraId="1C4AB74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average consumption profile (averaging over health states) reveals the classic life-cycle pattern with important deviations:</w:t>
      </w:r>
    </w:p>
    <w:p w14:paraId="7966A7F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Accumulation phase (ages 20-45):</w:t>
      </w:r>
      <w:r>
        <w:rPr>
          <w:rFonts w:ascii="Times New Roman" w:hAnsi="Times New Roman" w:cs="Times New Roman"/>
          <w:sz w:val="24"/>
          <w:szCs w:val="24"/>
        </w:rPr>
        <w:t xml:space="preserve"> Consumption grows from 0.36 to 1.48, representing a </w:t>
      </w:r>
      <w:r>
        <w:rPr>
          <w:rFonts w:ascii="Times New Roman" w:hAnsi="Times New Roman" w:cs="Times New Roman"/>
          <w:b/>
          <w:bCs/>
          <w:sz w:val="24"/>
          <w:szCs w:val="24"/>
        </w:rPr>
        <w:t>311% increase</w:t>
      </w:r>
      <w:r>
        <w:rPr>
          <w:rFonts w:ascii="Times New Roman" w:hAnsi="Times New Roman" w:cs="Times New Roman"/>
          <w:sz w:val="24"/>
          <w:szCs w:val="24"/>
        </w:rPr>
        <w:t xml:space="preserve"> over 25 years, or approximately </w:t>
      </w:r>
      <w:r>
        <w:rPr>
          <w:rFonts w:ascii="Times New Roman" w:hAnsi="Times New Roman" w:cs="Times New Roman"/>
          <w:b/>
          <w:bCs/>
          <w:sz w:val="24"/>
          <w:szCs w:val="24"/>
        </w:rPr>
        <w:t>3.4% annual growth</w:t>
      </w:r>
      <w:r>
        <w:rPr>
          <w:rFonts w:ascii="Times New Roman" w:hAnsi="Times New Roman" w:cs="Times New Roman"/>
          <w:sz w:val="24"/>
          <w:szCs w:val="24"/>
        </w:rPr>
        <w:t>. This reflects rising labor productivity with experience and asset accumulation.</w:t>
      </w:r>
    </w:p>
    <w:p w14:paraId="724681E6"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Retirement plateau (ages 45-70):</w:t>
      </w:r>
      <w:r>
        <w:rPr>
          <w:rFonts w:ascii="Times New Roman" w:hAnsi="Times New Roman" w:cs="Times New Roman"/>
          <w:sz w:val="24"/>
          <w:szCs w:val="24"/>
        </w:rPr>
        <w:t xml:space="preserve"> Consumption remains remarkably stable between 1.43-1.47, declining by only </w:t>
      </w:r>
      <w:r>
        <w:rPr>
          <w:rFonts w:ascii="Times New Roman" w:hAnsi="Times New Roman" w:cs="Times New Roman"/>
          <w:b/>
          <w:bCs/>
          <w:sz w:val="24"/>
          <w:szCs w:val="24"/>
        </w:rPr>
        <w:t>1.3% over 25 years</w:t>
      </w:r>
      <w:r>
        <w:rPr>
          <w:rFonts w:ascii="Times New Roman" w:hAnsi="Times New Roman" w:cs="Times New Roman"/>
          <w:sz w:val="24"/>
          <w:szCs w:val="24"/>
        </w:rPr>
        <w:t>. This near-flat profile is maintained through a combination of pension income, asset decumulation, and government transfers. The model successfully replicates the empirical regularity of consumption smoothing in retirement.</w:t>
      </w:r>
    </w:p>
    <w:p w14:paraId="15F2466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Late-life decline (ages 70-95):</w:t>
      </w:r>
      <w:r>
        <w:rPr>
          <w:rFonts w:ascii="Times New Roman" w:hAnsi="Times New Roman" w:cs="Times New Roman"/>
          <w:sz w:val="24"/>
          <w:szCs w:val="24"/>
        </w:rPr>
        <w:t xml:space="preserve"> Consumption falls from 1.43 to 0.66, representing a </w:t>
      </w:r>
      <w:r>
        <w:rPr>
          <w:rFonts w:ascii="Times New Roman" w:hAnsi="Times New Roman" w:cs="Times New Roman"/>
          <w:b/>
          <w:bCs/>
          <w:sz w:val="24"/>
          <w:szCs w:val="24"/>
        </w:rPr>
        <w:t>54% decline</w:t>
      </w:r>
      <w:r>
        <w:rPr>
          <w:rFonts w:ascii="Times New Roman" w:hAnsi="Times New Roman" w:cs="Times New Roman"/>
          <w:sz w:val="24"/>
          <w:szCs w:val="24"/>
        </w:rPr>
        <w:t>. This reflects: (a) depletion of assets, (b) rising out-of-pocket health costs not covered by insurance, and (c) health deterioration reducing utility from consumption. The sharp drop highlights the vulnerability of the elderly to health shocks.</w:t>
      </w:r>
    </w:p>
    <w:p w14:paraId="0A82810F"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Consumption by health status</w:t>
      </w:r>
      <w:r>
        <w:rPr>
          <w:rFonts w:ascii="Times New Roman" w:hAnsi="Times New Roman" w:cs="Times New Roman"/>
          <w:sz w:val="24"/>
          <w:szCs w:val="24"/>
        </w:rPr>
        <w:t xml:space="preserve"> reveals persistent inequality:</w:t>
      </w:r>
    </w:p>
    <w:p w14:paraId="4B9DC80F"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30: good health = 0.845, bad health = 0.357 → gap of 57.8%</w:t>
      </w:r>
    </w:p>
    <w:p w14:paraId="7F10B658"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50: good health = 1.492, bad health = 0.824 → gap of 44.8%</w:t>
      </w:r>
    </w:p>
    <w:p w14:paraId="3F305870" w14:textId="77777777" w:rsidR="005D489F" w:rsidRDefault="00000000">
      <w:pPr>
        <w:numPr>
          <w:ilvl w:val="0"/>
          <w:numId w:val="14"/>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70: good health = 1.660, bad health = 1.458 → gap of 12.2%</w:t>
      </w:r>
    </w:p>
    <w:p w14:paraId="3CBD8DF0"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narrowing gap at older ages (from 58% at age 30 to 12% at age 70) reflects the protective effect of government transfers and pensions that provide a consumption floor in retirement, compressing the distribution between healthy and sick individuals.</w:t>
      </w:r>
    </w:p>
    <w:p w14:paraId="4EFB1471" w14:textId="77777777" w:rsidR="005D489F" w:rsidRDefault="00000000">
      <w:pPr>
        <w:pStyle w:val="Heading2"/>
      </w:pPr>
      <w:r>
        <w:t>Evolution of Health Status Across the Life Cycle</w:t>
      </w:r>
    </w:p>
    <w:p w14:paraId="114C0E3E" w14:textId="77777777" w:rsidR="005D489F" w:rsidRDefault="00000000">
      <w:pPr>
        <w:pStyle w:val="Heading2"/>
        <w:numPr>
          <w:ilvl w:val="0"/>
          <w:numId w:val="0"/>
        </w:numPr>
      </w:pPr>
      <w:r>
        <w:rPr>
          <w:noProof/>
        </w:rPr>
        <w:drawing>
          <wp:inline distT="0" distB="0" distL="0" distR="0" wp14:anchorId="47ADAC26" wp14:editId="6CB20325">
            <wp:extent cx="5164455" cy="3436620"/>
            <wp:effectExtent l="0" t="0" r="0" b="0"/>
            <wp:docPr id="11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n 3"/>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QAAB6AAAAAAAAAAAAAAAAAAAAAAAAAAAAAAAAAAAAAAAAAAAAAAxR8AACQVAAAAAAAAAAAAAAAAAAAoAAAACAAAAAEAAAABAAAA"/>
                        </a:ext>
                      </a:extLst>
                    </pic:cNvPicPr>
                  </pic:nvPicPr>
                  <pic:blipFill>
                    <a:blip r:embed="rId13"/>
                    <a:stretch>
                      <a:fillRect/>
                    </a:stretch>
                  </pic:blipFill>
                  <pic:spPr>
                    <a:xfrm>
                      <a:off x="0" y="0"/>
                      <a:ext cx="5164455" cy="3436620"/>
                    </a:xfrm>
                    <a:prstGeom prst="rect">
                      <a:avLst/>
                    </a:prstGeom>
                    <a:noFill/>
                    <a:ln w="12700">
                      <a:noFill/>
                    </a:ln>
                  </pic:spPr>
                </pic:pic>
              </a:graphicData>
            </a:graphic>
          </wp:inline>
        </w:drawing>
      </w:r>
    </w:p>
    <w:p w14:paraId="2DCB162C" w14:textId="77777777" w:rsidR="005D489F" w:rsidRDefault="005D489F">
      <w:pPr>
        <w:spacing w:line="360" w:lineRule="auto"/>
        <w:rPr>
          <w:rFonts w:ascii="Times New Roman" w:hAnsi="Times New Roman" w:cs="Times New Roman"/>
          <w:sz w:val="24"/>
          <w:szCs w:val="24"/>
        </w:rPr>
      </w:pPr>
    </w:p>
    <w:p w14:paraId="631E71EB"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health composition of the population evolves dramatically with age, reflecting both biological aging and cumulative effects of socioeconomic conditions. For </w:t>
      </w:r>
      <w:r>
        <w:rPr>
          <w:rFonts w:ascii="Times New Roman" w:hAnsi="Times New Roman" w:cs="Times New Roman"/>
          <w:b/>
          <w:bCs/>
          <w:sz w:val="24"/>
          <w:szCs w:val="24"/>
        </w:rPr>
        <w:t>low-skilled workers</w:t>
      </w:r>
      <w:r>
        <w:rPr>
          <w:rFonts w:ascii="Times New Roman" w:hAnsi="Times New Roman" w:cs="Times New Roman"/>
          <w:sz w:val="24"/>
          <w:szCs w:val="24"/>
        </w:rPr>
        <w:t xml:space="preserve"> (blue and purple lines):</w:t>
      </w:r>
    </w:p>
    <w:p w14:paraId="22053FB5"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20: 95% in good health, 5% in bad health</w:t>
      </w:r>
    </w:p>
    <w:p w14:paraId="3E69B57B"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40: 65% in good health, 35% in bad health</w:t>
      </w:r>
    </w:p>
    <w:p w14:paraId="78640865"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lastRenderedPageBreak/>
        <w:t>At age 60: 50% in good health, 50% in bad health (crossing point)</w:t>
      </w:r>
    </w:p>
    <w:p w14:paraId="30A30D4B" w14:textId="77777777" w:rsidR="005D489F" w:rsidRDefault="00000000">
      <w:pPr>
        <w:numPr>
          <w:ilvl w:val="0"/>
          <w:numId w:val="1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80: 30% in good health, 70% in bad health</w:t>
      </w:r>
    </w:p>
    <w:p w14:paraId="7A41C0C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rate of health deterioration averages approximately </w:t>
      </w:r>
      <w:r>
        <w:rPr>
          <w:rFonts w:ascii="Times New Roman" w:hAnsi="Times New Roman" w:cs="Times New Roman"/>
          <w:b/>
          <w:bCs/>
          <w:sz w:val="24"/>
          <w:szCs w:val="24"/>
        </w:rPr>
        <w:t>1% per year</w:t>
      </w:r>
      <w:r>
        <w:rPr>
          <w:rFonts w:ascii="Times New Roman" w:hAnsi="Times New Roman" w:cs="Times New Roman"/>
          <w:sz w:val="24"/>
          <w:szCs w:val="24"/>
        </w:rPr>
        <w:t xml:space="preserve"> between ages 20-60, accelerating thereafter. By age 60, half of all low-skilled workers are in poor health.</w:t>
      </w:r>
    </w:p>
    <w:p w14:paraId="478E480C"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high-skilled workers</w:t>
      </w:r>
      <w:r>
        <w:rPr>
          <w:rFonts w:ascii="Times New Roman" w:hAnsi="Times New Roman" w:cs="Times New Roman"/>
          <w:sz w:val="24"/>
          <w:szCs w:val="24"/>
        </w:rPr>
        <w:t xml:space="preserve"> (green and light blue lines), the trajectory is markedly different:</w:t>
      </w:r>
    </w:p>
    <w:p w14:paraId="386ECA9A"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40: 85% in good health, 15% in bad health</w:t>
      </w:r>
    </w:p>
    <w:p w14:paraId="0D5F5269"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At age 60: 70% in good health, 30% in bad health</w:t>
      </w:r>
    </w:p>
    <w:p w14:paraId="1CE93F2B" w14:textId="77777777" w:rsidR="005D489F" w:rsidRDefault="00000000">
      <w:pPr>
        <w:numPr>
          <w:ilvl w:val="0"/>
          <w:numId w:val="8"/>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80: 50% in good health, 50% in bad health (crossing point occurs </w:t>
      </w:r>
      <w:r>
        <w:rPr>
          <w:rFonts w:ascii="Times New Roman" w:hAnsi="Times New Roman" w:cs="Times New Roman"/>
          <w:b/>
          <w:bCs/>
          <w:sz w:val="24"/>
          <w:szCs w:val="24"/>
        </w:rPr>
        <w:t>20 years later</w:t>
      </w:r>
      <w:r>
        <w:rPr>
          <w:rFonts w:ascii="Times New Roman" w:hAnsi="Times New Roman" w:cs="Times New Roman"/>
          <w:sz w:val="24"/>
          <w:szCs w:val="24"/>
        </w:rPr>
        <w:t>)</w:t>
      </w:r>
    </w:p>
    <w:p w14:paraId="3B2910DD"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This </w:t>
      </w:r>
      <w:r>
        <w:rPr>
          <w:rFonts w:ascii="Times New Roman" w:hAnsi="Times New Roman" w:cs="Times New Roman"/>
          <w:b/>
          <w:bCs/>
          <w:sz w:val="24"/>
          <w:szCs w:val="24"/>
        </w:rPr>
        <w:t>20-year advantage in healthy longevity</w:t>
      </w:r>
      <w:r>
        <w:rPr>
          <w:rFonts w:ascii="Times New Roman" w:hAnsi="Times New Roman" w:cs="Times New Roman"/>
          <w:sz w:val="24"/>
          <w:szCs w:val="24"/>
        </w:rPr>
        <w:t xml:space="preserve"> for high-skilled workers represents a fundamental source of cumulative inequality. The policy implication is clear: interventions targeting low-skilled populations must begin in middle age (40-50 years) rather than waiting until elderly years when health deterioration has already advanced substantially.</w:t>
      </w:r>
    </w:p>
    <w:p w14:paraId="3178C9A0" w14:textId="77777777" w:rsidR="005D489F" w:rsidRDefault="005D489F">
      <w:pPr>
        <w:spacing w:line="360" w:lineRule="auto"/>
        <w:rPr>
          <w:rFonts w:ascii="Times New Roman" w:hAnsi="Times New Roman" w:cs="Times New Roman"/>
          <w:sz w:val="24"/>
          <w:szCs w:val="24"/>
        </w:rPr>
      </w:pPr>
    </w:p>
    <w:p w14:paraId="01DBC2B7" w14:textId="77777777" w:rsidR="005D489F" w:rsidRDefault="00000000">
      <w:pPr>
        <w:pStyle w:val="Heading2"/>
      </w:pPr>
      <w:r>
        <w:t>Financial Vulnerability and Borrowing Constraints</w:t>
      </w:r>
    </w:p>
    <w:p w14:paraId="66C993CF" w14:textId="77777777" w:rsidR="005D489F" w:rsidRDefault="00000000">
      <w:r>
        <w:rPr>
          <w:noProof/>
        </w:rPr>
        <w:drawing>
          <wp:inline distT="0" distB="0" distL="0" distR="0" wp14:anchorId="042F9E60" wp14:editId="31DB8D23">
            <wp:extent cx="5335905" cy="3118485"/>
            <wp:effectExtent l="0" t="0" r="0" b="0"/>
            <wp:docPr id="11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n 6"/>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5AQAAB6AAAAAAAAAAAAAAAAAAAAAAAAAAAAAAAAAAAAAAAAAAAAAA0yAAAC8TAAAAAAAAAAAAAAAAAAAoAAAACAAAAAEAAAABAAAA"/>
                        </a:ext>
                      </a:extLst>
                    </pic:cNvPicPr>
                  </pic:nvPicPr>
                  <pic:blipFill>
                    <a:blip r:embed="rId14"/>
                    <a:stretch>
                      <a:fillRect/>
                    </a:stretch>
                  </pic:blipFill>
                  <pic:spPr>
                    <a:xfrm>
                      <a:off x="0" y="0"/>
                      <a:ext cx="5335905" cy="3118485"/>
                    </a:xfrm>
                    <a:prstGeom prst="rect">
                      <a:avLst/>
                    </a:prstGeom>
                    <a:noFill/>
                    <a:ln w="12700">
                      <a:noFill/>
                    </a:ln>
                  </pic:spPr>
                </pic:pic>
              </a:graphicData>
            </a:graphic>
          </wp:inline>
        </w:drawing>
      </w:r>
    </w:p>
    <w:p w14:paraId="5E386848" w14:textId="77777777" w:rsidR="005D489F" w:rsidRDefault="005D489F"/>
    <w:p w14:paraId="35057B35" w14:textId="77777777" w:rsidR="005D489F" w:rsidRDefault="00000000">
      <w:pPr>
        <w:spacing w:line="360" w:lineRule="auto"/>
        <w:rPr>
          <w:rFonts w:ascii="Times New Roman" w:hAnsi="Times New Roman" w:cs="Times New Roman"/>
          <w:sz w:val="24"/>
          <w:szCs w:val="24"/>
          <w:lang w:val="es-MX"/>
        </w:rPr>
      </w:pPr>
      <w:r>
        <w:rPr>
          <w:rFonts w:ascii="Times New Roman" w:hAnsi="Times New Roman" w:cs="Times New Roman"/>
          <w:sz w:val="24"/>
          <w:szCs w:val="24"/>
        </w:rPr>
        <w:lastRenderedPageBreak/>
        <w:t xml:space="preserve">The fraction of households reaching the borrowing constraint (zero assets) reveals extreme financial vulnerability. </w:t>
      </w:r>
      <w:r>
        <w:rPr>
          <w:rFonts w:ascii="Times New Roman" w:hAnsi="Times New Roman" w:cs="Times New Roman"/>
          <w:sz w:val="24"/>
          <w:szCs w:val="24"/>
          <w:lang w:val="es-MX"/>
        </w:rPr>
        <w:t xml:space="preserve">For </w:t>
      </w:r>
      <w:proofErr w:type="spellStart"/>
      <w:r>
        <w:rPr>
          <w:rFonts w:ascii="Times New Roman" w:hAnsi="Times New Roman" w:cs="Times New Roman"/>
          <w:b/>
          <w:bCs/>
          <w:sz w:val="24"/>
          <w:szCs w:val="24"/>
          <w:lang w:val="es-MX"/>
        </w:rPr>
        <w:t>low-skilled</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workers</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with</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bad</w:t>
      </w:r>
      <w:proofErr w:type="spellEnd"/>
      <w:r>
        <w:rPr>
          <w:rFonts w:ascii="Times New Roman" w:hAnsi="Times New Roman" w:cs="Times New Roman"/>
          <w:b/>
          <w:bCs/>
          <w:sz w:val="24"/>
          <w:szCs w:val="24"/>
          <w:lang w:val="es-MX"/>
        </w:rPr>
        <w:t xml:space="preserve"> </w:t>
      </w:r>
      <w:proofErr w:type="spellStart"/>
      <w:r>
        <w:rPr>
          <w:rFonts w:ascii="Times New Roman" w:hAnsi="Times New Roman" w:cs="Times New Roman"/>
          <w:b/>
          <w:bCs/>
          <w:sz w:val="24"/>
          <w:szCs w:val="24"/>
          <w:lang w:val="es-MX"/>
        </w:rPr>
        <w:t>health</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purple</w:t>
      </w:r>
      <w:proofErr w:type="spellEnd"/>
      <w:r>
        <w:rPr>
          <w:rFonts w:ascii="Times New Roman" w:hAnsi="Times New Roman" w:cs="Times New Roman"/>
          <w:sz w:val="24"/>
          <w:szCs w:val="24"/>
          <w:lang w:val="es-MX"/>
        </w:rPr>
        <w:t xml:space="preserve"> line):</w:t>
      </w:r>
    </w:p>
    <w:p w14:paraId="2E546D0F"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20: </w:t>
      </w:r>
      <w:r>
        <w:rPr>
          <w:rFonts w:ascii="Times New Roman" w:hAnsi="Times New Roman" w:cs="Times New Roman"/>
          <w:b/>
          <w:bCs/>
          <w:sz w:val="24"/>
          <w:szCs w:val="24"/>
        </w:rPr>
        <w:t>23%</w:t>
      </w:r>
      <w:r>
        <w:rPr>
          <w:rFonts w:ascii="Times New Roman" w:hAnsi="Times New Roman" w:cs="Times New Roman"/>
          <w:sz w:val="24"/>
          <w:szCs w:val="24"/>
        </w:rPr>
        <w:t xml:space="preserve"> start life with no assets</w:t>
      </w:r>
    </w:p>
    <w:p w14:paraId="77E892E4"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Ages 30-50: drops to near 0% (temporary accumulation period)</w:t>
      </w:r>
    </w:p>
    <w:p w14:paraId="305828BE"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At age 60: </w:t>
      </w:r>
      <w:r>
        <w:rPr>
          <w:rFonts w:ascii="Times New Roman" w:hAnsi="Times New Roman" w:cs="Times New Roman"/>
          <w:b/>
          <w:bCs/>
          <w:sz w:val="24"/>
          <w:szCs w:val="24"/>
        </w:rPr>
        <w:t>12%</w:t>
      </w:r>
      <w:r>
        <w:rPr>
          <w:rFonts w:ascii="Times New Roman" w:hAnsi="Times New Roman" w:cs="Times New Roman"/>
          <w:sz w:val="24"/>
          <w:szCs w:val="24"/>
        </w:rPr>
        <w:t xml:space="preserve"> hit the constraint again</w:t>
      </w:r>
    </w:p>
    <w:p w14:paraId="411FDADD" w14:textId="77777777" w:rsidR="005D489F" w:rsidRDefault="00000000">
      <w:pPr>
        <w:numPr>
          <w:ilvl w:val="0"/>
          <w:numId w:val="11"/>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By age 100: </w:t>
      </w:r>
      <w:r>
        <w:rPr>
          <w:rFonts w:ascii="Times New Roman" w:hAnsi="Times New Roman" w:cs="Times New Roman"/>
          <w:b/>
          <w:bCs/>
          <w:sz w:val="24"/>
          <w:szCs w:val="24"/>
        </w:rPr>
        <w:t>24%</w:t>
      </w:r>
      <w:r>
        <w:rPr>
          <w:rFonts w:ascii="Times New Roman" w:hAnsi="Times New Roman" w:cs="Times New Roman"/>
          <w:sz w:val="24"/>
          <w:szCs w:val="24"/>
        </w:rPr>
        <w:t xml:space="preserve"> end life with zero assets</w:t>
      </w:r>
    </w:p>
    <w:p w14:paraId="7E1C21F4"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This U-shaped pattern indicates high vulnerability at life's beginning and end, with a brief window of relative security during prime working years. The resurgence of the constraint after age 60 coincides with rising health costs and declining income.</w:t>
      </w:r>
    </w:p>
    <w:p w14:paraId="184F8D6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In stark contrast, </w:t>
      </w:r>
      <w:r>
        <w:rPr>
          <w:rFonts w:ascii="Times New Roman" w:hAnsi="Times New Roman" w:cs="Times New Roman"/>
          <w:b/>
          <w:bCs/>
          <w:sz w:val="24"/>
          <w:szCs w:val="24"/>
        </w:rPr>
        <w:t>high-skilled workers with bad health</w:t>
      </w:r>
      <w:r>
        <w:rPr>
          <w:rFonts w:ascii="Times New Roman" w:hAnsi="Times New Roman" w:cs="Times New Roman"/>
          <w:sz w:val="24"/>
          <w:szCs w:val="24"/>
        </w:rPr>
        <w:t xml:space="preserve"> (yellow line) rarely exhaust their assets:</w:t>
      </w:r>
    </w:p>
    <w:p w14:paraId="3EF029FE" w14:textId="77777777" w:rsidR="005D489F" w:rsidRDefault="00000000">
      <w:pPr>
        <w:numPr>
          <w:ilvl w:val="0"/>
          <w:numId w:val="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Less than </w:t>
      </w:r>
      <w:r>
        <w:rPr>
          <w:rFonts w:ascii="Times New Roman" w:hAnsi="Times New Roman" w:cs="Times New Roman"/>
          <w:b/>
          <w:bCs/>
          <w:sz w:val="24"/>
          <w:szCs w:val="24"/>
        </w:rPr>
        <w:t>1%</w:t>
      </w:r>
      <w:r>
        <w:rPr>
          <w:rFonts w:ascii="Times New Roman" w:hAnsi="Times New Roman" w:cs="Times New Roman"/>
          <w:sz w:val="24"/>
          <w:szCs w:val="24"/>
        </w:rPr>
        <w:t xml:space="preserve"> hit the borrowing constraint at any age</w:t>
      </w:r>
    </w:p>
    <w:p w14:paraId="1E87C7FF" w14:textId="77777777" w:rsidR="005D489F" w:rsidRDefault="00000000">
      <w:pPr>
        <w:numPr>
          <w:ilvl w:val="0"/>
          <w:numId w:val="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Even when experiencing poor health, higher lifetime earnings provide a protective buffer</w:t>
      </w:r>
    </w:p>
    <w:p w14:paraId="5A10497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average population</w:t>
      </w:r>
      <w:r>
        <w:rPr>
          <w:rFonts w:ascii="Times New Roman" w:hAnsi="Times New Roman" w:cs="Times New Roman"/>
          <w:sz w:val="24"/>
          <w:szCs w:val="24"/>
        </w:rPr>
        <w:t xml:space="preserve"> (black line) shows:</w:t>
      </w:r>
    </w:p>
    <w:p w14:paraId="3DE04808" w14:textId="77777777" w:rsidR="005D489F" w:rsidRDefault="00000000">
      <w:pPr>
        <w:numPr>
          <w:ilvl w:val="0"/>
          <w:numId w:val="15"/>
        </w:numPr>
        <w:spacing w:line="360" w:lineRule="auto"/>
        <w:ind w:left="720" w:hanging="360"/>
        <w:rPr>
          <w:rFonts w:ascii="Times New Roman" w:hAnsi="Times New Roman" w:cs="Times New Roman"/>
          <w:sz w:val="24"/>
          <w:szCs w:val="24"/>
          <w:lang w:val="es-MX"/>
        </w:rPr>
      </w:pPr>
      <w:r>
        <w:rPr>
          <w:rFonts w:ascii="Times New Roman" w:hAnsi="Times New Roman" w:cs="Times New Roman"/>
          <w:sz w:val="24"/>
          <w:szCs w:val="24"/>
          <w:lang w:val="es-MX"/>
        </w:rPr>
        <w:t xml:space="preserve">Age 20: 12% </w:t>
      </w:r>
      <w:proofErr w:type="spellStart"/>
      <w:r>
        <w:rPr>
          <w:rFonts w:ascii="Times New Roman" w:hAnsi="Times New Roman" w:cs="Times New Roman"/>
          <w:sz w:val="24"/>
          <w:szCs w:val="24"/>
          <w:lang w:val="es-MX"/>
        </w:rPr>
        <w:t>begin</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with</w:t>
      </w:r>
      <w:proofErr w:type="spellEnd"/>
      <w:r>
        <w:rPr>
          <w:rFonts w:ascii="Times New Roman" w:hAnsi="Times New Roman" w:cs="Times New Roman"/>
          <w:sz w:val="24"/>
          <w:szCs w:val="24"/>
          <w:lang w:val="es-MX"/>
        </w:rPr>
        <w:t xml:space="preserve"> no </w:t>
      </w:r>
      <w:proofErr w:type="spellStart"/>
      <w:r>
        <w:rPr>
          <w:rFonts w:ascii="Times New Roman" w:hAnsi="Times New Roman" w:cs="Times New Roman"/>
          <w:sz w:val="24"/>
          <w:szCs w:val="24"/>
          <w:lang w:val="es-MX"/>
        </w:rPr>
        <w:t>assets</w:t>
      </w:r>
      <w:proofErr w:type="spellEnd"/>
    </w:p>
    <w:p w14:paraId="60382BE7" w14:textId="77777777" w:rsidR="005D489F" w:rsidRDefault="00000000">
      <w:pPr>
        <w:numPr>
          <w:ilvl w:val="0"/>
          <w:numId w:val="15"/>
        </w:numPr>
        <w:spacing w:line="360" w:lineRule="auto"/>
        <w:ind w:left="720" w:hanging="360"/>
        <w:rPr>
          <w:rFonts w:ascii="Times New Roman" w:hAnsi="Times New Roman" w:cs="Times New Roman"/>
          <w:sz w:val="24"/>
          <w:szCs w:val="24"/>
          <w:lang w:val="es-MX"/>
        </w:rPr>
      </w:pPr>
      <w:r>
        <w:rPr>
          <w:rFonts w:ascii="Times New Roman" w:hAnsi="Times New Roman" w:cs="Times New Roman"/>
          <w:sz w:val="24"/>
          <w:szCs w:val="24"/>
          <w:lang w:val="es-MX"/>
        </w:rPr>
        <w:t xml:space="preserve">Ages 30-60: </w:t>
      </w:r>
      <w:proofErr w:type="spellStart"/>
      <w:r>
        <w:rPr>
          <w:rFonts w:ascii="Times New Roman" w:hAnsi="Times New Roman" w:cs="Times New Roman"/>
          <w:sz w:val="24"/>
          <w:szCs w:val="24"/>
          <w:lang w:val="es-MX"/>
        </w:rPr>
        <w:t>less</w:t>
      </w:r>
      <w:proofErr w:type="spellEnd"/>
      <w:r>
        <w:rPr>
          <w:rFonts w:ascii="Times New Roman" w:hAnsi="Times New Roman" w:cs="Times New Roman"/>
          <w:sz w:val="24"/>
          <w:szCs w:val="24"/>
          <w:lang w:val="es-MX"/>
        </w:rPr>
        <w:t xml:space="preserve"> </w:t>
      </w:r>
      <w:proofErr w:type="spellStart"/>
      <w:r>
        <w:rPr>
          <w:rFonts w:ascii="Times New Roman" w:hAnsi="Times New Roman" w:cs="Times New Roman"/>
          <w:sz w:val="24"/>
          <w:szCs w:val="24"/>
          <w:lang w:val="es-MX"/>
        </w:rPr>
        <w:t>than</w:t>
      </w:r>
      <w:proofErr w:type="spellEnd"/>
      <w:r>
        <w:rPr>
          <w:rFonts w:ascii="Times New Roman" w:hAnsi="Times New Roman" w:cs="Times New Roman"/>
          <w:sz w:val="24"/>
          <w:szCs w:val="24"/>
          <w:lang w:val="es-MX"/>
        </w:rPr>
        <w:t xml:space="preserve"> 5% are </w:t>
      </w:r>
      <w:proofErr w:type="spellStart"/>
      <w:r>
        <w:rPr>
          <w:rFonts w:ascii="Times New Roman" w:hAnsi="Times New Roman" w:cs="Times New Roman"/>
          <w:sz w:val="24"/>
          <w:szCs w:val="24"/>
          <w:lang w:val="es-MX"/>
        </w:rPr>
        <w:t>constrained</w:t>
      </w:r>
      <w:proofErr w:type="spellEnd"/>
    </w:p>
    <w:p w14:paraId="65F92451" w14:textId="77777777" w:rsidR="005D489F" w:rsidRDefault="00000000">
      <w:pPr>
        <w:numPr>
          <w:ilvl w:val="0"/>
          <w:numId w:val="15"/>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90: 9% of survivors have zero assets</w:t>
      </w:r>
    </w:p>
    <w:p w14:paraId="21F32AB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t>Policy interpretation:</w:t>
      </w:r>
      <w:r>
        <w:rPr>
          <w:rFonts w:ascii="Times New Roman" w:hAnsi="Times New Roman" w:cs="Times New Roman"/>
          <w:sz w:val="24"/>
          <w:szCs w:val="24"/>
        </w:rPr>
        <w:t xml:space="preserve"> Approximately </w:t>
      </w:r>
      <w:r>
        <w:rPr>
          <w:rFonts w:ascii="Times New Roman" w:hAnsi="Times New Roman" w:cs="Times New Roman"/>
          <w:b/>
          <w:bCs/>
          <w:sz w:val="24"/>
          <w:szCs w:val="24"/>
        </w:rPr>
        <w:t>1 in 8-10 low-skilled workers</w:t>
      </w:r>
      <w:r>
        <w:rPr>
          <w:rFonts w:ascii="Times New Roman" w:hAnsi="Times New Roman" w:cs="Times New Roman"/>
          <w:sz w:val="24"/>
          <w:szCs w:val="24"/>
        </w:rPr>
        <w:t xml:space="preserve"> will require substantial government support during health crises in early retirement (ages 60-70). The 12% figure at age 60 represents a significant fiscal burden as the population ages.</w:t>
      </w:r>
    </w:p>
    <w:p w14:paraId="08BB8368" w14:textId="77777777" w:rsidR="005D489F" w:rsidRDefault="005D489F">
      <w:pPr>
        <w:spacing w:line="360" w:lineRule="auto"/>
        <w:rPr>
          <w:rFonts w:ascii="Times New Roman" w:hAnsi="Times New Roman" w:cs="Times New Roman"/>
          <w:sz w:val="24"/>
          <w:szCs w:val="24"/>
        </w:rPr>
      </w:pPr>
    </w:p>
    <w:p w14:paraId="1CACF218" w14:textId="77777777" w:rsidR="005D489F" w:rsidRDefault="005D489F">
      <w:pPr>
        <w:spacing w:line="360" w:lineRule="auto"/>
        <w:rPr>
          <w:rFonts w:ascii="Times New Roman" w:hAnsi="Times New Roman" w:cs="Times New Roman"/>
          <w:sz w:val="24"/>
          <w:szCs w:val="24"/>
        </w:rPr>
      </w:pPr>
    </w:p>
    <w:p w14:paraId="31D036DF" w14:textId="77777777" w:rsidR="005D489F" w:rsidRDefault="005D489F">
      <w:pPr>
        <w:spacing w:line="360" w:lineRule="auto"/>
        <w:rPr>
          <w:rFonts w:ascii="Times New Roman" w:hAnsi="Times New Roman" w:cs="Times New Roman"/>
          <w:sz w:val="24"/>
          <w:szCs w:val="24"/>
        </w:rPr>
      </w:pPr>
    </w:p>
    <w:p w14:paraId="1BD5CCAD" w14:textId="77777777" w:rsidR="005D489F" w:rsidRDefault="00000000">
      <w:pPr>
        <w:pStyle w:val="Heading2"/>
      </w:pPr>
      <w:r>
        <w:lastRenderedPageBreak/>
        <w:t>Welfare losses from poor health</w:t>
      </w:r>
    </w:p>
    <w:p w14:paraId="7419BD25"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 value function (representing lifetime utility) quantifies welfare losses:</w:t>
      </w:r>
    </w:p>
    <w:p w14:paraId="1A7A2C67"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20: value with good health = -139.77, with bad health = -143.04 → </w:t>
      </w:r>
      <w:r>
        <w:rPr>
          <w:rFonts w:ascii="Times New Roman" w:hAnsi="Times New Roman" w:cs="Times New Roman"/>
          <w:b/>
          <w:bCs/>
          <w:sz w:val="24"/>
          <w:szCs w:val="24"/>
        </w:rPr>
        <w:t>loss of 2.3%</w:t>
      </w:r>
    </w:p>
    <w:p w14:paraId="5C063DEA"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30: value with good health = -98.87, with bad health = -175.77 → </w:t>
      </w:r>
      <w:r>
        <w:rPr>
          <w:rFonts w:ascii="Times New Roman" w:hAnsi="Times New Roman" w:cs="Times New Roman"/>
          <w:b/>
          <w:bCs/>
          <w:sz w:val="24"/>
          <w:szCs w:val="24"/>
        </w:rPr>
        <w:t>loss of 77.8%</w:t>
      </w:r>
    </w:p>
    <w:p w14:paraId="76821352"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 xml:space="preserve">Age 45: value with good health = -40.93, with bad health = -57.30 → </w:t>
      </w:r>
      <w:r>
        <w:rPr>
          <w:rFonts w:ascii="Times New Roman" w:hAnsi="Times New Roman" w:cs="Times New Roman"/>
          <w:b/>
          <w:bCs/>
          <w:sz w:val="24"/>
          <w:szCs w:val="24"/>
        </w:rPr>
        <w:t>loss of 40.0%</w:t>
      </w:r>
    </w:p>
    <w:p w14:paraId="772C1E68" w14:textId="77777777" w:rsidR="005D489F" w:rsidRDefault="00000000">
      <w:pPr>
        <w:numPr>
          <w:ilvl w:val="0"/>
          <w:numId w:val="6"/>
        </w:numPr>
        <w:spacing w:line="360" w:lineRule="auto"/>
        <w:ind w:left="720" w:hanging="360"/>
        <w:rPr>
          <w:rFonts w:ascii="Times New Roman" w:hAnsi="Times New Roman" w:cs="Times New Roman"/>
          <w:sz w:val="24"/>
          <w:szCs w:val="24"/>
        </w:rPr>
      </w:pPr>
      <w:r>
        <w:rPr>
          <w:rFonts w:ascii="Times New Roman" w:hAnsi="Times New Roman" w:cs="Times New Roman"/>
          <w:sz w:val="24"/>
          <w:szCs w:val="24"/>
        </w:rPr>
        <w:t>Age 60: value with good health = -25.05, with bad health = -33.26 → loss of 32.8%</w:t>
      </w:r>
    </w:p>
    <w:p w14:paraId="72977217" w14:textId="77777777" w:rsidR="005D489F" w:rsidRDefault="00000000" w:rsidP="001C7F54">
      <w:pPr>
        <w:spacing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78% welfare loss</w:t>
      </w:r>
      <w:r>
        <w:rPr>
          <w:rFonts w:ascii="Times New Roman" w:hAnsi="Times New Roman" w:cs="Times New Roman"/>
          <w:sz w:val="24"/>
          <w:szCs w:val="24"/>
        </w:rPr>
        <w:t xml:space="preserve"> experienced by a 30-year-old worker who develops poor health is staggering. This represents not merely reduced consumption but the combined effect of: (a) lower current consumption, (b) reduced future earnings, (c) higher future health costs, (d) lower utility from consumption when sick, and (e) reduced life expectancy.</w:t>
      </w:r>
    </w:p>
    <w:p w14:paraId="3700D55E" w14:textId="77777777" w:rsidR="005D489F" w:rsidRDefault="00000000">
      <w:pPr>
        <w:spacing w:line="360" w:lineRule="auto"/>
        <w:rPr>
          <w:rFonts w:ascii="Times New Roman" w:hAnsi="Times New Roman" w:cs="Times New Roman"/>
          <w:sz w:val="24"/>
          <w:szCs w:val="24"/>
        </w:rPr>
      </w:pPr>
      <w:r>
        <w:rPr>
          <w:rFonts w:ascii="Times New Roman" w:hAnsi="Times New Roman" w:cs="Times New Roman"/>
          <w:sz w:val="24"/>
          <w:szCs w:val="24"/>
        </w:rPr>
        <w:t>These welfare calculations justify substantial public investment in health promotion and disease prevention, particularly targeting populations in their 30s and 40s when interventions can prevent decades of diminished welfare.</w:t>
      </w:r>
    </w:p>
    <w:p w14:paraId="3606381D" w14:textId="77777777" w:rsidR="005D489F" w:rsidRDefault="00000000" w:rsidP="001C7F54">
      <w:pPr>
        <w:spacing w:line="360" w:lineRule="auto"/>
        <w:ind w:firstLine="708"/>
        <w:rPr>
          <w:rFonts w:ascii="Times New Roman" w:hAnsi="Times New Roman" w:cs="Times New Roman"/>
          <w:sz w:val="24"/>
          <w:szCs w:val="24"/>
        </w:rPr>
      </w:pPr>
      <w:r>
        <w:rPr>
          <w:rFonts w:ascii="Times New Roman" w:hAnsi="Times New Roman" w:cs="Times New Roman"/>
          <w:sz w:val="24"/>
          <w:szCs w:val="24"/>
        </w:rPr>
        <w:t>In summary, the quantitative results demonstrate that health effects on economic outcomes are not marginal but transformational. Consumption gaps of 40-70% between healthy and sick individuals during working years, welfare losses approaching 80% at age 30, and the crossing point at age 60 where half the population transitions to poor health constitute a public health and economic crisis that demands urgent policy attention. The vulnerability of individuals with poor health—with 12% hitting zero assets at age 60, consumption levels 40-60% below their healthy counterparts in prime working years, and income losses equivalent to 7.5 years of full salary over a career—indicates that current social safety nets may be insufficient to prevent widespread economic hardship as Mexico's population ages. The concentration of these effects at younger ages (peak welfare losses at 30, largest consumption gaps at 25) underscores the urgency of early intervention and prevention strategies.</w:t>
      </w:r>
    </w:p>
    <w:p w14:paraId="27A37685" w14:textId="77777777" w:rsidR="005D489F" w:rsidRDefault="00000000">
      <w:pPr>
        <w:pStyle w:val="Heading1"/>
      </w:pPr>
      <w:r>
        <w:lastRenderedPageBreak/>
        <w:t>Discussion</w:t>
      </w:r>
    </w:p>
    <w:p w14:paraId="450698D1" w14:textId="77777777" w:rsidR="005D489F" w:rsidRDefault="00000000" w:rsidP="006939F0">
      <w:pPr>
        <w:pStyle w:val="Heading2"/>
        <w:numPr>
          <w:ilvl w:val="0"/>
          <w:numId w:val="0"/>
        </w:numPr>
        <w:spacing w:line="360" w:lineRule="auto"/>
        <w:jc w:val="both"/>
      </w:pPr>
      <w:r>
        <w:t>The results of this research, based on a dynamic and stochastic overlapping-generations (OLG) model in partial equilibrium, highlight the central role of population health in shaping macroeconomic outcomes over the life cycle. Poor health conditions are shown to reduce labor productivity, depress income trajectories, and generate persistent consumption gaps. These effects materialize not only at older ages but significantly earlier in the life cycle, altering saving behavior, increasing indebtedness, and raising concerns about long-term fiscal and intergenerational sustainability.</w:t>
      </w:r>
    </w:p>
    <w:p w14:paraId="2921753A" w14:textId="77777777" w:rsidR="005D489F" w:rsidRDefault="00000000" w:rsidP="006939F0">
      <w:pPr>
        <w:pStyle w:val="Heading2"/>
        <w:numPr>
          <w:ilvl w:val="0"/>
          <w:numId w:val="0"/>
        </w:numPr>
        <w:spacing w:line="360" w:lineRule="auto"/>
        <w:ind w:firstLine="708"/>
        <w:jc w:val="both"/>
      </w:pPr>
      <w:r>
        <w:t>A key insight of the model is that health operates as a compounding mechanism. Through its effects on utility, survival probabilities, productivity, and out-of-pocket expenditures, poor health simultaneously weakens households’ earning capacity and increases their expenditure needs. As a result, individuals in poor health face lower lifetime consumption and asset accumulation, even when government transfers provide a minimum consumption floor. This mechanism generates a clear divergence in consumption paths between individuals in good and poor health, particularly pronounced among lower-skilled households.</w:t>
      </w:r>
    </w:p>
    <w:p w14:paraId="039AE9BF" w14:textId="77777777" w:rsidR="005D489F" w:rsidRDefault="00000000" w:rsidP="006939F0">
      <w:pPr>
        <w:pStyle w:val="Heading2"/>
        <w:numPr>
          <w:ilvl w:val="0"/>
          <w:numId w:val="0"/>
        </w:numPr>
        <w:spacing w:line="360" w:lineRule="auto"/>
        <w:ind w:firstLine="708"/>
        <w:jc w:val="both"/>
      </w:pPr>
      <w:r>
        <w:t>The Mexican case illustrates these dynamics with particular clarity. Unlike the reference model, in which income continues to rise until middle age, the simulations calibrated for Mexico show that income levels stagnate around age 30. This stagnation coincides with the age at which health-related expenditure needs begin to increase relative to income. Consequently, households start relying on borrowing or transfers much earlier in the life cycle to smooth consumption in the presence of health shocks. This early onset of financial stress contrasts sharply with standard life-cycle predictions, where health-related borrowing typically emerges closer to retirement age.</w:t>
      </w:r>
    </w:p>
    <w:p w14:paraId="6905F649" w14:textId="3FF30084" w:rsidR="005D489F" w:rsidRDefault="00000000" w:rsidP="006939F0">
      <w:pPr>
        <w:pStyle w:val="Heading2"/>
        <w:numPr>
          <w:ilvl w:val="0"/>
          <w:numId w:val="0"/>
        </w:numPr>
        <w:spacing w:line="360" w:lineRule="auto"/>
        <w:ind w:firstLine="708"/>
        <w:jc w:val="both"/>
      </w:pPr>
      <w:r>
        <w:lastRenderedPageBreak/>
        <w:t xml:space="preserve">These results are especially relevant given Mexico’s institutional and epidemiological context. The country combines persistently low public health expenditure with a high prevalence of chronic diseases—most notably diabetes—which disproportionately affect working-age adults. The model suggests that insufficient health investment today does not only translate into higher medical costs in old </w:t>
      </w:r>
      <w:r w:rsidR="00F872C4">
        <w:t>age but</w:t>
      </w:r>
      <w:r>
        <w:t xml:space="preserve"> also undermines productivity and income generation during prime working years. This weakens households’ ability to self-insure through savings and increases reliance on out-of-pocket spending and public transfers.</w:t>
      </w:r>
    </w:p>
    <w:p w14:paraId="24C64DAD" w14:textId="77777777" w:rsidR="005D489F" w:rsidRDefault="00000000" w:rsidP="00F872C4">
      <w:pPr>
        <w:pStyle w:val="Heading2"/>
        <w:numPr>
          <w:ilvl w:val="0"/>
          <w:numId w:val="0"/>
        </w:numPr>
        <w:spacing w:line="360" w:lineRule="auto"/>
        <w:ind w:firstLine="708"/>
        <w:jc w:val="both"/>
      </w:pPr>
      <w:r>
        <w:t>From an intergenerational perspective, the findings point to an important trade-off. As health-related needs among adults and the elderly grow, greater fiscal resources may be required to prevent sharp declines in consumption and welfare. However, if these resources are mobilized without expanding overall fiscal space, they may crowd out investment in the health and human capital of younger cohorts. Such dynamics risk perpetuating a cycle in which poor health outcomes today reduce productivity and fiscal capacity tomorrow, thereby constraining future investment and growth.</w:t>
      </w:r>
    </w:p>
    <w:p w14:paraId="443905BE" w14:textId="77777777" w:rsidR="00F872C4" w:rsidRDefault="00000000" w:rsidP="00F872C4">
      <w:pPr>
        <w:pStyle w:val="Heading2"/>
        <w:numPr>
          <w:ilvl w:val="0"/>
          <w:numId w:val="0"/>
        </w:numPr>
        <w:spacing w:line="360" w:lineRule="auto"/>
        <w:ind w:left="-142" w:firstLine="850"/>
        <w:jc w:val="both"/>
      </w:pPr>
      <w:r>
        <w:t>Overall, the analysis underscores that health should not be viewed solely as a sectoral expenditure item, but as a core determinant of macroeconomic stability and intergenerational equity. In contexts like Mexico, where demographic aging interacts with low public health spending and high out-of-pocket exposure, neglecting the macroeconomic role of health can amplify fiscal vulnerabilities and deepen inequality over the life cycle. Strengthening health investment and reducing households’ exposure to health-related financial risk emerge as central components of a sustainable long-term fiscal and development strategy.</w:t>
      </w:r>
    </w:p>
    <w:p w14:paraId="6ED426A8" w14:textId="6988E7FF" w:rsidR="005D489F" w:rsidRDefault="00000000" w:rsidP="00F872C4">
      <w:pPr>
        <w:pStyle w:val="Heading2"/>
        <w:numPr>
          <w:ilvl w:val="0"/>
          <w:numId w:val="0"/>
        </w:numPr>
        <w:spacing w:line="360" w:lineRule="auto"/>
        <w:ind w:left="-142" w:firstLine="850"/>
        <w:jc w:val="both"/>
      </w:pPr>
      <w:r>
        <w:lastRenderedPageBreak/>
        <w:t>Beyond household-level dynamics, the results also speak directly to the interaction between fiscal sustainability and the demographic transition. Population aging alters the age composition of health expenditure toward older cohorts, while declining fertility limits the growth of the contribution base and future labor income. In such a context, health-related shocks that depress productivity and income at earlier ages amplify fiscal pressures through multiple channels: lower tax bases, higher demand for transfers, and rising health-related public and private expenditures. The model highlights that fiscal stress associated with aging is not confined to pension systems alone; rather, health conditions act as an additional —and often underestimated—driver of long-run fiscal imbalance. Ignoring the macroeconomic consequences of population health risks understates the true fiscal cost of demographic transition and may lead to policy responses that are insufficient or poorly timed.</w:t>
      </w:r>
    </w:p>
    <w:p w14:paraId="5BDBEA60" w14:textId="77777777" w:rsidR="005D489F" w:rsidRDefault="00000000" w:rsidP="00F872C4">
      <w:pPr>
        <w:spacing w:line="360" w:lineRule="auto"/>
        <w:ind w:left="-142" w:firstLine="850"/>
        <w:jc w:val="both"/>
        <w:rPr>
          <w:rFonts w:ascii="Times New Roman" w:hAnsi="Times New Roman" w:cs="Times New Roman"/>
          <w:sz w:val="24"/>
          <w:szCs w:val="24"/>
        </w:rPr>
      </w:pPr>
      <w:r>
        <w:rPr>
          <w:rFonts w:ascii="Times New Roman" w:hAnsi="Times New Roman" w:cs="Times New Roman"/>
          <w:sz w:val="24"/>
          <w:szCs w:val="24"/>
        </w:rPr>
        <w:t>Finally, the analysis is closely connected to the empirical evidence presented in the Appendix, which documents the evolving burden of disease in Costa Rica, Mexico, and Panama using Global Burden of Disease (GBD) data. The dominance and persistence of chronic noncommunicable diseases—such as diabetes, cardiovascular disease, and chronic kidney disease—provide a concrete epidemiological foundation for the health shocks modeled in this paper. The Appendix illustrates that these conditions are not temporary phenomena but structural features of the region’s health profile, reinforcing the relevance of modeling health as a persistent state affecting productivity, survival, and expenditures over the life cycle. In this sense, the Appendix complements the core analysis by grounding the theoretical results in observed epidemiological trends and by motivating future extensions that explicitly integrate disease-specific dynamics, cross-country comparisons, and policy interventions into the modeling framework.</w:t>
      </w:r>
    </w:p>
    <w:p w14:paraId="1EBB3BB8" w14:textId="77777777" w:rsidR="005D489F" w:rsidRDefault="005D489F"/>
    <w:p w14:paraId="0FEEC954" w14:textId="77777777" w:rsidR="005D489F" w:rsidRDefault="00000000">
      <w:pPr>
        <w:pStyle w:val="Heading1"/>
      </w:pPr>
      <w:r>
        <w:t>References</w:t>
      </w:r>
    </w:p>
    <w:p w14:paraId="56AE59EE"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CIEP. (2018). </w:t>
      </w:r>
      <w:r>
        <w:rPr>
          <w:rFonts w:ascii="Times New Roman" w:hAnsi="Times New Roman" w:cs="Times New Roman"/>
          <w:i/>
          <w:iCs/>
          <w:sz w:val="24"/>
          <w:szCs w:val="24"/>
          <w:lang w:val="es-MX"/>
        </w:rPr>
        <w:t>Sistema Universal de Salud: retos de cobertura y financiamiento.</w:t>
      </w:r>
      <w:r>
        <w:rPr>
          <w:rFonts w:ascii="Times New Roman" w:hAnsi="Times New Roman" w:cs="Times New Roman"/>
          <w:sz w:val="24"/>
          <w:szCs w:val="24"/>
          <w:lang w:val="es-MX"/>
        </w:rPr>
        <w:t xml:space="preserve"> Obtenido de https://saludenmexico.ciep.mx/</w:t>
      </w:r>
    </w:p>
    <w:p w14:paraId="5B7E6364" w14:textId="77777777" w:rsidR="00D85A8D" w:rsidRDefault="00000000" w:rsidP="00D85A8D">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CONAPO. (2023). </w:t>
      </w:r>
      <w:r>
        <w:rPr>
          <w:rFonts w:ascii="Times New Roman" w:hAnsi="Times New Roman" w:cs="Times New Roman"/>
          <w:i/>
          <w:iCs/>
          <w:sz w:val="24"/>
          <w:szCs w:val="24"/>
          <w:lang w:val="es-MX"/>
        </w:rPr>
        <w:t>Bases de datos de la Conciliación Demográfica 1950 a 2019 y Proyecciones de la población de México 2020 a 2070.</w:t>
      </w:r>
      <w:r>
        <w:rPr>
          <w:rFonts w:ascii="Times New Roman" w:hAnsi="Times New Roman" w:cs="Times New Roman"/>
          <w:sz w:val="24"/>
          <w:szCs w:val="24"/>
          <w:lang w:val="es-MX"/>
        </w:rPr>
        <w:t xml:space="preserve"> Obtenido de </w:t>
      </w:r>
      <w:hyperlink r:id="rId15" w:history="1">
        <w:r w:rsidR="00D85A8D" w:rsidRPr="00410E2B">
          <w:rPr>
            <w:rStyle w:val="Hyperlink"/>
            <w:rFonts w:ascii="Times New Roman" w:hAnsi="Times New Roman" w:cs="Times New Roman"/>
            <w:sz w:val="24"/>
            <w:szCs w:val="24"/>
            <w:lang w:val="es-MX"/>
          </w:rPr>
          <w:t>https://www.gob.mx/conapo/documentos/bases-de-datos-de-la-conciliacion-demografica-1950-a-2019-y-proyecciones-de-la-poblacion-de-mexico-2020-a-2070</w:t>
        </w:r>
      </w:hyperlink>
    </w:p>
    <w:p w14:paraId="778432CD" w14:textId="21D74BA9" w:rsidR="00D85A8D" w:rsidRPr="00D85A8D" w:rsidRDefault="00D85A8D" w:rsidP="00D85A8D">
      <w:pPr>
        <w:pStyle w:val="Bibliography"/>
        <w:ind w:left="720" w:hanging="720"/>
        <w:rPr>
          <w:rFonts w:ascii="Times New Roman" w:hAnsi="Times New Roman" w:cs="Times New Roman"/>
          <w:sz w:val="24"/>
          <w:szCs w:val="24"/>
          <w:lang w:val="es-MX"/>
        </w:rPr>
      </w:pPr>
      <w:r w:rsidRPr="00D85A8D">
        <w:rPr>
          <w:rFonts w:asciiTheme="majorHAnsi" w:hAnsiTheme="majorHAnsi" w:cstheme="majorHAnsi"/>
          <w:sz w:val="24"/>
          <w:szCs w:val="24"/>
        </w:rPr>
        <w:lastRenderedPageBreak/>
        <w:t xml:space="preserve">Dalgaard, Carl-Johan, and Holger </w:t>
      </w:r>
      <w:proofErr w:type="spellStart"/>
      <w:r w:rsidRPr="00D85A8D">
        <w:rPr>
          <w:rFonts w:asciiTheme="majorHAnsi" w:hAnsiTheme="majorHAnsi" w:cstheme="majorHAnsi"/>
          <w:sz w:val="24"/>
          <w:szCs w:val="24"/>
        </w:rPr>
        <w:t>Strulik</w:t>
      </w:r>
      <w:proofErr w:type="spellEnd"/>
      <w:r w:rsidRPr="00D85A8D">
        <w:rPr>
          <w:rFonts w:asciiTheme="majorHAnsi" w:hAnsiTheme="majorHAnsi" w:cstheme="majorHAnsi"/>
          <w:sz w:val="24"/>
          <w:szCs w:val="24"/>
        </w:rPr>
        <w:t xml:space="preserve"> (2014).</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“Optimal Aging and Death:</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Understanding the Preston Curve.”</w:t>
      </w:r>
      <w:r w:rsidRPr="00D85A8D">
        <w:rPr>
          <w:rFonts w:asciiTheme="majorHAnsi" w:hAnsiTheme="majorHAnsi" w:cstheme="majorHAnsi"/>
          <w:sz w:val="24"/>
          <w:szCs w:val="24"/>
        </w:rPr>
        <w:t xml:space="preserve"> </w:t>
      </w:r>
      <w:r w:rsidRPr="00D85A8D">
        <w:rPr>
          <w:rFonts w:asciiTheme="majorHAnsi" w:hAnsiTheme="majorHAnsi" w:cstheme="majorHAnsi"/>
          <w:i/>
          <w:iCs/>
          <w:sz w:val="24"/>
          <w:szCs w:val="24"/>
        </w:rPr>
        <w:t>Journal of the European Economic Association</w:t>
      </w:r>
      <w:r w:rsidRPr="00D85A8D">
        <w:rPr>
          <w:rFonts w:asciiTheme="majorHAnsi" w:hAnsiTheme="majorHAnsi" w:cstheme="majorHAnsi"/>
          <w:sz w:val="24"/>
          <w:szCs w:val="24"/>
        </w:rPr>
        <w:t>, 12(3), 672–701.</w:t>
      </w:r>
      <w:r w:rsidRPr="00D85A8D">
        <w:rPr>
          <w:rFonts w:asciiTheme="majorHAnsi" w:hAnsiTheme="majorHAnsi" w:cstheme="majorHAnsi"/>
          <w:sz w:val="24"/>
          <w:szCs w:val="24"/>
        </w:rPr>
        <w:t xml:space="preserve"> </w:t>
      </w:r>
      <w:r w:rsidRPr="00D85A8D">
        <w:rPr>
          <w:rFonts w:asciiTheme="majorHAnsi" w:hAnsiTheme="majorHAnsi" w:cstheme="majorHAnsi"/>
          <w:sz w:val="24"/>
          <w:szCs w:val="24"/>
        </w:rPr>
        <w:t>https://doi.org/10.1111/jeea.12062</w:t>
      </w:r>
    </w:p>
    <w:p w14:paraId="5EAC7C57" w14:textId="77777777" w:rsidR="005D489F" w:rsidRDefault="00000000">
      <w:pPr>
        <w:pStyle w:val="Bibliography"/>
        <w:ind w:left="720" w:hanging="720"/>
        <w:rPr>
          <w:rFonts w:ascii="Times New Roman" w:hAnsi="Times New Roman" w:cs="Times New Roman"/>
          <w:sz w:val="24"/>
          <w:szCs w:val="24"/>
        </w:rPr>
      </w:pPr>
      <w:r w:rsidRPr="00D86840">
        <w:rPr>
          <w:rFonts w:ascii="Times New Roman" w:hAnsi="Times New Roman" w:cs="Times New Roman"/>
          <w:sz w:val="24"/>
          <w:szCs w:val="24"/>
        </w:rPr>
        <w:t xml:space="preserve">De Nardi, M., French, E., &amp; Jones, J. (2010). </w:t>
      </w:r>
      <w:r>
        <w:rPr>
          <w:rFonts w:ascii="Times New Roman" w:hAnsi="Times New Roman" w:cs="Times New Roman"/>
          <w:sz w:val="24"/>
          <w:szCs w:val="24"/>
        </w:rPr>
        <w:t xml:space="preserve">Why do the elderly save? The role of medical expenses. </w:t>
      </w:r>
      <w:r>
        <w:rPr>
          <w:rFonts w:ascii="Times New Roman" w:hAnsi="Times New Roman" w:cs="Times New Roman"/>
          <w:i/>
          <w:iCs/>
          <w:sz w:val="24"/>
          <w:szCs w:val="24"/>
        </w:rPr>
        <w:t>Journal of political economy</w:t>
      </w:r>
      <w:r>
        <w:rPr>
          <w:rFonts w:ascii="Times New Roman" w:hAnsi="Times New Roman" w:cs="Times New Roman"/>
          <w:sz w:val="24"/>
          <w:szCs w:val="24"/>
        </w:rPr>
        <w:t>.</w:t>
      </w:r>
    </w:p>
    <w:p w14:paraId="1A2AF43E"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DGIS, S. (2022). </w:t>
      </w:r>
      <w:r>
        <w:rPr>
          <w:rFonts w:ascii="Times New Roman" w:hAnsi="Times New Roman" w:cs="Times New Roman"/>
          <w:i/>
          <w:iCs/>
          <w:sz w:val="24"/>
          <w:szCs w:val="24"/>
          <w:lang w:val="es-MX"/>
        </w:rPr>
        <w:t>Subsistema de Cuentas en Salud (SICUENTAS)</w:t>
      </w:r>
      <w:r>
        <w:rPr>
          <w:rFonts w:ascii="Times New Roman" w:hAnsi="Times New Roman" w:cs="Times New Roman"/>
          <w:sz w:val="24"/>
          <w:szCs w:val="24"/>
          <w:lang w:val="es-MX"/>
        </w:rPr>
        <w:t>. Obtenido de https://sinba.salud.gob.mx/SICUENTAS</w:t>
      </w:r>
    </w:p>
    <w:p w14:paraId="7CE8B1CE"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 xml:space="preserve">Dougherty, S., , P., &amp; Lorenzoni, L. (2022). Funding the future: The impact of population ageing on revenues across levels of government. </w:t>
      </w:r>
      <w:r>
        <w:rPr>
          <w:rFonts w:ascii="Times New Roman" w:hAnsi="Times New Roman" w:cs="Times New Roman"/>
          <w:i/>
          <w:iCs/>
          <w:sz w:val="24"/>
          <w:szCs w:val="24"/>
        </w:rPr>
        <w:t>OECD Working Papers on Fiscal Federalism</w:t>
      </w:r>
      <w:r>
        <w:rPr>
          <w:rFonts w:ascii="Times New Roman" w:hAnsi="Times New Roman" w:cs="Times New Roman"/>
          <w:sz w:val="24"/>
          <w:szCs w:val="24"/>
        </w:rPr>
        <w:t>, No.39.</w:t>
      </w:r>
    </w:p>
    <w:p w14:paraId="05FA3063"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 xml:space="preserve">Fehr, H., &amp; Kindermann, F. (2018). </w:t>
      </w:r>
      <w:r>
        <w:rPr>
          <w:rFonts w:ascii="Times New Roman" w:hAnsi="Times New Roman" w:cs="Times New Roman"/>
          <w:i/>
          <w:iCs/>
          <w:sz w:val="24"/>
          <w:szCs w:val="24"/>
        </w:rPr>
        <w:t>Introduction to Computational Economics using Fortran.</w:t>
      </w:r>
      <w:r>
        <w:rPr>
          <w:rFonts w:ascii="Times New Roman" w:hAnsi="Times New Roman" w:cs="Times New Roman"/>
          <w:sz w:val="24"/>
          <w:szCs w:val="24"/>
        </w:rPr>
        <w:t xml:space="preserve"> Oxford University Press.</w:t>
      </w:r>
    </w:p>
    <w:p w14:paraId="35472441" w14:textId="08F81877" w:rsidR="0066496E" w:rsidRDefault="0066496E" w:rsidP="0066496E">
      <w:pPr>
        <w:pBdr>
          <w:top w:val="nil"/>
          <w:left w:val="nil"/>
          <w:bottom w:val="nil"/>
          <w:right w:val="nil"/>
          <w:between w:val="nil"/>
        </w:pBdr>
        <w:ind w:left="720" w:hanging="720"/>
        <w:rPr>
          <w:rFonts w:ascii="Times New Roman" w:eastAsia="Times New Roman" w:hAnsi="Times New Roman" w:cs="Times New Roman"/>
          <w:sz w:val="24"/>
          <w:szCs w:val="24"/>
          <w:lang w:val="en"/>
        </w:rPr>
      </w:pPr>
      <w:r w:rsidRPr="00727C0E">
        <w:rPr>
          <w:rFonts w:ascii="Times New Roman" w:eastAsia="Times New Roman" w:hAnsi="Times New Roman" w:cs="Times New Roman"/>
          <w:sz w:val="24"/>
          <w:szCs w:val="24"/>
        </w:rPr>
        <w:t>Fioroni, T. (2010), “</w:t>
      </w:r>
      <w:hyperlink r:id="rId16" w:tgtFrame="_blank" w:history="1">
        <w:r w:rsidRPr="00727C0E">
          <w:rPr>
            <w:rStyle w:val="Hyperlink"/>
            <w:rFonts w:ascii="Times New Roman" w:eastAsia="Times New Roman" w:hAnsi="Times New Roman" w:cs="Times New Roman"/>
            <w:color w:val="auto"/>
            <w:sz w:val="24"/>
            <w:szCs w:val="24"/>
          </w:rPr>
          <w:t>Optimal savings and health spending over the life cycle.</w:t>
        </w:r>
      </w:hyperlink>
      <w:r w:rsidRPr="00727C0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European Journal of Health Economics, </w:t>
      </w:r>
      <w:r w:rsidRPr="00727C0E">
        <w:rPr>
          <w:rFonts w:ascii="Times New Roman" w:eastAsia="Times New Roman" w:hAnsi="Times New Roman" w:cs="Times New Roman"/>
          <w:sz w:val="24"/>
          <w:szCs w:val="24"/>
          <w:lang w:val="en"/>
        </w:rPr>
        <w:t>10.1007/S10198-009-0183-0</w:t>
      </w:r>
    </w:p>
    <w:p w14:paraId="48C2E3F3" w14:textId="01F633BB" w:rsidR="00FE16C4" w:rsidRPr="00FE16C4" w:rsidRDefault="00FE16C4" w:rsidP="0066496E">
      <w:pPr>
        <w:pBdr>
          <w:top w:val="nil"/>
          <w:left w:val="nil"/>
          <w:bottom w:val="nil"/>
          <w:right w:val="nil"/>
          <w:between w:val="nil"/>
        </w:pBdr>
        <w:ind w:left="720" w:hanging="720"/>
        <w:rPr>
          <w:rFonts w:ascii="Times New Roman" w:eastAsia="Times New Roman" w:hAnsi="Times New Roman" w:cs="Times New Roman"/>
          <w:sz w:val="24"/>
          <w:szCs w:val="24"/>
        </w:rPr>
      </w:pPr>
      <w:r w:rsidRPr="00FE16C4">
        <w:rPr>
          <w:rFonts w:ascii="Times New Roman" w:eastAsia="Times New Roman" w:hAnsi="Times New Roman" w:cs="Times New Roman"/>
          <w:sz w:val="24"/>
          <w:szCs w:val="24"/>
        </w:rPr>
        <w:t>Franković</w:t>
      </w:r>
      <w:r>
        <w:rPr>
          <w:rFonts w:ascii="Times New Roman" w:eastAsia="Times New Roman" w:hAnsi="Times New Roman" w:cs="Times New Roman"/>
          <w:sz w:val="24"/>
          <w:szCs w:val="24"/>
        </w:rPr>
        <w:t>, Ivan</w:t>
      </w:r>
      <w:r w:rsidRPr="00FE16C4">
        <w:rPr>
          <w:rFonts w:ascii="Times New Roman" w:eastAsia="Times New Roman" w:hAnsi="Times New Roman" w:cs="Times New Roman"/>
          <w:sz w:val="24"/>
          <w:szCs w:val="24"/>
        </w:rPr>
        <w:t xml:space="preserve"> and Stefan Wrzaczek (2020).</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sz w:val="24"/>
          <w:szCs w:val="24"/>
        </w:rPr>
        <w:t>“On the Anatomy of Medical Progress within an Overlapping Generations Economy.”</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i/>
          <w:iCs/>
          <w:sz w:val="24"/>
          <w:szCs w:val="24"/>
        </w:rPr>
        <w:t>Journal of Economics</w:t>
      </w:r>
      <w:r w:rsidRPr="00FE16C4">
        <w:rPr>
          <w:rFonts w:ascii="Times New Roman" w:eastAsia="Times New Roman" w:hAnsi="Times New Roman" w:cs="Times New Roman"/>
          <w:sz w:val="24"/>
          <w:szCs w:val="24"/>
        </w:rPr>
        <w:t xml:space="preserve"> (Springer), 129(1), 65–97.</w:t>
      </w:r>
      <w:r w:rsidRPr="00FE16C4">
        <w:rPr>
          <w:rFonts w:ascii="Times New Roman" w:eastAsia="Times New Roman" w:hAnsi="Times New Roman" w:cs="Times New Roman"/>
          <w:sz w:val="24"/>
          <w:szCs w:val="24"/>
        </w:rPr>
        <w:t xml:space="preserve"> </w:t>
      </w:r>
      <w:r w:rsidRPr="00FE16C4">
        <w:rPr>
          <w:rFonts w:ascii="Times New Roman" w:eastAsia="Times New Roman" w:hAnsi="Times New Roman" w:cs="Times New Roman"/>
          <w:sz w:val="24"/>
          <w:szCs w:val="24"/>
        </w:rPr>
        <w:t>https://doi.org/10.1007/s10645-020-09360-3</w:t>
      </w:r>
    </w:p>
    <w:p w14:paraId="6A1F05E0" w14:textId="77777777" w:rsidR="005D489F" w:rsidRDefault="00000000">
      <w:pPr>
        <w:pStyle w:val="Bibliography"/>
        <w:ind w:left="720" w:hanging="720"/>
        <w:rPr>
          <w:rFonts w:ascii="Times New Roman" w:hAnsi="Times New Roman" w:cs="Times New Roman"/>
          <w:sz w:val="24"/>
          <w:szCs w:val="24"/>
          <w:lang w:val="es-MX"/>
        </w:rPr>
      </w:pPr>
      <w:r w:rsidRPr="0066496E">
        <w:rPr>
          <w:rFonts w:ascii="Times New Roman" w:hAnsi="Times New Roman" w:cs="Times New Roman"/>
          <w:sz w:val="24"/>
          <w:szCs w:val="24"/>
          <w:lang w:val="es-MX"/>
        </w:rPr>
        <w:t xml:space="preserve">Haakenstad, A., Bintz, C., Knight, M., Bienhoff, K., </w:t>
      </w:r>
      <w:proofErr w:type="spellStart"/>
      <w:r w:rsidRPr="0066496E">
        <w:rPr>
          <w:rFonts w:ascii="Times New Roman" w:hAnsi="Times New Roman" w:cs="Times New Roman"/>
          <w:sz w:val="24"/>
          <w:szCs w:val="24"/>
          <w:lang w:val="es-MX"/>
        </w:rPr>
        <w:t>Chacon</w:t>
      </w:r>
      <w:proofErr w:type="spellEnd"/>
      <w:r w:rsidRPr="0066496E">
        <w:rPr>
          <w:rFonts w:ascii="Times New Roman" w:hAnsi="Times New Roman" w:cs="Times New Roman"/>
          <w:sz w:val="24"/>
          <w:szCs w:val="24"/>
          <w:lang w:val="es-MX"/>
        </w:rPr>
        <w:t xml:space="preserve">-Torrico, H., Curioso, W., . . . Hay, S. (2023). </w:t>
      </w:r>
      <w:r>
        <w:rPr>
          <w:rFonts w:ascii="Times New Roman" w:hAnsi="Times New Roman" w:cs="Times New Roman"/>
          <w:sz w:val="24"/>
          <w:szCs w:val="24"/>
        </w:rPr>
        <w:t xml:space="preserve">Catastrophic health expenditure during the COVID-19 pandemic in five countries: a time series analysis. </w:t>
      </w:r>
      <w:r>
        <w:rPr>
          <w:rFonts w:ascii="Times New Roman" w:hAnsi="Times New Roman" w:cs="Times New Roman"/>
          <w:i/>
          <w:iCs/>
          <w:sz w:val="24"/>
          <w:szCs w:val="24"/>
          <w:lang w:val="es-MX"/>
        </w:rPr>
        <w:t>Lancet Global Health</w:t>
      </w:r>
      <w:r>
        <w:rPr>
          <w:rFonts w:ascii="Times New Roman" w:hAnsi="Times New Roman" w:cs="Times New Roman"/>
          <w:sz w:val="24"/>
          <w:szCs w:val="24"/>
          <w:lang w:val="es-MX"/>
        </w:rPr>
        <w:t>. Obtenido de https://www.thelancet.com/journals/langlo/article/PIIS2214-109X(23)00330-3/fulltext</w:t>
      </w:r>
    </w:p>
    <w:p w14:paraId="43316041" w14:textId="77777777" w:rsidR="005D489F" w:rsidRDefault="00000000">
      <w:pPr>
        <w:pStyle w:val="Bibliography"/>
        <w:ind w:left="720" w:hanging="720"/>
        <w:rPr>
          <w:rFonts w:ascii="Times New Roman" w:hAnsi="Times New Roman" w:cs="Times New Roman"/>
          <w:sz w:val="24"/>
          <w:szCs w:val="24"/>
        </w:rPr>
      </w:pPr>
      <w:r>
        <w:rPr>
          <w:rFonts w:ascii="Times New Roman" w:hAnsi="Times New Roman" w:cs="Times New Roman"/>
          <w:sz w:val="24"/>
          <w:szCs w:val="24"/>
        </w:rPr>
        <w:t xml:space="preserve">IMF. (2016). Fiscal Policy. How to Asses Fiscal Implications of Demographic Shifts: A granular approach. En </w:t>
      </w:r>
      <w:r>
        <w:rPr>
          <w:rFonts w:ascii="Times New Roman" w:hAnsi="Times New Roman" w:cs="Times New Roman"/>
          <w:i/>
          <w:iCs/>
          <w:sz w:val="24"/>
          <w:szCs w:val="24"/>
        </w:rPr>
        <w:t>Fiscal Affair Department. How to- Notes.</w:t>
      </w:r>
      <w:r>
        <w:rPr>
          <w:rFonts w:ascii="Times New Roman" w:hAnsi="Times New Roman" w:cs="Times New Roman"/>
          <w:sz w:val="24"/>
          <w:szCs w:val="24"/>
        </w:rPr>
        <w:t xml:space="preserve"> </w:t>
      </w:r>
    </w:p>
    <w:p w14:paraId="771D13BD" w14:textId="77777777" w:rsidR="00AA33A1" w:rsidRPr="00AA33A1" w:rsidRDefault="00000000" w:rsidP="00AA33A1">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INEGI. (2015). ENOE. </w:t>
      </w:r>
      <w:r w:rsidRPr="00AA33A1">
        <w:rPr>
          <w:rFonts w:ascii="Times New Roman" w:hAnsi="Times New Roman" w:cs="Times New Roman"/>
          <w:sz w:val="24"/>
          <w:szCs w:val="24"/>
          <w:lang w:val="es-MX"/>
        </w:rPr>
        <w:t xml:space="preserve">Obtenido de </w:t>
      </w:r>
      <w:hyperlink r:id="rId17" w:history="1">
        <w:r w:rsidR="00AA33A1" w:rsidRPr="00AA33A1">
          <w:rPr>
            <w:rStyle w:val="Hyperlink"/>
            <w:rFonts w:ascii="Times New Roman" w:hAnsi="Times New Roman" w:cs="Times New Roman"/>
            <w:sz w:val="24"/>
            <w:szCs w:val="24"/>
            <w:lang w:val="es-MX"/>
          </w:rPr>
          <w:t>https://www.inegi.org.mx/programas/enoe/15ymas/</w:t>
        </w:r>
      </w:hyperlink>
    </w:p>
    <w:p w14:paraId="06B33BC6" w14:textId="77777777" w:rsidR="00F52AD8" w:rsidRDefault="00AA33A1" w:rsidP="00F52AD8">
      <w:pPr>
        <w:pStyle w:val="Bibliography"/>
        <w:ind w:left="720" w:hanging="720"/>
        <w:rPr>
          <w:rFonts w:asciiTheme="majorHAnsi" w:hAnsiTheme="majorHAnsi" w:cstheme="majorHAnsi"/>
          <w:sz w:val="24"/>
          <w:szCs w:val="24"/>
        </w:rPr>
      </w:pPr>
      <w:r w:rsidRPr="00AA33A1">
        <w:rPr>
          <w:rFonts w:asciiTheme="majorHAnsi" w:hAnsiTheme="majorHAnsi" w:cstheme="majorHAnsi"/>
          <w:sz w:val="24"/>
          <w:szCs w:val="24"/>
        </w:rPr>
        <w:t>Kuhn</w:t>
      </w:r>
      <w:r w:rsidRPr="00AA33A1">
        <w:rPr>
          <w:rFonts w:asciiTheme="majorHAnsi" w:hAnsiTheme="majorHAnsi" w:cstheme="majorHAnsi"/>
          <w:sz w:val="24"/>
          <w:szCs w:val="24"/>
        </w:rPr>
        <w:t>, Michael</w:t>
      </w:r>
      <w:r w:rsidRPr="00AA33A1">
        <w:rPr>
          <w:rFonts w:asciiTheme="majorHAnsi" w:hAnsiTheme="majorHAnsi" w:cstheme="majorHAnsi"/>
          <w:sz w:val="24"/>
          <w:szCs w:val="24"/>
        </w:rPr>
        <w:t xml:space="preserve"> and Gustav Feichtinger (2015).</w:t>
      </w:r>
      <w:r w:rsidRPr="00AA33A1">
        <w:rPr>
          <w:rFonts w:asciiTheme="majorHAnsi" w:hAnsiTheme="majorHAnsi" w:cstheme="majorHAnsi"/>
          <w:sz w:val="24"/>
          <w:szCs w:val="24"/>
        </w:rPr>
        <w:t xml:space="preserve"> </w:t>
      </w:r>
      <w:r w:rsidRPr="00AA33A1">
        <w:rPr>
          <w:rFonts w:asciiTheme="majorHAnsi" w:hAnsiTheme="majorHAnsi" w:cstheme="majorHAnsi"/>
          <w:sz w:val="24"/>
          <w:szCs w:val="24"/>
        </w:rPr>
        <w:t>“Optimal Choice of Health and Retirement in a Life-Cycle Model.”</w:t>
      </w:r>
      <w:r w:rsidRPr="00AA33A1">
        <w:rPr>
          <w:rFonts w:asciiTheme="majorHAnsi" w:hAnsiTheme="majorHAnsi" w:cstheme="majorHAnsi"/>
          <w:sz w:val="24"/>
          <w:szCs w:val="24"/>
        </w:rPr>
        <w:t xml:space="preserve"> </w:t>
      </w:r>
      <w:r w:rsidRPr="00AA33A1">
        <w:rPr>
          <w:rFonts w:asciiTheme="majorHAnsi" w:hAnsiTheme="majorHAnsi" w:cstheme="majorHAnsi"/>
          <w:i/>
          <w:iCs/>
          <w:sz w:val="24"/>
          <w:szCs w:val="24"/>
        </w:rPr>
        <w:t>Journal of Economic Theory</w:t>
      </w:r>
      <w:r w:rsidRPr="00AA33A1">
        <w:rPr>
          <w:rFonts w:asciiTheme="majorHAnsi" w:hAnsiTheme="majorHAnsi" w:cstheme="majorHAnsi"/>
          <w:sz w:val="24"/>
          <w:szCs w:val="24"/>
        </w:rPr>
        <w:t>, 158, 186–212.</w:t>
      </w:r>
      <w:r w:rsidRPr="00AA33A1">
        <w:rPr>
          <w:rFonts w:asciiTheme="majorHAnsi" w:hAnsiTheme="majorHAnsi" w:cstheme="majorHAnsi"/>
          <w:sz w:val="24"/>
          <w:szCs w:val="24"/>
        </w:rPr>
        <w:t xml:space="preserve"> </w:t>
      </w:r>
      <w:hyperlink r:id="rId18" w:history="1">
        <w:r w:rsidR="00F52AD8" w:rsidRPr="00410E2B">
          <w:rPr>
            <w:rStyle w:val="Hyperlink"/>
            <w:rFonts w:asciiTheme="majorHAnsi" w:hAnsiTheme="majorHAnsi" w:cstheme="majorHAnsi"/>
            <w:sz w:val="24"/>
            <w:szCs w:val="24"/>
          </w:rPr>
          <w:t>https://doi.org/10.1016/j.jet.2015.03.010</w:t>
        </w:r>
      </w:hyperlink>
    </w:p>
    <w:p w14:paraId="6A1931B3" w14:textId="6C52EC7C" w:rsidR="00F52AD8" w:rsidRPr="00F52AD8" w:rsidRDefault="00F52AD8" w:rsidP="00F52AD8">
      <w:pPr>
        <w:pStyle w:val="Bibliography"/>
        <w:ind w:left="720" w:hanging="720"/>
        <w:rPr>
          <w:rFonts w:asciiTheme="majorHAnsi" w:hAnsiTheme="majorHAnsi" w:cstheme="majorHAnsi"/>
          <w:sz w:val="24"/>
          <w:szCs w:val="24"/>
        </w:rPr>
      </w:pPr>
      <w:r w:rsidRPr="00F52AD8">
        <w:rPr>
          <w:rFonts w:asciiTheme="majorHAnsi" w:hAnsiTheme="majorHAnsi" w:cstheme="majorHAnsi"/>
          <w:sz w:val="24"/>
          <w:szCs w:val="24"/>
        </w:rPr>
        <w:t>Lim</w:t>
      </w:r>
      <w:r>
        <w:rPr>
          <w:rFonts w:asciiTheme="majorHAnsi" w:hAnsiTheme="majorHAnsi" w:cstheme="majorHAnsi"/>
          <w:sz w:val="24"/>
          <w:szCs w:val="24"/>
        </w:rPr>
        <w:t>,</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Kyoung Mook (2020).</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“Public Provision of Health Insurance and Aggregate Saving in an Overlapping Generations Model with Endogenous Health Risk: The South Korean Case.”</w:t>
      </w:r>
      <w:r w:rsidRPr="00F52AD8">
        <w:rPr>
          <w:rFonts w:asciiTheme="majorHAnsi" w:hAnsiTheme="majorHAnsi" w:cstheme="majorHAnsi"/>
          <w:sz w:val="24"/>
          <w:szCs w:val="24"/>
        </w:rPr>
        <w:t xml:space="preserve"> </w:t>
      </w:r>
      <w:r w:rsidRPr="00F52AD8">
        <w:rPr>
          <w:rFonts w:asciiTheme="majorHAnsi" w:hAnsiTheme="majorHAnsi" w:cstheme="majorHAnsi"/>
          <w:i/>
          <w:iCs/>
          <w:sz w:val="24"/>
          <w:szCs w:val="24"/>
        </w:rPr>
        <w:t>Economic Modelling</w:t>
      </w:r>
      <w:r w:rsidRPr="00F52AD8">
        <w:rPr>
          <w:rFonts w:asciiTheme="majorHAnsi" w:hAnsiTheme="majorHAnsi" w:cstheme="majorHAnsi"/>
          <w:sz w:val="24"/>
          <w:szCs w:val="24"/>
        </w:rPr>
        <w:t>, 90, 208–221.</w:t>
      </w:r>
      <w:r w:rsidRPr="00F52AD8">
        <w:rPr>
          <w:rFonts w:asciiTheme="majorHAnsi" w:hAnsiTheme="majorHAnsi" w:cstheme="majorHAnsi"/>
          <w:sz w:val="24"/>
          <w:szCs w:val="24"/>
        </w:rPr>
        <w:t xml:space="preserve"> </w:t>
      </w:r>
      <w:r w:rsidRPr="00F52AD8">
        <w:rPr>
          <w:rFonts w:asciiTheme="majorHAnsi" w:hAnsiTheme="majorHAnsi" w:cstheme="majorHAnsi"/>
          <w:sz w:val="24"/>
          <w:szCs w:val="24"/>
        </w:rPr>
        <w:t>https://doi.org/10.1016/j.econmod.2020.05.023</w:t>
      </w:r>
    </w:p>
    <w:p w14:paraId="23476478"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rPr>
        <w:t xml:space="preserve">Méndez </w:t>
      </w:r>
      <w:proofErr w:type="spellStart"/>
      <w:r>
        <w:rPr>
          <w:rFonts w:ascii="Times New Roman" w:hAnsi="Times New Roman" w:cs="Times New Roman"/>
          <w:sz w:val="24"/>
          <w:szCs w:val="24"/>
        </w:rPr>
        <w:t>Méndez</w:t>
      </w:r>
      <w:proofErr w:type="spellEnd"/>
      <w:r>
        <w:rPr>
          <w:rFonts w:ascii="Times New Roman" w:hAnsi="Times New Roman" w:cs="Times New Roman"/>
          <w:sz w:val="24"/>
          <w:szCs w:val="24"/>
        </w:rPr>
        <w:t>, J. (</w:t>
      </w:r>
      <w:proofErr w:type="spellStart"/>
      <w:r>
        <w:rPr>
          <w:rFonts w:ascii="Times New Roman" w:hAnsi="Times New Roman" w:cs="Times New Roman"/>
          <w:sz w:val="24"/>
          <w:szCs w:val="24"/>
        </w:rPr>
        <w:t>octubre</w:t>
      </w:r>
      <w:proofErr w:type="spellEnd"/>
      <w:r>
        <w:rPr>
          <w:rFonts w:ascii="Times New Roman" w:hAnsi="Times New Roman" w:cs="Times New Roman"/>
          <w:sz w:val="24"/>
          <w:szCs w:val="24"/>
        </w:rPr>
        <w:t xml:space="preserve"> de 2019). </w:t>
      </w:r>
      <w:r>
        <w:rPr>
          <w:rFonts w:ascii="Times New Roman" w:hAnsi="Times New Roman" w:cs="Times New Roman"/>
          <w:i/>
          <w:iCs/>
          <w:sz w:val="24"/>
          <w:szCs w:val="24"/>
          <w:lang w:val="es-MX"/>
        </w:rPr>
        <w:t>La contracción del gasto per cápita en salud: 2010 – 2020.</w:t>
      </w:r>
      <w:r>
        <w:rPr>
          <w:rFonts w:ascii="Times New Roman" w:hAnsi="Times New Roman" w:cs="Times New Roman"/>
          <w:sz w:val="24"/>
          <w:szCs w:val="24"/>
          <w:lang w:val="es-MX"/>
        </w:rPr>
        <w:t xml:space="preserve"> Obtenido de https://ciep.mx/la-contraccion-del-gasto-per-capita-en-salud-2010-2020/</w:t>
      </w:r>
    </w:p>
    <w:p w14:paraId="04E61235"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lastRenderedPageBreak/>
        <w:t xml:space="preserve">OCDE. (07 de noviembre de 2023). </w:t>
      </w:r>
      <w:r>
        <w:rPr>
          <w:rFonts w:ascii="Times New Roman" w:hAnsi="Times New Roman" w:cs="Times New Roman"/>
          <w:i/>
          <w:iCs/>
          <w:sz w:val="24"/>
          <w:szCs w:val="24"/>
          <w:lang w:val="es-MX"/>
        </w:rPr>
        <w:t>Health at a Glance 2023.</w:t>
      </w:r>
      <w:r>
        <w:rPr>
          <w:rFonts w:ascii="Times New Roman" w:hAnsi="Times New Roman" w:cs="Times New Roman"/>
          <w:sz w:val="24"/>
          <w:szCs w:val="24"/>
          <w:lang w:val="es-MX"/>
        </w:rPr>
        <w:t xml:space="preserve"> Obtenido de https://www.oecd.org/health/health-at-a-glance/</w:t>
      </w:r>
    </w:p>
    <w:p w14:paraId="09554117" w14:textId="77777777" w:rsidR="005D489F" w:rsidRDefault="00000000">
      <w:pPr>
        <w:pStyle w:val="Bibliography"/>
        <w:ind w:left="720" w:hanging="720"/>
        <w:rPr>
          <w:rFonts w:ascii="Times New Roman" w:hAnsi="Times New Roman" w:cs="Times New Roman"/>
          <w:sz w:val="24"/>
          <w:szCs w:val="24"/>
          <w:lang w:val="es-MX"/>
        </w:rPr>
      </w:pPr>
      <w:r>
        <w:rPr>
          <w:rFonts w:ascii="Times New Roman" w:hAnsi="Times New Roman" w:cs="Times New Roman"/>
          <w:sz w:val="24"/>
          <w:szCs w:val="24"/>
          <w:lang w:val="es-MX"/>
        </w:rPr>
        <w:t xml:space="preserve">OPS, O. (15 de 05 de 2024). </w:t>
      </w:r>
      <w:r>
        <w:rPr>
          <w:rFonts w:ascii="Times New Roman" w:hAnsi="Times New Roman" w:cs="Times New Roman"/>
          <w:i/>
          <w:iCs/>
          <w:sz w:val="24"/>
          <w:szCs w:val="24"/>
          <w:lang w:val="es-MX"/>
        </w:rPr>
        <w:t>Curso de vida saludable</w:t>
      </w:r>
      <w:r>
        <w:rPr>
          <w:rFonts w:ascii="Times New Roman" w:hAnsi="Times New Roman" w:cs="Times New Roman"/>
          <w:sz w:val="24"/>
          <w:szCs w:val="24"/>
          <w:lang w:val="es-MX"/>
        </w:rPr>
        <w:t>. Obtenido de https://www.paho.org/es/temas/curso-vida-saludable</w:t>
      </w:r>
    </w:p>
    <w:p w14:paraId="3A53B8B2" w14:textId="77777777" w:rsidR="00D621F6" w:rsidRDefault="00000000" w:rsidP="00D621F6">
      <w:pPr>
        <w:pStyle w:val="Bibliography"/>
        <w:ind w:left="720" w:hanging="720"/>
        <w:rPr>
          <w:rFonts w:ascii="Times New Roman" w:hAnsi="Times New Roman" w:cs="Times New Roman"/>
          <w:sz w:val="24"/>
          <w:szCs w:val="24"/>
          <w:lang w:val="es-MX"/>
        </w:rPr>
      </w:pPr>
      <w:proofErr w:type="spellStart"/>
      <w:r>
        <w:rPr>
          <w:rFonts w:ascii="Times New Roman" w:hAnsi="Times New Roman" w:cs="Times New Roman"/>
          <w:sz w:val="24"/>
          <w:szCs w:val="24"/>
          <w:lang w:val="es-MX"/>
        </w:rPr>
        <w:t>SSa</w:t>
      </w:r>
      <w:proofErr w:type="spellEnd"/>
      <w:r>
        <w:rPr>
          <w:rFonts w:ascii="Times New Roman" w:hAnsi="Times New Roman" w:cs="Times New Roman"/>
          <w:sz w:val="24"/>
          <w:szCs w:val="24"/>
          <w:lang w:val="es-MX"/>
        </w:rPr>
        <w:t xml:space="preserve">, INSP, UISP. (2019). </w:t>
      </w:r>
      <w:r>
        <w:rPr>
          <w:rFonts w:ascii="Times New Roman" w:hAnsi="Times New Roman" w:cs="Times New Roman"/>
          <w:i/>
          <w:iCs/>
          <w:sz w:val="24"/>
          <w:szCs w:val="24"/>
          <w:lang w:val="es-MX"/>
        </w:rPr>
        <w:t>Unidad de Inteligencia en Salud Pública</w:t>
      </w:r>
      <w:r>
        <w:rPr>
          <w:rFonts w:ascii="Times New Roman" w:hAnsi="Times New Roman" w:cs="Times New Roman"/>
          <w:sz w:val="24"/>
          <w:szCs w:val="24"/>
          <w:lang w:val="es-MX"/>
        </w:rPr>
        <w:t xml:space="preserve">. Obtenido de </w:t>
      </w:r>
      <w:hyperlink r:id="rId19" w:history="1">
        <w:r w:rsidR="00D621F6" w:rsidRPr="00410E2B">
          <w:rPr>
            <w:rStyle w:val="Hyperlink"/>
            <w:rFonts w:ascii="Times New Roman" w:hAnsi="Times New Roman" w:cs="Times New Roman"/>
            <w:sz w:val="24"/>
            <w:szCs w:val="24"/>
            <w:lang w:val="es-MX"/>
          </w:rPr>
          <w:t>https://uisp.insp.mx/wp/index.php/tablas-de-vida/</w:t>
        </w:r>
      </w:hyperlink>
    </w:p>
    <w:p w14:paraId="437721CE" w14:textId="1EAEFE05" w:rsidR="00D621F6" w:rsidRPr="00D621F6" w:rsidRDefault="00D621F6" w:rsidP="00D621F6">
      <w:pPr>
        <w:pStyle w:val="Bibliography"/>
        <w:ind w:left="720" w:hanging="720"/>
        <w:rPr>
          <w:rFonts w:ascii="Times New Roman" w:hAnsi="Times New Roman" w:cs="Times New Roman"/>
          <w:sz w:val="24"/>
          <w:szCs w:val="24"/>
          <w:lang w:val="es-MX"/>
        </w:rPr>
      </w:pPr>
      <w:r w:rsidRPr="00D621F6">
        <w:rPr>
          <w:rFonts w:asciiTheme="majorHAnsi" w:hAnsiTheme="majorHAnsi" w:cstheme="majorHAnsi"/>
          <w:sz w:val="24"/>
          <w:szCs w:val="24"/>
        </w:rPr>
        <w:t xml:space="preserve">Yew, </w:t>
      </w:r>
      <w:r w:rsidRPr="00D621F6">
        <w:rPr>
          <w:rFonts w:asciiTheme="majorHAnsi" w:hAnsiTheme="majorHAnsi" w:cstheme="majorHAnsi"/>
          <w:sz w:val="24"/>
          <w:szCs w:val="24"/>
        </w:rPr>
        <w:t>Siew Ling  and Jie Zhang (2018).</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“Health Spending, Savings and Fertility in a Lifecycle-Dynastic Model with Longevity Externalities.”</w:t>
      </w:r>
      <w:r w:rsidRPr="00D621F6">
        <w:rPr>
          <w:rFonts w:asciiTheme="majorHAnsi" w:hAnsiTheme="majorHAnsi" w:cstheme="majorHAnsi"/>
          <w:sz w:val="24"/>
          <w:szCs w:val="24"/>
        </w:rPr>
        <w:t xml:space="preserve"> </w:t>
      </w:r>
      <w:r w:rsidRPr="00D621F6">
        <w:rPr>
          <w:rFonts w:asciiTheme="majorHAnsi" w:hAnsiTheme="majorHAnsi" w:cstheme="majorHAnsi"/>
          <w:i/>
          <w:iCs/>
          <w:sz w:val="24"/>
          <w:szCs w:val="24"/>
        </w:rPr>
        <w:t>Journal of Population Economics</w:t>
      </w:r>
      <w:r w:rsidRPr="00D621F6">
        <w:rPr>
          <w:rFonts w:asciiTheme="majorHAnsi" w:hAnsiTheme="majorHAnsi" w:cstheme="majorHAnsi"/>
          <w:sz w:val="24"/>
          <w:szCs w:val="24"/>
        </w:rPr>
        <w:t>,</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31(4), 1209–1246.</w:t>
      </w:r>
      <w:r w:rsidRPr="00D621F6">
        <w:rPr>
          <w:rFonts w:asciiTheme="majorHAnsi" w:hAnsiTheme="majorHAnsi" w:cstheme="majorHAnsi"/>
          <w:sz w:val="24"/>
          <w:szCs w:val="24"/>
        </w:rPr>
        <w:t xml:space="preserve"> </w:t>
      </w:r>
      <w:r w:rsidRPr="00D621F6">
        <w:rPr>
          <w:rFonts w:asciiTheme="majorHAnsi" w:hAnsiTheme="majorHAnsi" w:cstheme="majorHAnsi"/>
          <w:sz w:val="24"/>
          <w:szCs w:val="24"/>
        </w:rPr>
        <w:t>https://doi.org/10.1007/s00148-018-0697-6</w:t>
      </w:r>
    </w:p>
    <w:p w14:paraId="1B1EA3EA" w14:textId="77777777" w:rsidR="005D489F" w:rsidRPr="00D621F6" w:rsidRDefault="005D489F">
      <w:pPr>
        <w:rPr>
          <w:rFonts w:ascii="Times New Roman" w:hAnsi="Times New Roman" w:cs="Times New Roman"/>
          <w:sz w:val="24"/>
          <w:szCs w:val="24"/>
        </w:rPr>
      </w:pPr>
    </w:p>
    <w:p w14:paraId="0182FEEF" w14:textId="77777777" w:rsidR="005D489F" w:rsidRPr="00D621F6" w:rsidRDefault="005D489F">
      <w:pPr>
        <w:rPr>
          <w:rFonts w:ascii="Times New Roman" w:hAnsi="Times New Roman" w:cs="Times New Roman"/>
          <w:b/>
          <w:bCs/>
          <w:sz w:val="24"/>
          <w:szCs w:val="24"/>
        </w:rPr>
      </w:pPr>
    </w:p>
    <w:p w14:paraId="197ACFC6" w14:textId="77777777" w:rsidR="005D489F" w:rsidRDefault="00000000">
      <w:pPr>
        <w:pStyle w:val="Heading1"/>
      </w:pPr>
      <w:r>
        <w:t>Appendix</w:t>
      </w:r>
    </w:p>
    <w:p w14:paraId="17819435" w14:textId="77777777" w:rsidR="005D489F" w:rsidRDefault="00000000">
      <w:pPr>
        <w:spacing w:line="360" w:lineRule="auto"/>
        <w:rPr>
          <w:rFonts w:ascii="Times New Roman" w:eastAsia="Calibri" w:hAnsi="Times New Roman" w:cs="Times New Roman"/>
          <w:sz w:val="24"/>
          <w:szCs w:val="24"/>
        </w:rPr>
      </w:pPr>
      <w:r>
        <w:rPr>
          <w:rFonts w:ascii="Times New Roman" w:eastAsia="Calibri" w:hAnsi="Times New Roman" w:cs="Times New Roman"/>
          <w:sz w:val="24"/>
          <w:szCs w:val="24"/>
        </w:rPr>
        <w:t>GBD: Costa Rica</w:t>
      </w:r>
    </w:p>
    <w:p w14:paraId="611F79D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metric for measuring the burden of disease by combining premature mortality and disability. Based on Global Burden of Disease (GBD) estimates, this analysis presents the evolution of DALYs in Costa Rica between 2015 and 2023, with the aim of identifying trends, relevant changes, and the major health problems that shaped this period.</w:t>
      </w:r>
    </w:p>
    <w:p w14:paraId="0F92720F"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002E5AC2"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2015, the disease burden in Costa Rica was dominated by chronic illnesses, particularly cardiovascular diseases such as stroke and ischemic heart disease, along with diabetes and chronic kidney disease. Musculoskeletal disorders and mental health conditions also held considerable weight within the DALYs. Among communicable diseases, neonatal disorders, respiratory infections, and HIV remained relevant, although to a lesser extent than chronic conditions. Injuries continued to play a significant role, especially traffic accidents, violence, and self-harm.</w:t>
      </w:r>
    </w:p>
    <w:p w14:paraId="0D5C6586" w14:textId="77777777" w:rsidR="005D489F" w:rsidRDefault="00000000">
      <w:pPr>
        <w:spacing w:line="360" w:lineRule="auto"/>
        <w:jc w:val="center"/>
        <w:rPr>
          <w:rFonts w:ascii="Times New Roman" w:eastAsia="Calibri" w:hAnsi="Times New Roman" w:cs="Times New Roman"/>
          <w:sz w:val="24"/>
          <w:szCs w:val="24"/>
        </w:rPr>
      </w:pPr>
      <w:r>
        <w:rPr>
          <w:noProof/>
        </w:rPr>
        <w:lastRenderedPageBreak/>
        <w:drawing>
          <wp:inline distT="0" distB="0" distL="0" distR="0" wp14:anchorId="4EC23D66" wp14:editId="0CBA490D">
            <wp:extent cx="3629025" cy="2876550"/>
            <wp:effectExtent l="0" t="0" r="0" b="0"/>
            <wp:docPr id="1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zAQAAB6AAAAAAAAAAAAAAAAAAAAAAAAAAAAAAAAAAAAAAAAAAAAAAUxYAALIRAAAAAAAAAAAAAAAAAAAoAAAACAAAAAEAAAABAAAA"/>
                        </a:ext>
                      </a:extLst>
                    </pic:cNvPicPr>
                  </pic:nvPicPr>
                  <pic:blipFill>
                    <a:blip r:embed="rId20"/>
                    <a:stretch>
                      <a:fillRect/>
                    </a:stretch>
                  </pic:blipFill>
                  <pic:spPr>
                    <a:xfrm>
                      <a:off x="0" y="0"/>
                      <a:ext cx="3629025" cy="2876550"/>
                    </a:xfrm>
                    <a:prstGeom prst="rect">
                      <a:avLst/>
                    </a:prstGeom>
                    <a:noFill/>
                    <a:ln w="9525">
                      <a:noFill/>
                    </a:ln>
                  </pic:spPr>
                </pic:pic>
              </a:graphicData>
            </a:graphic>
          </wp:inline>
        </w:drawing>
      </w:r>
    </w:p>
    <w:p w14:paraId="2CAF7D21"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63602CB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2023, Costa Rica continued to display a disease burden profile clearly dominated by chronic conditions, especially ischemic heart disease, diabetes, and chronic kidney disease, which ranked among the top causes of DALYs. Musculoskeletal and mental health disorders maintained a significant presence, while COVID-19 continued to be relevant among communicable diseases, albeit with less weight than in previous years. Neonatal problems and respiratory infections remained among the leading communicable causes. Injuries sustained their usual contribution, with falls, traffic accidents, and violence standing out.</w:t>
      </w:r>
    </w:p>
    <w:p w14:paraId="7BA050B4"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619126C7" wp14:editId="18897CD5">
            <wp:extent cx="3629025" cy="2876550"/>
            <wp:effectExtent l="0" t="0" r="0" b="0"/>
            <wp:docPr id="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2AQAAB6AAAAAAAAAAAAAAAAAAAAAAAAAAAAAAAAAAAAAAAAAAAAAAUxYAALIRAAAAAAAAAAAAAAAAAAAoAAAACAAAAAEAAAABAAAA"/>
                        </a:ext>
                      </a:extLst>
                    </pic:cNvPicPr>
                  </pic:nvPicPr>
                  <pic:blipFill>
                    <a:blip r:embed="rId21"/>
                    <a:stretch>
                      <a:fillRect/>
                    </a:stretch>
                  </pic:blipFill>
                  <pic:spPr>
                    <a:xfrm>
                      <a:off x="0" y="0"/>
                      <a:ext cx="3629025" cy="2876550"/>
                    </a:xfrm>
                    <a:prstGeom prst="rect">
                      <a:avLst/>
                    </a:prstGeom>
                    <a:noFill/>
                    <a:ln w="9525">
                      <a:noFill/>
                    </a:ln>
                  </pic:spPr>
                </pic:pic>
              </a:graphicData>
            </a:graphic>
          </wp:inline>
        </w:drawing>
      </w:r>
    </w:p>
    <w:p w14:paraId="5044FCA1"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Between 2015 and 2023, Costa Rica exhibits a clear trend toward the increasing predominance of chronic diseases, with ischemic heart disease, diabetes, and chronic kidney disease consolidating themselves among the top-ranked causes. Musculoskeletal and mental health conditions have risen slightly in importance, reflecting their sustained weight in the burden of morbidity. Communicable diseases—such as neonatal disorders and respiratory infections—have gradually declined and lost relative prominence, except for the temporary disruption caused by COVID-19. Injuries—particularly falls, traffic accidents, and violence—remained stable throughout the period. Overall, the data reveal a consistent process of epidemiological transition, with the disease burden increasingly concentrated in noncommunicable conditions.</w:t>
      </w:r>
    </w:p>
    <w:p w14:paraId="019C946B" w14:textId="77777777" w:rsidR="005D489F" w:rsidRDefault="00000000">
      <w:pPr>
        <w:jc w:val="center"/>
        <w:rPr>
          <w:rFonts w:ascii="Times New Roman" w:hAnsi="Times New Roman" w:cs="Times New Roman"/>
          <w:sz w:val="24"/>
          <w:szCs w:val="24"/>
        </w:rPr>
      </w:pPr>
      <w:r>
        <w:rPr>
          <w:noProof/>
        </w:rPr>
        <w:drawing>
          <wp:inline distT="0" distB="0" distL="0" distR="0" wp14:anchorId="6D86B75D" wp14:editId="64356FA2">
            <wp:extent cx="3629025" cy="2876550"/>
            <wp:effectExtent l="0" t="0" r="0" b="0"/>
            <wp:docPr id="1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B4AQAAB6AAAAAAAAAAAAAAAAAAAAAAAAAAAAAAAAAAAAAAAAAAAAAAUxYAALIRAAAAAAAAAAAAAAAAAAAoAAAACAAAAAEAAAABAAAA"/>
                        </a:ext>
                      </a:extLst>
                    </pic:cNvPicPr>
                  </pic:nvPicPr>
                  <pic:blipFill>
                    <a:blip r:embed="rId22"/>
                    <a:stretch>
                      <a:fillRect/>
                    </a:stretch>
                  </pic:blipFill>
                  <pic:spPr>
                    <a:xfrm>
                      <a:off x="0" y="0"/>
                      <a:ext cx="3629025" cy="2876550"/>
                    </a:xfrm>
                    <a:prstGeom prst="rect">
                      <a:avLst/>
                    </a:prstGeom>
                    <a:noFill/>
                    <a:ln w="9525">
                      <a:noFill/>
                    </a:ln>
                  </pic:spPr>
                </pic:pic>
              </a:graphicData>
            </a:graphic>
          </wp:inline>
        </w:drawing>
      </w:r>
    </w:p>
    <w:p w14:paraId="6EF67DDF" w14:textId="77777777" w:rsidR="005D489F" w:rsidRDefault="005D489F">
      <w:pPr>
        <w:jc w:val="center"/>
        <w:rPr>
          <w:rFonts w:ascii="Times New Roman" w:hAnsi="Times New Roman" w:cs="Times New Roman"/>
          <w:sz w:val="24"/>
          <w:szCs w:val="24"/>
        </w:rPr>
      </w:pPr>
    </w:p>
    <w:p w14:paraId="0147CC4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GBD: Mexico</w:t>
      </w:r>
    </w:p>
    <w:p w14:paraId="3A746CFA"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measure of the burden of disease by combining premature mortality and disability. Based on Global Burden of Disease (GBD) estimates, this analysis presents the evolution of DALYs in Mexico between 2015 and 2023, with the goal of identifying trends, relevant changes, and the main health problems that have shaped this period.</w:t>
      </w:r>
    </w:p>
    <w:p w14:paraId="1F857A9B"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7235CB4E" w14:textId="0ED16E44"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In 2015, Mexico’s disease burden was dominated by chronic and noncommunicable conditions, with a notable weight of diabetes, cardiovascular diseases, chronic kidney disease, congenital disorders, and various neuropsychiatric and musculoskeletal conditions. Communicable, maternal, and child-related causes continued to represent a relevant share, as did injuries, particularly unintentional injuries, suicide, interpersonal violence, and transport accidents. Overall, the profile reflects a country in epidemiological transition, with chronic diseases predominating yet still accompanied by a considerable burden from preventable causes.</w:t>
      </w:r>
    </w:p>
    <w:p w14:paraId="14C552C5"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7105048A"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By 2023, the burden associated with COVID-19 decreased even further, remaining visible but no longer dominant due to sustained reductions in mortality. The profile once again resembled the pre-pandemic pattern, where chronic diseases—diabetes, chronic kidney disease, ischemic heart disease, and cerebrovascular disease—returned to the center of DALY contributions. Mental and musculoskeletal disorders continued to be significant due to their contribution to disability, while neonatal conditions and lower respiratory infections maintained their relative weight. Injuries, particularly traffic accidents and violence, remained constant components of the disease burden. Thus, 2023 reflects a post-pandemic realignment and a return to long-term structural trends.</w:t>
      </w:r>
    </w:p>
    <w:p w14:paraId="688C0C14"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710875A3" wp14:editId="6C95DB9C">
            <wp:extent cx="3629025" cy="2876550"/>
            <wp:effectExtent l="0" t="0" r="0" b="0"/>
            <wp:docPr id="1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CAQAAB6AAAAAAAAAAAAAAAAAAAAAAAAAAAAAAAAAAAAAAAAAAAAAAUxYAALIRAAAAAAAAAAAAAAAAAAAoAAAACAAAAAEAAAABAAAA"/>
                        </a:ext>
                      </a:extLst>
                    </pic:cNvPicPr>
                  </pic:nvPicPr>
                  <pic:blipFill>
                    <a:blip r:embed="rId23"/>
                    <a:stretch>
                      <a:fillRect/>
                    </a:stretch>
                  </pic:blipFill>
                  <pic:spPr>
                    <a:xfrm>
                      <a:off x="0" y="0"/>
                      <a:ext cx="3629025" cy="2876550"/>
                    </a:xfrm>
                    <a:prstGeom prst="rect">
                      <a:avLst/>
                    </a:prstGeom>
                    <a:noFill/>
                    <a:ln w="9525">
                      <a:noFill/>
                    </a:ln>
                  </pic:spPr>
                </pic:pic>
              </a:graphicData>
            </a:graphic>
          </wp:inline>
        </w:drawing>
      </w:r>
    </w:p>
    <w:p w14:paraId="5FB8557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lastRenderedPageBreak/>
        <w:t>Between 2015 and 2023, Mexico’s disease burden was dominated by chronic conditions, along with a constant contribution from mental, musculoskeletal, and neonatal disorders. Injuries—especially traffic accidents, suicide, and violence—remained relevant causes throughout the entire period. This stable pattern was disrupted in 2020 with the emergence of COVID-19, which became one of the main sources of DALYs and temporarily altered the epidemiological profile. Although its magnitude diminished progressively in 2021–2023, the pandemic left a visible impact before the landscape returned to a structure similar to that observed in preceding years.</w:t>
      </w:r>
    </w:p>
    <w:p w14:paraId="3DB3E69D"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4C16D101" wp14:editId="225CEB68">
            <wp:extent cx="4086225" cy="3238500"/>
            <wp:effectExtent l="0" t="0" r="0" b="0"/>
            <wp:docPr id="1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EAQAAB6AAAAAAAAAAAAAAAAAAAAAAAAAAAAAAAAAAAAAAAAAAAAAAIxkAAOwTAAAAAAAAAAAAAAAAAAAoAAAACAAAAAEAAAABAAAA"/>
                        </a:ext>
                      </a:extLst>
                    </pic:cNvPicPr>
                  </pic:nvPicPr>
                  <pic:blipFill>
                    <a:blip r:embed="rId24"/>
                    <a:stretch>
                      <a:fillRect/>
                    </a:stretch>
                  </pic:blipFill>
                  <pic:spPr>
                    <a:xfrm>
                      <a:off x="0" y="0"/>
                      <a:ext cx="4086225" cy="3238500"/>
                    </a:xfrm>
                    <a:prstGeom prst="rect">
                      <a:avLst/>
                    </a:prstGeom>
                    <a:noFill/>
                    <a:ln w="9525">
                      <a:noFill/>
                    </a:ln>
                  </pic:spPr>
                </pic:pic>
              </a:graphicData>
            </a:graphic>
          </wp:inline>
        </w:drawing>
      </w:r>
    </w:p>
    <w:p w14:paraId="39A2DED7"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GBD: Panama</w:t>
      </w:r>
    </w:p>
    <w:p w14:paraId="384BB4B9"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Disability-Adjusted Life Years (DALYs) provide a comprehensive measure of the burden of disease by combining premature mortality and disability. Based on Global Burden of Disease (GBD) estimates, this analysis presents the evolution of DALYs in Panama between 2015 and 2023, with the aim of identifying trends, relevant changes, and the major health problems that have characterized this period.</w:t>
      </w:r>
    </w:p>
    <w:p w14:paraId="4B60F626"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2015</w:t>
      </w:r>
    </w:p>
    <w:p w14:paraId="61CFDA95"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In 2015, Panama’s disease burden was dominated by chronic conditions, particularly cardiovascular diseases, diabetes, and chronic kidney disease. Musculoskeletal disorders and </w:t>
      </w:r>
      <w:r>
        <w:rPr>
          <w:rFonts w:ascii="Times New Roman" w:eastAsia="Calibri" w:hAnsi="Times New Roman" w:cs="Times New Roman"/>
          <w:sz w:val="24"/>
          <w:szCs w:val="24"/>
        </w:rPr>
        <w:lastRenderedPageBreak/>
        <w:t>mental health conditions also contributed a considerable share of DALYs. Among communicable diseases, neonatal disorders, respiratory infections, and diarrhea stood out, while HIV drew attention due to its high burden and unfavorable trend. Injuries—especially traffic accidents—remained significant, along with falls, violence, and self-harm.</w:t>
      </w:r>
    </w:p>
    <w:p w14:paraId="7E016A9B" w14:textId="77777777" w:rsidR="005D489F" w:rsidRDefault="005D489F">
      <w:pPr>
        <w:spacing w:line="360" w:lineRule="auto"/>
        <w:jc w:val="center"/>
        <w:rPr>
          <w:rFonts w:ascii="Times New Roman" w:eastAsia="Calibri" w:hAnsi="Times New Roman" w:cs="Times New Roman"/>
          <w:sz w:val="24"/>
          <w:szCs w:val="24"/>
        </w:rPr>
      </w:pPr>
    </w:p>
    <w:p w14:paraId="1763AC67" w14:textId="77777777" w:rsidR="005D489F" w:rsidRDefault="005D489F">
      <w:pPr>
        <w:spacing w:line="360" w:lineRule="auto"/>
        <w:jc w:val="both"/>
        <w:rPr>
          <w:rFonts w:ascii="Times New Roman" w:eastAsia="Calibri" w:hAnsi="Times New Roman" w:cs="Times New Roman"/>
          <w:sz w:val="24"/>
          <w:szCs w:val="24"/>
        </w:rPr>
      </w:pPr>
    </w:p>
    <w:p w14:paraId="65D9BB11" w14:textId="77777777" w:rsidR="005D489F" w:rsidRDefault="00000000">
      <w:pPr>
        <w:spacing w:line="360" w:lineRule="auto"/>
        <w:jc w:val="center"/>
        <w:rPr>
          <w:rFonts w:ascii="Times New Roman" w:eastAsia="Calibri" w:hAnsi="Times New Roman" w:cs="Times New Roman"/>
          <w:sz w:val="24"/>
          <w:szCs w:val="24"/>
        </w:rPr>
      </w:pPr>
      <w:r>
        <w:rPr>
          <w:noProof/>
        </w:rPr>
        <w:drawing>
          <wp:inline distT="0" distB="0" distL="0" distR="0" wp14:anchorId="61BFB8AA" wp14:editId="131C4154">
            <wp:extent cx="3629025" cy="2876550"/>
            <wp:effectExtent l="0" t="0" r="0" b="0"/>
            <wp:docPr id="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LAQAAB6AAAAAAAAAAAAAAAAAAAAAAAAAAAAAAAAAAAAAAAAAAAAAAUxYAALIRAAAAAAAAAAAAAAAAAAAoAAAACAAAAAEAAAABAAAA"/>
                        </a:ext>
                      </a:extLst>
                    </pic:cNvPicPr>
                  </pic:nvPicPr>
                  <pic:blipFill>
                    <a:blip r:embed="rId25"/>
                    <a:stretch>
                      <a:fillRect/>
                    </a:stretch>
                  </pic:blipFill>
                  <pic:spPr>
                    <a:xfrm>
                      <a:off x="0" y="0"/>
                      <a:ext cx="3629025" cy="2876550"/>
                    </a:xfrm>
                    <a:prstGeom prst="rect">
                      <a:avLst/>
                    </a:prstGeom>
                    <a:noFill/>
                    <a:ln w="9525">
                      <a:noFill/>
                    </a:ln>
                  </pic:spPr>
                </pic:pic>
              </a:graphicData>
            </a:graphic>
          </wp:inline>
        </w:drawing>
      </w:r>
    </w:p>
    <w:p w14:paraId="6CEA583C"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2023</w:t>
      </w:r>
    </w:p>
    <w:p w14:paraId="7547E690" w14:textId="77777777"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In 2023, chronic diseases continued to dominate Panama’s burden of disease, with ischemic heart disease, diabetes, and chronic kidney disease among the leading causes of DALYs. Stroke also remained highly relevant. Among communicable causes, COVID-19 remained present though less prominent, accompanied by neonatal disorders, respiratory infections, and HIV. Musculoskeletal and mental health problems remained stable, and injuries retained their usual pattern, with traffic accidents, falls, and violence standing out.</w:t>
      </w:r>
    </w:p>
    <w:p w14:paraId="62650A63" w14:textId="77777777" w:rsidR="005D489F" w:rsidRDefault="00000000">
      <w:pPr>
        <w:spacing w:line="360" w:lineRule="auto"/>
        <w:jc w:val="center"/>
        <w:rPr>
          <w:rFonts w:ascii="Times New Roman" w:eastAsia="Calibri" w:hAnsi="Times New Roman" w:cs="Times New Roman"/>
          <w:sz w:val="24"/>
          <w:szCs w:val="24"/>
        </w:rPr>
      </w:pPr>
      <w:r>
        <w:rPr>
          <w:noProof/>
        </w:rPr>
        <w:lastRenderedPageBreak/>
        <w:drawing>
          <wp:inline distT="0" distB="0" distL="0" distR="0" wp14:anchorId="3E02F8C0" wp14:editId="130DB14C">
            <wp:extent cx="3629025" cy="2876550"/>
            <wp:effectExtent l="0" t="0" r="0" b="0"/>
            <wp:docPr id="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OAQAAB6AAAAAAAAAAAAAAAAAAAAAAAAAAAAAAAAAAAAAAAAAAAAAAUxYAALIRAAAAAAAAAAAAAAAAAAAoAAAACAAAAAEAAAABAAAA"/>
                        </a:ext>
                      </a:extLst>
                    </pic:cNvPicPr>
                  </pic:nvPicPr>
                  <pic:blipFill>
                    <a:blip r:embed="rId26"/>
                    <a:stretch>
                      <a:fillRect/>
                    </a:stretch>
                  </pic:blipFill>
                  <pic:spPr>
                    <a:xfrm>
                      <a:off x="0" y="0"/>
                      <a:ext cx="3629025" cy="2876550"/>
                    </a:xfrm>
                    <a:prstGeom prst="rect">
                      <a:avLst/>
                    </a:prstGeom>
                    <a:noFill/>
                    <a:ln w="9525">
                      <a:noFill/>
                    </a:ln>
                  </pic:spPr>
                </pic:pic>
              </a:graphicData>
            </a:graphic>
          </wp:inline>
        </w:drawing>
      </w:r>
    </w:p>
    <w:p w14:paraId="594C5D57" w14:textId="6A663AD3" w:rsidR="005D489F" w:rsidRDefault="00000000">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comparison between 2015 and 2023 shows a clear strengthening of chronic diseases, which climb the ranking and displace several communicable conditions. Neonatal disorders remain relevant but lose position to the rise of noncommunicable diseases (NCDs). Injuries remain relatively stable over time, without marked variations. HIV declines slightly in importance, while COVID-19 emerges as a disruptive event in recent years. Overall, the data </w:t>
      </w:r>
      <w:r w:rsidR="00934A3F">
        <w:rPr>
          <w:rFonts w:ascii="Times New Roman" w:eastAsia="Calibri" w:hAnsi="Times New Roman" w:cs="Times New Roman"/>
          <w:sz w:val="24"/>
          <w:szCs w:val="24"/>
        </w:rPr>
        <w:t>reflects</w:t>
      </w:r>
      <w:r>
        <w:rPr>
          <w:rFonts w:ascii="Times New Roman" w:eastAsia="Calibri" w:hAnsi="Times New Roman" w:cs="Times New Roman"/>
          <w:sz w:val="24"/>
          <w:szCs w:val="24"/>
        </w:rPr>
        <w:t xml:space="preserve"> a consolidated epidemiological transition, characterized by the growing predominance of noncommunicable diseases.</w:t>
      </w:r>
    </w:p>
    <w:p w14:paraId="61A5C997" w14:textId="77777777" w:rsidR="005D489F" w:rsidRDefault="00000000">
      <w:pPr>
        <w:jc w:val="both"/>
        <w:rPr>
          <w:rFonts w:ascii="Times New Roman" w:hAnsi="Times New Roman" w:cs="Times New Roman"/>
          <w:sz w:val="24"/>
          <w:szCs w:val="24"/>
        </w:rPr>
      </w:pPr>
      <w:r>
        <w:rPr>
          <w:noProof/>
        </w:rPr>
        <w:drawing>
          <wp:inline distT="0" distB="0" distL="0" distR="0" wp14:anchorId="0F577865" wp14:editId="29B26E9E">
            <wp:extent cx="3629025" cy="2876550"/>
            <wp:effectExtent l="0" t="0" r="0" b="0"/>
            <wp:docPr id="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drawing"/>
                    <pic:cNvPicPr>
                      <a:picLocks noChangeAspect="1"/>
                      <a:extLst>
                        <a:ext uri="smNativeData">
                          <sm:smNativeData xmlns:sm="smNativeData" xmlns:w="http://schemas.openxmlformats.org/wordprocessingml/2006/main" xmlns:w10="urn:schemas-microsoft-com:office:word" xmlns:v="urn:schemas-microsoft-com:vml" xmlns:o="urn:schemas-microsoft-com:office:office" xmlns="" val="SMDATA_16_5Jt9aR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CQAQAAB6AAAAAAAAAAAAAAAAAAAAAAAAAAAAAAAAAAAAAAAAAAAAAAUxYAALIRAAAAAAAAAAAAAAAAAAAoAAAACAAAAAEAAAABAAAA"/>
                        </a:ext>
                      </a:extLst>
                    </pic:cNvPicPr>
                  </pic:nvPicPr>
                  <pic:blipFill>
                    <a:blip r:embed="rId27"/>
                    <a:stretch>
                      <a:fillRect/>
                    </a:stretch>
                  </pic:blipFill>
                  <pic:spPr>
                    <a:xfrm>
                      <a:off x="0" y="0"/>
                      <a:ext cx="3629025" cy="2876550"/>
                    </a:xfrm>
                    <a:prstGeom prst="rect">
                      <a:avLst/>
                    </a:prstGeom>
                    <a:noFill/>
                    <a:ln w="9525">
                      <a:noFill/>
                    </a:ln>
                  </pic:spPr>
                </pic:pic>
              </a:graphicData>
            </a:graphic>
          </wp:inline>
        </w:drawing>
      </w:r>
    </w:p>
    <w:p w14:paraId="303390C8" w14:textId="77777777" w:rsidR="005D489F" w:rsidRDefault="005D489F">
      <w:pPr>
        <w:rPr>
          <w:rFonts w:ascii="Times New Roman" w:hAnsi="Times New Roman" w:cs="Times New Roman"/>
          <w:b/>
          <w:bCs/>
          <w:sz w:val="24"/>
          <w:szCs w:val="24"/>
        </w:rPr>
      </w:pPr>
    </w:p>
    <w:sectPr w:rsidR="005D489F">
      <w:pgSz w:w="12240" w:h="15840"/>
      <w:pgMar w:top="1417" w:right="1701" w:bottom="1417"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1C8F"/>
    <w:multiLevelType w:val="multilevel"/>
    <w:tmpl w:val="839A0950"/>
    <w:name w:val="Lista numerada 9"/>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 w15:restartNumberingAfterBreak="0">
    <w:nsid w:val="060217B8"/>
    <w:multiLevelType w:val="hybridMultilevel"/>
    <w:tmpl w:val="4606CCE0"/>
    <w:name w:val="Lista numerada 14"/>
    <w:lvl w:ilvl="0" w:tplc="2F0C3E06">
      <w:numFmt w:val="bullet"/>
      <w:lvlText w:val="·"/>
      <w:lvlJc w:val="left"/>
      <w:pPr>
        <w:ind w:left="360" w:firstLine="0"/>
      </w:pPr>
      <w:rPr>
        <w:rFonts w:ascii="Symbol" w:hAnsi="Symbol"/>
        <w:sz w:val="20"/>
      </w:rPr>
    </w:lvl>
    <w:lvl w:ilvl="1" w:tplc="DD8CF972">
      <w:numFmt w:val="bullet"/>
      <w:lvlText w:val="o"/>
      <w:lvlJc w:val="left"/>
      <w:pPr>
        <w:ind w:left="1080" w:firstLine="0"/>
      </w:pPr>
      <w:rPr>
        <w:rFonts w:ascii="Courier New" w:hAnsi="Courier New"/>
        <w:sz w:val="20"/>
      </w:rPr>
    </w:lvl>
    <w:lvl w:ilvl="2" w:tplc="446E813A">
      <w:numFmt w:val="bullet"/>
      <w:lvlText w:val=""/>
      <w:lvlJc w:val="left"/>
      <w:pPr>
        <w:ind w:left="1800" w:firstLine="0"/>
      </w:pPr>
      <w:rPr>
        <w:rFonts w:ascii="Wingdings" w:eastAsia="Wingdings" w:hAnsi="Wingdings" w:cs="Wingdings"/>
        <w:sz w:val="20"/>
      </w:rPr>
    </w:lvl>
    <w:lvl w:ilvl="3" w:tplc="EFFA0D34">
      <w:numFmt w:val="bullet"/>
      <w:lvlText w:val=""/>
      <w:lvlJc w:val="left"/>
      <w:pPr>
        <w:ind w:left="2520" w:firstLine="0"/>
      </w:pPr>
      <w:rPr>
        <w:rFonts w:ascii="Wingdings" w:eastAsia="Wingdings" w:hAnsi="Wingdings" w:cs="Wingdings"/>
        <w:sz w:val="20"/>
      </w:rPr>
    </w:lvl>
    <w:lvl w:ilvl="4" w:tplc="FF54DB52">
      <w:numFmt w:val="bullet"/>
      <w:lvlText w:val=""/>
      <w:lvlJc w:val="left"/>
      <w:pPr>
        <w:ind w:left="3240" w:firstLine="0"/>
      </w:pPr>
      <w:rPr>
        <w:rFonts w:ascii="Wingdings" w:eastAsia="Wingdings" w:hAnsi="Wingdings" w:cs="Wingdings"/>
        <w:sz w:val="20"/>
      </w:rPr>
    </w:lvl>
    <w:lvl w:ilvl="5" w:tplc="93B89D84">
      <w:numFmt w:val="bullet"/>
      <w:lvlText w:val=""/>
      <w:lvlJc w:val="left"/>
      <w:pPr>
        <w:ind w:left="3960" w:firstLine="0"/>
      </w:pPr>
      <w:rPr>
        <w:rFonts w:ascii="Wingdings" w:eastAsia="Wingdings" w:hAnsi="Wingdings" w:cs="Wingdings"/>
        <w:sz w:val="20"/>
      </w:rPr>
    </w:lvl>
    <w:lvl w:ilvl="6" w:tplc="68EE0E58">
      <w:numFmt w:val="bullet"/>
      <w:lvlText w:val=""/>
      <w:lvlJc w:val="left"/>
      <w:pPr>
        <w:ind w:left="4680" w:firstLine="0"/>
      </w:pPr>
      <w:rPr>
        <w:rFonts w:ascii="Wingdings" w:eastAsia="Wingdings" w:hAnsi="Wingdings" w:cs="Wingdings"/>
        <w:sz w:val="20"/>
      </w:rPr>
    </w:lvl>
    <w:lvl w:ilvl="7" w:tplc="B0261ED0">
      <w:numFmt w:val="bullet"/>
      <w:lvlText w:val=""/>
      <w:lvlJc w:val="left"/>
      <w:pPr>
        <w:ind w:left="5400" w:firstLine="0"/>
      </w:pPr>
      <w:rPr>
        <w:rFonts w:ascii="Wingdings" w:eastAsia="Wingdings" w:hAnsi="Wingdings" w:cs="Wingdings"/>
        <w:sz w:val="20"/>
      </w:rPr>
    </w:lvl>
    <w:lvl w:ilvl="8" w:tplc="8D50D886">
      <w:numFmt w:val="bullet"/>
      <w:lvlText w:val=""/>
      <w:lvlJc w:val="left"/>
      <w:pPr>
        <w:ind w:left="6120" w:firstLine="0"/>
      </w:pPr>
      <w:rPr>
        <w:rFonts w:ascii="Wingdings" w:eastAsia="Wingdings" w:hAnsi="Wingdings" w:cs="Wingdings"/>
        <w:sz w:val="20"/>
      </w:rPr>
    </w:lvl>
  </w:abstractNum>
  <w:abstractNum w:abstractNumId="2" w15:restartNumberingAfterBreak="0">
    <w:nsid w:val="060E72AD"/>
    <w:multiLevelType w:val="hybridMultilevel"/>
    <w:tmpl w:val="32B4743C"/>
    <w:name w:val="Lista numerada 11"/>
    <w:lvl w:ilvl="0" w:tplc="A1745876">
      <w:numFmt w:val="bullet"/>
      <w:lvlText w:val="·"/>
      <w:lvlJc w:val="left"/>
      <w:pPr>
        <w:ind w:left="360" w:firstLine="0"/>
      </w:pPr>
      <w:rPr>
        <w:rFonts w:ascii="Symbol" w:hAnsi="Symbol"/>
        <w:sz w:val="20"/>
      </w:rPr>
    </w:lvl>
    <w:lvl w:ilvl="1" w:tplc="01C89134">
      <w:numFmt w:val="bullet"/>
      <w:lvlText w:val="o"/>
      <w:lvlJc w:val="left"/>
      <w:pPr>
        <w:ind w:left="1080" w:firstLine="0"/>
      </w:pPr>
      <w:rPr>
        <w:rFonts w:ascii="Courier New" w:hAnsi="Courier New"/>
        <w:sz w:val="20"/>
      </w:rPr>
    </w:lvl>
    <w:lvl w:ilvl="2" w:tplc="F8D0E5E6">
      <w:numFmt w:val="bullet"/>
      <w:lvlText w:val=""/>
      <w:lvlJc w:val="left"/>
      <w:pPr>
        <w:ind w:left="1800" w:firstLine="0"/>
      </w:pPr>
      <w:rPr>
        <w:rFonts w:ascii="Wingdings" w:eastAsia="Wingdings" w:hAnsi="Wingdings" w:cs="Wingdings"/>
        <w:sz w:val="20"/>
      </w:rPr>
    </w:lvl>
    <w:lvl w:ilvl="3" w:tplc="51024DF2">
      <w:numFmt w:val="bullet"/>
      <w:lvlText w:val=""/>
      <w:lvlJc w:val="left"/>
      <w:pPr>
        <w:ind w:left="2520" w:firstLine="0"/>
      </w:pPr>
      <w:rPr>
        <w:rFonts w:ascii="Wingdings" w:eastAsia="Wingdings" w:hAnsi="Wingdings" w:cs="Wingdings"/>
        <w:sz w:val="20"/>
      </w:rPr>
    </w:lvl>
    <w:lvl w:ilvl="4" w:tplc="C796536A">
      <w:numFmt w:val="bullet"/>
      <w:lvlText w:val=""/>
      <w:lvlJc w:val="left"/>
      <w:pPr>
        <w:ind w:left="3240" w:firstLine="0"/>
      </w:pPr>
      <w:rPr>
        <w:rFonts w:ascii="Wingdings" w:eastAsia="Wingdings" w:hAnsi="Wingdings" w:cs="Wingdings"/>
        <w:sz w:val="20"/>
      </w:rPr>
    </w:lvl>
    <w:lvl w:ilvl="5" w:tplc="81CE61F8">
      <w:numFmt w:val="bullet"/>
      <w:lvlText w:val=""/>
      <w:lvlJc w:val="left"/>
      <w:pPr>
        <w:ind w:left="3960" w:firstLine="0"/>
      </w:pPr>
      <w:rPr>
        <w:rFonts w:ascii="Wingdings" w:eastAsia="Wingdings" w:hAnsi="Wingdings" w:cs="Wingdings"/>
        <w:sz w:val="20"/>
      </w:rPr>
    </w:lvl>
    <w:lvl w:ilvl="6" w:tplc="CBEE28C8">
      <w:numFmt w:val="bullet"/>
      <w:lvlText w:val=""/>
      <w:lvlJc w:val="left"/>
      <w:pPr>
        <w:ind w:left="4680" w:firstLine="0"/>
      </w:pPr>
      <w:rPr>
        <w:rFonts w:ascii="Wingdings" w:eastAsia="Wingdings" w:hAnsi="Wingdings" w:cs="Wingdings"/>
        <w:sz w:val="20"/>
      </w:rPr>
    </w:lvl>
    <w:lvl w:ilvl="7" w:tplc="C9B4ABC6">
      <w:numFmt w:val="bullet"/>
      <w:lvlText w:val=""/>
      <w:lvlJc w:val="left"/>
      <w:pPr>
        <w:ind w:left="5400" w:firstLine="0"/>
      </w:pPr>
      <w:rPr>
        <w:rFonts w:ascii="Wingdings" w:eastAsia="Wingdings" w:hAnsi="Wingdings" w:cs="Wingdings"/>
        <w:sz w:val="20"/>
      </w:rPr>
    </w:lvl>
    <w:lvl w:ilvl="8" w:tplc="3BCA0116">
      <w:numFmt w:val="bullet"/>
      <w:lvlText w:val=""/>
      <w:lvlJc w:val="left"/>
      <w:pPr>
        <w:ind w:left="6120" w:firstLine="0"/>
      </w:pPr>
      <w:rPr>
        <w:rFonts w:ascii="Wingdings" w:eastAsia="Wingdings" w:hAnsi="Wingdings" w:cs="Wingdings"/>
        <w:sz w:val="20"/>
      </w:rPr>
    </w:lvl>
  </w:abstractNum>
  <w:abstractNum w:abstractNumId="3" w15:restartNumberingAfterBreak="0">
    <w:nsid w:val="08E20344"/>
    <w:multiLevelType w:val="hybridMultilevel"/>
    <w:tmpl w:val="C8FAA4E8"/>
    <w:name w:val="Lista numerada 8"/>
    <w:lvl w:ilvl="0" w:tplc="EC18E924">
      <w:numFmt w:val="bullet"/>
      <w:lvlText w:val="·"/>
      <w:lvlJc w:val="left"/>
      <w:pPr>
        <w:ind w:left="360" w:firstLine="0"/>
      </w:pPr>
      <w:rPr>
        <w:rFonts w:ascii="Symbol" w:hAnsi="Symbol"/>
        <w:sz w:val="20"/>
      </w:rPr>
    </w:lvl>
    <w:lvl w:ilvl="1" w:tplc="A414FD18">
      <w:numFmt w:val="bullet"/>
      <w:lvlText w:val="o"/>
      <w:lvlJc w:val="left"/>
      <w:pPr>
        <w:ind w:left="1080" w:firstLine="0"/>
      </w:pPr>
      <w:rPr>
        <w:rFonts w:ascii="Courier New" w:hAnsi="Courier New"/>
        <w:sz w:val="20"/>
      </w:rPr>
    </w:lvl>
    <w:lvl w:ilvl="2" w:tplc="49605950">
      <w:numFmt w:val="bullet"/>
      <w:lvlText w:val=""/>
      <w:lvlJc w:val="left"/>
      <w:pPr>
        <w:ind w:left="1800" w:firstLine="0"/>
      </w:pPr>
      <w:rPr>
        <w:rFonts w:ascii="Wingdings" w:eastAsia="Wingdings" w:hAnsi="Wingdings" w:cs="Wingdings"/>
        <w:sz w:val="20"/>
      </w:rPr>
    </w:lvl>
    <w:lvl w:ilvl="3" w:tplc="DF2C551E">
      <w:numFmt w:val="bullet"/>
      <w:lvlText w:val=""/>
      <w:lvlJc w:val="left"/>
      <w:pPr>
        <w:ind w:left="2520" w:firstLine="0"/>
      </w:pPr>
      <w:rPr>
        <w:rFonts w:ascii="Wingdings" w:eastAsia="Wingdings" w:hAnsi="Wingdings" w:cs="Wingdings"/>
        <w:sz w:val="20"/>
      </w:rPr>
    </w:lvl>
    <w:lvl w:ilvl="4" w:tplc="D7CEA7C2">
      <w:numFmt w:val="bullet"/>
      <w:lvlText w:val=""/>
      <w:lvlJc w:val="left"/>
      <w:pPr>
        <w:ind w:left="3240" w:firstLine="0"/>
      </w:pPr>
      <w:rPr>
        <w:rFonts w:ascii="Wingdings" w:eastAsia="Wingdings" w:hAnsi="Wingdings" w:cs="Wingdings"/>
        <w:sz w:val="20"/>
      </w:rPr>
    </w:lvl>
    <w:lvl w:ilvl="5" w:tplc="48A43D2E">
      <w:numFmt w:val="bullet"/>
      <w:lvlText w:val=""/>
      <w:lvlJc w:val="left"/>
      <w:pPr>
        <w:ind w:left="3960" w:firstLine="0"/>
      </w:pPr>
      <w:rPr>
        <w:rFonts w:ascii="Wingdings" w:eastAsia="Wingdings" w:hAnsi="Wingdings" w:cs="Wingdings"/>
        <w:sz w:val="20"/>
      </w:rPr>
    </w:lvl>
    <w:lvl w:ilvl="6" w:tplc="59185C9E">
      <w:numFmt w:val="bullet"/>
      <w:lvlText w:val=""/>
      <w:lvlJc w:val="left"/>
      <w:pPr>
        <w:ind w:left="4680" w:firstLine="0"/>
      </w:pPr>
      <w:rPr>
        <w:rFonts w:ascii="Wingdings" w:eastAsia="Wingdings" w:hAnsi="Wingdings" w:cs="Wingdings"/>
        <w:sz w:val="20"/>
      </w:rPr>
    </w:lvl>
    <w:lvl w:ilvl="7" w:tplc="73DA0324">
      <w:numFmt w:val="bullet"/>
      <w:lvlText w:val=""/>
      <w:lvlJc w:val="left"/>
      <w:pPr>
        <w:ind w:left="5400" w:firstLine="0"/>
      </w:pPr>
      <w:rPr>
        <w:rFonts w:ascii="Wingdings" w:eastAsia="Wingdings" w:hAnsi="Wingdings" w:cs="Wingdings"/>
        <w:sz w:val="20"/>
      </w:rPr>
    </w:lvl>
    <w:lvl w:ilvl="8" w:tplc="B32E6264">
      <w:numFmt w:val="bullet"/>
      <w:lvlText w:val=""/>
      <w:lvlJc w:val="left"/>
      <w:pPr>
        <w:ind w:left="6120" w:firstLine="0"/>
      </w:pPr>
      <w:rPr>
        <w:rFonts w:ascii="Wingdings" w:eastAsia="Wingdings" w:hAnsi="Wingdings" w:cs="Wingdings"/>
        <w:sz w:val="20"/>
      </w:rPr>
    </w:lvl>
  </w:abstractNum>
  <w:abstractNum w:abstractNumId="4" w15:restartNumberingAfterBreak="0">
    <w:nsid w:val="0A4D4C05"/>
    <w:multiLevelType w:val="hybridMultilevel"/>
    <w:tmpl w:val="58261362"/>
    <w:name w:val="Lista numerada 16"/>
    <w:lvl w:ilvl="0" w:tplc="E3886FA4">
      <w:numFmt w:val="bullet"/>
      <w:lvlText w:val="·"/>
      <w:lvlJc w:val="left"/>
      <w:pPr>
        <w:ind w:left="360" w:firstLine="0"/>
      </w:pPr>
      <w:rPr>
        <w:rFonts w:ascii="Symbol" w:hAnsi="Symbol"/>
        <w:sz w:val="20"/>
      </w:rPr>
    </w:lvl>
    <w:lvl w:ilvl="1" w:tplc="3EC6B84C">
      <w:numFmt w:val="bullet"/>
      <w:lvlText w:val="o"/>
      <w:lvlJc w:val="left"/>
      <w:pPr>
        <w:ind w:left="1080" w:firstLine="0"/>
      </w:pPr>
      <w:rPr>
        <w:rFonts w:ascii="Courier New" w:hAnsi="Courier New"/>
        <w:sz w:val="20"/>
      </w:rPr>
    </w:lvl>
    <w:lvl w:ilvl="2" w:tplc="E9A887C2">
      <w:numFmt w:val="bullet"/>
      <w:lvlText w:val=""/>
      <w:lvlJc w:val="left"/>
      <w:pPr>
        <w:ind w:left="1800" w:firstLine="0"/>
      </w:pPr>
      <w:rPr>
        <w:rFonts w:ascii="Wingdings" w:eastAsia="Wingdings" w:hAnsi="Wingdings" w:cs="Wingdings"/>
        <w:sz w:val="20"/>
      </w:rPr>
    </w:lvl>
    <w:lvl w:ilvl="3" w:tplc="B636B17E">
      <w:numFmt w:val="bullet"/>
      <w:lvlText w:val=""/>
      <w:lvlJc w:val="left"/>
      <w:pPr>
        <w:ind w:left="2520" w:firstLine="0"/>
      </w:pPr>
      <w:rPr>
        <w:rFonts w:ascii="Wingdings" w:eastAsia="Wingdings" w:hAnsi="Wingdings" w:cs="Wingdings"/>
        <w:sz w:val="20"/>
      </w:rPr>
    </w:lvl>
    <w:lvl w:ilvl="4" w:tplc="A642D3B0">
      <w:numFmt w:val="bullet"/>
      <w:lvlText w:val=""/>
      <w:lvlJc w:val="left"/>
      <w:pPr>
        <w:ind w:left="3240" w:firstLine="0"/>
      </w:pPr>
      <w:rPr>
        <w:rFonts w:ascii="Wingdings" w:eastAsia="Wingdings" w:hAnsi="Wingdings" w:cs="Wingdings"/>
        <w:sz w:val="20"/>
      </w:rPr>
    </w:lvl>
    <w:lvl w:ilvl="5" w:tplc="B6CE7726">
      <w:numFmt w:val="bullet"/>
      <w:lvlText w:val=""/>
      <w:lvlJc w:val="left"/>
      <w:pPr>
        <w:ind w:left="3960" w:firstLine="0"/>
      </w:pPr>
      <w:rPr>
        <w:rFonts w:ascii="Wingdings" w:eastAsia="Wingdings" w:hAnsi="Wingdings" w:cs="Wingdings"/>
        <w:sz w:val="20"/>
      </w:rPr>
    </w:lvl>
    <w:lvl w:ilvl="6" w:tplc="59C8EA6A">
      <w:numFmt w:val="bullet"/>
      <w:lvlText w:val=""/>
      <w:lvlJc w:val="left"/>
      <w:pPr>
        <w:ind w:left="4680" w:firstLine="0"/>
      </w:pPr>
      <w:rPr>
        <w:rFonts w:ascii="Wingdings" w:eastAsia="Wingdings" w:hAnsi="Wingdings" w:cs="Wingdings"/>
        <w:sz w:val="20"/>
      </w:rPr>
    </w:lvl>
    <w:lvl w:ilvl="7" w:tplc="9A22B6A4">
      <w:numFmt w:val="bullet"/>
      <w:lvlText w:val=""/>
      <w:lvlJc w:val="left"/>
      <w:pPr>
        <w:ind w:left="5400" w:firstLine="0"/>
      </w:pPr>
      <w:rPr>
        <w:rFonts w:ascii="Wingdings" w:eastAsia="Wingdings" w:hAnsi="Wingdings" w:cs="Wingdings"/>
        <w:sz w:val="20"/>
      </w:rPr>
    </w:lvl>
    <w:lvl w:ilvl="8" w:tplc="36EA2FC6">
      <w:numFmt w:val="bullet"/>
      <w:lvlText w:val=""/>
      <w:lvlJc w:val="left"/>
      <w:pPr>
        <w:ind w:left="6120" w:firstLine="0"/>
      </w:pPr>
      <w:rPr>
        <w:rFonts w:ascii="Wingdings" w:eastAsia="Wingdings" w:hAnsi="Wingdings" w:cs="Wingdings"/>
        <w:sz w:val="20"/>
      </w:rPr>
    </w:lvl>
  </w:abstractNum>
  <w:abstractNum w:abstractNumId="5" w15:restartNumberingAfterBreak="0">
    <w:nsid w:val="11DC66FD"/>
    <w:multiLevelType w:val="hybridMultilevel"/>
    <w:tmpl w:val="69EC0C9A"/>
    <w:lvl w:ilvl="0" w:tplc="CF7C75BC">
      <w:numFmt w:val="none"/>
      <w:lvlText w:val=""/>
      <w:lvlJc w:val="left"/>
      <w:pPr>
        <w:tabs>
          <w:tab w:val="num" w:pos="360"/>
        </w:tabs>
        <w:ind w:left="360" w:hanging="360"/>
      </w:pPr>
    </w:lvl>
    <w:lvl w:ilvl="1" w:tplc="26063B1E">
      <w:numFmt w:val="none"/>
      <w:lvlText w:val=""/>
      <w:lvlJc w:val="left"/>
      <w:pPr>
        <w:tabs>
          <w:tab w:val="num" w:pos="360"/>
        </w:tabs>
        <w:ind w:left="360" w:hanging="360"/>
      </w:pPr>
    </w:lvl>
    <w:lvl w:ilvl="2" w:tplc="679C38E2">
      <w:numFmt w:val="none"/>
      <w:lvlText w:val=""/>
      <w:lvlJc w:val="left"/>
      <w:pPr>
        <w:tabs>
          <w:tab w:val="num" w:pos="360"/>
        </w:tabs>
        <w:ind w:left="360" w:hanging="360"/>
      </w:pPr>
    </w:lvl>
    <w:lvl w:ilvl="3" w:tplc="A48E7EF0">
      <w:numFmt w:val="none"/>
      <w:lvlText w:val=""/>
      <w:lvlJc w:val="left"/>
      <w:pPr>
        <w:tabs>
          <w:tab w:val="num" w:pos="360"/>
        </w:tabs>
        <w:ind w:left="360" w:hanging="360"/>
      </w:pPr>
    </w:lvl>
    <w:lvl w:ilvl="4" w:tplc="60AE6942">
      <w:numFmt w:val="none"/>
      <w:lvlText w:val=""/>
      <w:lvlJc w:val="left"/>
      <w:pPr>
        <w:tabs>
          <w:tab w:val="num" w:pos="360"/>
        </w:tabs>
        <w:ind w:left="360" w:hanging="360"/>
      </w:pPr>
    </w:lvl>
    <w:lvl w:ilvl="5" w:tplc="5EC28B9C">
      <w:numFmt w:val="none"/>
      <w:lvlText w:val=""/>
      <w:lvlJc w:val="left"/>
      <w:pPr>
        <w:tabs>
          <w:tab w:val="num" w:pos="360"/>
        </w:tabs>
        <w:ind w:left="360" w:hanging="360"/>
      </w:pPr>
    </w:lvl>
    <w:lvl w:ilvl="6" w:tplc="82FEC224">
      <w:numFmt w:val="none"/>
      <w:lvlText w:val=""/>
      <w:lvlJc w:val="left"/>
      <w:pPr>
        <w:tabs>
          <w:tab w:val="num" w:pos="360"/>
        </w:tabs>
        <w:ind w:left="360" w:hanging="360"/>
      </w:pPr>
    </w:lvl>
    <w:lvl w:ilvl="7" w:tplc="55EA7322">
      <w:numFmt w:val="none"/>
      <w:lvlText w:val=""/>
      <w:lvlJc w:val="left"/>
      <w:pPr>
        <w:tabs>
          <w:tab w:val="num" w:pos="360"/>
        </w:tabs>
        <w:ind w:left="360" w:hanging="360"/>
      </w:pPr>
    </w:lvl>
    <w:lvl w:ilvl="8" w:tplc="71BCAD10">
      <w:numFmt w:val="none"/>
      <w:lvlText w:val=""/>
      <w:lvlJc w:val="left"/>
      <w:pPr>
        <w:tabs>
          <w:tab w:val="num" w:pos="360"/>
        </w:tabs>
        <w:ind w:left="360" w:hanging="360"/>
      </w:pPr>
    </w:lvl>
  </w:abstractNum>
  <w:abstractNum w:abstractNumId="6" w15:restartNumberingAfterBreak="0">
    <w:nsid w:val="1681789B"/>
    <w:multiLevelType w:val="hybridMultilevel"/>
    <w:tmpl w:val="27020206"/>
    <w:name w:val="Lista numerada 10"/>
    <w:lvl w:ilvl="0" w:tplc="E96C6114">
      <w:start w:val="1"/>
      <w:numFmt w:val="decimal"/>
      <w:lvlText w:val="%1."/>
      <w:lvlJc w:val="left"/>
      <w:pPr>
        <w:ind w:left="360" w:firstLine="0"/>
      </w:pPr>
    </w:lvl>
    <w:lvl w:ilvl="1" w:tplc="A03ED280">
      <w:start w:val="1"/>
      <w:numFmt w:val="lowerLetter"/>
      <w:lvlText w:val="%2."/>
      <w:lvlJc w:val="left"/>
      <w:pPr>
        <w:ind w:left="1080" w:firstLine="0"/>
      </w:pPr>
    </w:lvl>
    <w:lvl w:ilvl="2" w:tplc="1D8E5276">
      <w:start w:val="1"/>
      <w:numFmt w:val="lowerRoman"/>
      <w:lvlText w:val="%3."/>
      <w:lvlJc w:val="left"/>
      <w:pPr>
        <w:ind w:left="1980" w:firstLine="0"/>
      </w:pPr>
    </w:lvl>
    <w:lvl w:ilvl="3" w:tplc="0144FA1C">
      <w:start w:val="1"/>
      <w:numFmt w:val="decimal"/>
      <w:lvlText w:val="%4."/>
      <w:lvlJc w:val="left"/>
      <w:pPr>
        <w:ind w:left="2520" w:firstLine="0"/>
      </w:pPr>
    </w:lvl>
    <w:lvl w:ilvl="4" w:tplc="9AAAFC12">
      <w:start w:val="1"/>
      <w:numFmt w:val="lowerLetter"/>
      <w:lvlText w:val="%5."/>
      <w:lvlJc w:val="left"/>
      <w:pPr>
        <w:ind w:left="3240" w:firstLine="0"/>
      </w:pPr>
    </w:lvl>
    <w:lvl w:ilvl="5" w:tplc="EB70C714">
      <w:start w:val="1"/>
      <w:numFmt w:val="lowerRoman"/>
      <w:lvlText w:val="%6."/>
      <w:lvlJc w:val="left"/>
      <w:pPr>
        <w:ind w:left="4140" w:firstLine="0"/>
      </w:pPr>
    </w:lvl>
    <w:lvl w:ilvl="6" w:tplc="C444DBC4">
      <w:start w:val="1"/>
      <w:numFmt w:val="decimal"/>
      <w:lvlText w:val="%7."/>
      <w:lvlJc w:val="left"/>
      <w:pPr>
        <w:ind w:left="4680" w:firstLine="0"/>
      </w:pPr>
    </w:lvl>
    <w:lvl w:ilvl="7" w:tplc="7306483C">
      <w:start w:val="1"/>
      <w:numFmt w:val="lowerLetter"/>
      <w:lvlText w:val="%8."/>
      <w:lvlJc w:val="left"/>
      <w:pPr>
        <w:ind w:left="5400" w:firstLine="0"/>
      </w:pPr>
    </w:lvl>
    <w:lvl w:ilvl="8" w:tplc="7F7081D2">
      <w:start w:val="1"/>
      <w:numFmt w:val="lowerRoman"/>
      <w:lvlText w:val="%9."/>
      <w:lvlJc w:val="left"/>
      <w:pPr>
        <w:ind w:left="6300" w:firstLine="0"/>
      </w:pPr>
    </w:lvl>
  </w:abstractNum>
  <w:abstractNum w:abstractNumId="7" w15:restartNumberingAfterBreak="0">
    <w:nsid w:val="21685A40"/>
    <w:multiLevelType w:val="hybridMultilevel"/>
    <w:tmpl w:val="2DF8F5C6"/>
    <w:name w:val="Lista numerada 18"/>
    <w:lvl w:ilvl="0" w:tplc="6FDEFA02">
      <w:numFmt w:val="bullet"/>
      <w:lvlText w:val="·"/>
      <w:lvlJc w:val="left"/>
      <w:pPr>
        <w:ind w:left="360" w:firstLine="0"/>
      </w:pPr>
      <w:rPr>
        <w:rFonts w:ascii="Symbol" w:hAnsi="Symbol"/>
        <w:sz w:val="20"/>
      </w:rPr>
    </w:lvl>
    <w:lvl w:ilvl="1" w:tplc="B2D290C4">
      <w:numFmt w:val="bullet"/>
      <w:lvlText w:val="o"/>
      <w:lvlJc w:val="left"/>
      <w:pPr>
        <w:ind w:left="1080" w:firstLine="0"/>
      </w:pPr>
      <w:rPr>
        <w:rFonts w:ascii="Courier New" w:hAnsi="Courier New"/>
        <w:sz w:val="20"/>
      </w:rPr>
    </w:lvl>
    <w:lvl w:ilvl="2" w:tplc="59F451F2">
      <w:numFmt w:val="bullet"/>
      <w:lvlText w:val=""/>
      <w:lvlJc w:val="left"/>
      <w:pPr>
        <w:ind w:left="1800" w:firstLine="0"/>
      </w:pPr>
      <w:rPr>
        <w:rFonts w:ascii="Wingdings" w:eastAsia="Wingdings" w:hAnsi="Wingdings" w:cs="Wingdings"/>
        <w:sz w:val="20"/>
      </w:rPr>
    </w:lvl>
    <w:lvl w:ilvl="3" w:tplc="1B5E533A">
      <w:numFmt w:val="bullet"/>
      <w:lvlText w:val=""/>
      <w:lvlJc w:val="left"/>
      <w:pPr>
        <w:ind w:left="2520" w:firstLine="0"/>
      </w:pPr>
      <w:rPr>
        <w:rFonts w:ascii="Wingdings" w:eastAsia="Wingdings" w:hAnsi="Wingdings" w:cs="Wingdings"/>
        <w:sz w:val="20"/>
      </w:rPr>
    </w:lvl>
    <w:lvl w:ilvl="4" w:tplc="27CC08B0">
      <w:numFmt w:val="bullet"/>
      <w:lvlText w:val=""/>
      <w:lvlJc w:val="left"/>
      <w:pPr>
        <w:ind w:left="3240" w:firstLine="0"/>
      </w:pPr>
      <w:rPr>
        <w:rFonts w:ascii="Wingdings" w:eastAsia="Wingdings" w:hAnsi="Wingdings" w:cs="Wingdings"/>
        <w:sz w:val="20"/>
      </w:rPr>
    </w:lvl>
    <w:lvl w:ilvl="5" w:tplc="A3A2EDF2">
      <w:numFmt w:val="bullet"/>
      <w:lvlText w:val=""/>
      <w:lvlJc w:val="left"/>
      <w:pPr>
        <w:ind w:left="3960" w:firstLine="0"/>
      </w:pPr>
      <w:rPr>
        <w:rFonts w:ascii="Wingdings" w:eastAsia="Wingdings" w:hAnsi="Wingdings" w:cs="Wingdings"/>
        <w:sz w:val="20"/>
      </w:rPr>
    </w:lvl>
    <w:lvl w:ilvl="6" w:tplc="EE98BF3A">
      <w:numFmt w:val="bullet"/>
      <w:lvlText w:val=""/>
      <w:lvlJc w:val="left"/>
      <w:pPr>
        <w:ind w:left="4680" w:firstLine="0"/>
      </w:pPr>
      <w:rPr>
        <w:rFonts w:ascii="Wingdings" w:eastAsia="Wingdings" w:hAnsi="Wingdings" w:cs="Wingdings"/>
        <w:sz w:val="20"/>
      </w:rPr>
    </w:lvl>
    <w:lvl w:ilvl="7" w:tplc="904417EA">
      <w:numFmt w:val="bullet"/>
      <w:lvlText w:val=""/>
      <w:lvlJc w:val="left"/>
      <w:pPr>
        <w:ind w:left="5400" w:firstLine="0"/>
      </w:pPr>
      <w:rPr>
        <w:rFonts w:ascii="Wingdings" w:eastAsia="Wingdings" w:hAnsi="Wingdings" w:cs="Wingdings"/>
        <w:sz w:val="20"/>
      </w:rPr>
    </w:lvl>
    <w:lvl w:ilvl="8" w:tplc="B8FE72DC">
      <w:numFmt w:val="bullet"/>
      <w:lvlText w:val=""/>
      <w:lvlJc w:val="left"/>
      <w:pPr>
        <w:ind w:left="6120" w:firstLine="0"/>
      </w:pPr>
      <w:rPr>
        <w:rFonts w:ascii="Wingdings" w:eastAsia="Wingdings" w:hAnsi="Wingdings" w:cs="Wingdings"/>
        <w:sz w:val="20"/>
      </w:rPr>
    </w:lvl>
  </w:abstractNum>
  <w:abstractNum w:abstractNumId="8" w15:restartNumberingAfterBreak="0">
    <w:nsid w:val="23E011D2"/>
    <w:multiLevelType w:val="hybridMultilevel"/>
    <w:tmpl w:val="A79EF554"/>
    <w:name w:val="Lista numerada 6"/>
    <w:lvl w:ilvl="0" w:tplc="58C6218A">
      <w:numFmt w:val="bullet"/>
      <w:lvlText w:val="·"/>
      <w:lvlJc w:val="left"/>
      <w:pPr>
        <w:ind w:left="360" w:firstLine="0"/>
      </w:pPr>
      <w:rPr>
        <w:rFonts w:ascii="Symbol" w:hAnsi="Symbol"/>
        <w:sz w:val="20"/>
      </w:rPr>
    </w:lvl>
    <w:lvl w:ilvl="1" w:tplc="F0AA649E">
      <w:numFmt w:val="bullet"/>
      <w:lvlText w:val="o"/>
      <w:lvlJc w:val="left"/>
      <w:pPr>
        <w:ind w:left="1080" w:firstLine="0"/>
      </w:pPr>
      <w:rPr>
        <w:rFonts w:ascii="Courier New" w:hAnsi="Courier New"/>
        <w:sz w:val="20"/>
      </w:rPr>
    </w:lvl>
    <w:lvl w:ilvl="2" w:tplc="7D5A8B4A">
      <w:numFmt w:val="bullet"/>
      <w:lvlText w:val=""/>
      <w:lvlJc w:val="left"/>
      <w:pPr>
        <w:ind w:left="1800" w:firstLine="0"/>
      </w:pPr>
      <w:rPr>
        <w:rFonts w:ascii="Wingdings" w:eastAsia="Wingdings" w:hAnsi="Wingdings" w:cs="Wingdings"/>
        <w:sz w:val="20"/>
      </w:rPr>
    </w:lvl>
    <w:lvl w:ilvl="3" w:tplc="040A2D64">
      <w:numFmt w:val="bullet"/>
      <w:lvlText w:val=""/>
      <w:lvlJc w:val="left"/>
      <w:pPr>
        <w:ind w:left="2520" w:firstLine="0"/>
      </w:pPr>
      <w:rPr>
        <w:rFonts w:ascii="Wingdings" w:eastAsia="Wingdings" w:hAnsi="Wingdings" w:cs="Wingdings"/>
        <w:sz w:val="20"/>
      </w:rPr>
    </w:lvl>
    <w:lvl w:ilvl="4" w:tplc="D93A19EA">
      <w:numFmt w:val="bullet"/>
      <w:lvlText w:val=""/>
      <w:lvlJc w:val="left"/>
      <w:pPr>
        <w:ind w:left="3240" w:firstLine="0"/>
      </w:pPr>
      <w:rPr>
        <w:rFonts w:ascii="Wingdings" w:eastAsia="Wingdings" w:hAnsi="Wingdings" w:cs="Wingdings"/>
        <w:sz w:val="20"/>
      </w:rPr>
    </w:lvl>
    <w:lvl w:ilvl="5" w:tplc="7974EBFE">
      <w:numFmt w:val="bullet"/>
      <w:lvlText w:val=""/>
      <w:lvlJc w:val="left"/>
      <w:pPr>
        <w:ind w:left="3960" w:firstLine="0"/>
      </w:pPr>
      <w:rPr>
        <w:rFonts w:ascii="Wingdings" w:eastAsia="Wingdings" w:hAnsi="Wingdings" w:cs="Wingdings"/>
        <w:sz w:val="20"/>
      </w:rPr>
    </w:lvl>
    <w:lvl w:ilvl="6" w:tplc="236AF85C">
      <w:numFmt w:val="bullet"/>
      <w:lvlText w:val=""/>
      <w:lvlJc w:val="left"/>
      <w:pPr>
        <w:ind w:left="4680" w:firstLine="0"/>
      </w:pPr>
      <w:rPr>
        <w:rFonts w:ascii="Wingdings" w:eastAsia="Wingdings" w:hAnsi="Wingdings" w:cs="Wingdings"/>
        <w:sz w:val="20"/>
      </w:rPr>
    </w:lvl>
    <w:lvl w:ilvl="7" w:tplc="AE30D1DA">
      <w:numFmt w:val="bullet"/>
      <w:lvlText w:val=""/>
      <w:lvlJc w:val="left"/>
      <w:pPr>
        <w:ind w:left="5400" w:firstLine="0"/>
      </w:pPr>
      <w:rPr>
        <w:rFonts w:ascii="Wingdings" w:eastAsia="Wingdings" w:hAnsi="Wingdings" w:cs="Wingdings"/>
        <w:sz w:val="20"/>
      </w:rPr>
    </w:lvl>
    <w:lvl w:ilvl="8" w:tplc="40B4AAE8">
      <w:numFmt w:val="bullet"/>
      <w:lvlText w:val=""/>
      <w:lvlJc w:val="left"/>
      <w:pPr>
        <w:ind w:left="6120" w:firstLine="0"/>
      </w:pPr>
      <w:rPr>
        <w:rFonts w:ascii="Wingdings" w:eastAsia="Wingdings" w:hAnsi="Wingdings" w:cs="Wingdings"/>
        <w:sz w:val="20"/>
      </w:rPr>
    </w:lvl>
  </w:abstractNum>
  <w:abstractNum w:abstractNumId="9" w15:restartNumberingAfterBreak="0">
    <w:nsid w:val="2E4D7F9D"/>
    <w:multiLevelType w:val="hybridMultilevel"/>
    <w:tmpl w:val="EBEC53F0"/>
    <w:name w:val="Lista numerada 17"/>
    <w:lvl w:ilvl="0" w:tplc="862836AC">
      <w:numFmt w:val="bullet"/>
      <w:lvlText w:val="·"/>
      <w:lvlJc w:val="left"/>
      <w:pPr>
        <w:ind w:left="360" w:firstLine="0"/>
      </w:pPr>
      <w:rPr>
        <w:rFonts w:ascii="Symbol" w:hAnsi="Symbol"/>
        <w:sz w:val="20"/>
      </w:rPr>
    </w:lvl>
    <w:lvl w:ilvl="1" w:tplc="F6326A22">
      <w:numFmt w:val="bullet"/>
      <w:lvlText w:val="o"/>
      <w:lvlJc w:val="left"/>
      <w:pPr>
        <w:ind w:left="1080" w:firstLine="0"/>
      </w:pPr>
      <w:rPr>
        <w:rFonts w:ascii="Courier New" w:hAnsi="Courier New"/>
        <w:sz w:val="20"/>
      </w:rPr>
    </w:lvl>
    <w:lvl w:ilvl="2" w:tplc="12D2700C">
      <w:numFmt w:val="bullet"/>
      <w:lvlText w:val=""/>
      <w:lvlJc w:val="left"/>
      <w:pPr>
        <w:ind w:left="1800" w:firstLine="0"/>
      </w:pPr>
      <w:rPr>
        <w:rFonts w:ascii="Wingdings" w:eastAsia="Wingdings" w:hAnsi="Wingdings" w:cs="Wingdings"/>
        <w:sz w:val="20"/>
      </w:rPr>
    </w:lvl>
    <w:lvl w:ilvl="3" w:tplc="0186CBBA">
      <w:numFmt w:val="bullet"/>
      <w:lvlText w:val=""/>
      <w:lvlJc w:val="left"/>
      <w:pPr>
        <w:ind w:left="2520" w:firstLine="0"/>
      </w:pPr>
      <w:rPr>
        <w:rFonts w:ascii="Wingdings" w:eastAsia="Wingdings" w:hAnsi="Wingdings" w:cs="Wingdings"/>
        <w:sz w:val="20"/>
      </w:rPr>
    </w:lvl>
    <w:lvl w:ilvl="4" w:tplc="4654910A">
      <w:numFmt w:val="bullet"/>
      <w:lvlText w:val=""/>
      <w:lvlJc w:val="left"/>
      <w:pPr>
        <w:ind w:left="3240" w:firstLine="0"/>
      </w:pPr>
      <w:rPr>
        <w:rFonts w:ascii="Wingdings" w:eastAsia="Wingdings" w:hAnsi="Wingdings" w:cs="Wingdings"/>
        <w:sz w:val="20"/>
      </w:rPr>
    </w:lvl>
    <w:lvl w:ilvl="5" w:tplc="D0B666A2">
      <w:numFmt w:val="bullet"/>
      <w:lvlText w:val=""/>
      <w:lvlJc w:val="left"/>
      <w:pPr>
        <w:ind w:left="3960" w:firstLine="0"/>
      </w:pPr>
      <w:rPr>
        <w:rFonts w:ascii="Wingdings" w:eastAsia="Wingdings" w:hAnsi="Wingdings" w:cs="Wingdings"/>
        <w:sz w:val="20"/>
      </w:rPr>
    </w:lvl>
    <w:lvl w:ilvl="6" w:tplc="F3E2AC68">
      <w:numFmt w:val="bullet"/>
      <w:lvlText w:val=""/>
      <w:lvlJc w:val="left"/>
      <w:pPr>
        <w:ind w:left="4680" w:firstLine="0"/>
      </w:pPr>
      <w:rPr>
        <w:rFonts w:ascii="Wingdings" w:eastAsia="Wingdings" w:hAnsi="Wingdings" w:cs="Wingdings"/>
        <w:sz w:val="20"/>
      </w:rPr>
    </w:lvl>
    <w:lvl w:ilvl="7" w:tplc="ACFE0312">
      <w:numFmt w:val="bullet"/>
      <w:lvlText w:val=""/>
      <w:lvlJc w:val="left"/>
      <w:pPr>
        <w:ind w:left="5400" w:firstLine="0"/>
      </w:pPr>
      <w:rPr>
        <w:rFonts w:ascii="Wingdings" w:eastAsia="Wingdings" w:hAnsi="Wingdings" w:cs="Wingdings"/>
        <w:sz w:val="20"/>
      </w:rPr>
    </w:lvl>
    <w:lvl w:ilvl="8" w:tplc="18A85170">
      <w:numFmt w:val="bullet"/>
      <w:lvlText w:val=""/>
      <w:lvlJc w:val="left"/>
      <w:pPr>
        <w:ind w:left="6120" w:firstLine="0"/>
      </w:pPr>
      <w:rPr>
        <w:rFonts w:ascii="Wingdings" w:eastAsia="Wingdings" w:hAnsi="Wingdings" w:cs="Wingdings"/>
        <w:sz w:val="20"/>
      </w:rPr>
    </w:lvl>
  </w:abstractNum>
  <w:abstractNum w:abstractNumId="10" w15:restartNumberingAfterBreak="0">
    <w:nsid w:val="432D4CEE"/>
    <w:multiLevelType w:val="multilevel"/>
    <w:tmpl w:val="1A545030"/>
    <w:name w:val="Lista numerada 13"/>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start w:val="1"/>
      <w:numFmt w:val="decimal"/>
      <w:pStyle w:val="Heading5"/>
      <w:lvlText w:val="%1.%2.%3.%4.%5"/>
      <w:lvlJc w:val="left"/>
      <w:pPr>
        <w:ind w:left="0" w:firstLine="0"/>
      </w:pPr>
    </w:lvl>
    <w:lvl w:ilvl="5">
      <w:start w:val="1"/>
      <w:numFmt w:val="decimal"/>
      <w:pStyle w:val="Heading6"/>
      <w:lvlText w:val="%1.%2.%3.%4.%5.%6"/>
      <w:lvlJc w:val="left"/>
      <w:pPr>
        <w:ind w:left="0" w:firstLine="0"/>
      </w:pPr>
    </w:lvl>
    <w:lvl w:ilvl="6">
      <w:start w:val="1"/>
      <w:numFmt w:val="decimal"/>
      <w:pStyle w:val="Heading7"/>
      <w:lvlText w:val="%1.%2.%3.%4.%5.%6.%7"/>
      <w:lvlJc w:val="left"/>
      <w:pPr>
        <w:ind w:left="0" w:firstLine="0"/>
      </w:pPr>
    </w:lvl>
    <w:lvl w:ilvl="7">
      <w:start w:val="1"/>
      <w:numFmt w:val="decimal"/>
      <w:pStyle w:val="Heading8"/>
      <w:lvlText w:val="%1.%2.%3.%4.%5.%6.%7.%8"/>
      <w:lvlJc w:val="left"/>
      <w:pPr>
        <w:ind w:left="0" w:firstLine="0"/>
      </w:pPr>
    </w:lvl>
    <w:lvl w:ilvl="8">
      <w:start w:val="1"/>
      <w:numFmt w:val="decimal"/>
      <w:pStyle w:val="Heading9"/>
      <w:lvlText w:val="%1.%2.%3.%4.%5.%6.%7.%8.%9"/>
      <w:lvlJc w:val="left"/>
      <w:pPr>
        <w:ind w:left="0" w:firstLine="0"/>
      </w:pPr>
    </w:lvl>
  </w:abstractNum>
  <w:abstractNum w:abstractNumId="11" w15:restartNumberingAfterBreak="0">
    <w:nsid w:val="4771100E"/>
    <w:multiLevelType w:val="hybridMultilevel"/>
    <w:tmpl w:val="2ED02CBA"/>
    <w:name w:val="Lista numerada 7"/>
    <w:lvl w:ilvl="0" w:tplc="45C4FF1A">
      <w:numFmt w:val="bullet"/>
      <w:lvlText w:val="·"/>
      <w:lvlJc w:val="left"/>
      <w:pPr>
        <w:ind w:left="360" w:firstLine="0"/>
      </w:pPr>
      <w:rPr>
        <w:rFonts w:ascii="Symbol" w:hAnsi="Symbol"/>
        <w:sz w:val="20"/>
      </w:rPr>
    </w:lvl>
    <w:lvl w:ilvl="1" w:tplc="228CAD84">
      <w:numFmt w:val="bullet"/>
      <w:lvlText w:val="o"/>
      <w:lvlJc w:val="left"/>
      <w:pPr>
        <w:ind w:left="1080" w:firstLine="0"/>
      </w:pPr>
      <w:rPr>
        <w:rFonts w:ascii="Courier New" w:hAnsi="Courier New"/>
        <w:sz w:val="20"/>
      </w:rPr>
    </w:lvl>
    <w:lvl w:ilvl="2" w:tplc="47DC1F3A">
      <w:numFmt w:val="bullet"/>
      <w:lvlText w:val=""/>
      <w:lvlJc w:val="left"/>
      <w:pPr>
        <w:ind w:left="1800" w:firstLine="0"/>
      </w:pPr>
      <w:rPr>
        <w:rFonts w:ascii="Wingdings" w:eastAsia="Wingdings" w:hAnsi="Wingdings" w:cs="Wingdings"/>
        <w:sz w:val="20"/>
      </w:rPr>
    </w:lvl>
    <w:lvl w:ilvl="3" w:tplc="3BFA3668">
      <w:numFmt w:val="bullet"/>
      <w:lvlText w:val=""/>
      <w:lvlJc w:val="left"/>
      <w:pPr>
        <w:ind w:left="2520" w:firstLine="0"/>
      </w:pPr>
      <w:rPr>
        <w:rFonts w:ascii="Wingdings" w:eastAsia="Wingdings" w:hAnsi="Wingdings" w:cs="Wingdings"/>
        <w:sz w:val="20"/>
      </w:rPr>
    </w:lvl>
    <w:lvl w:ilvl="4" w:tplc="84A2B4FE">
      <w:numFmt w:val="bullet"/>
      <w:lvlText w:val=""/>
      <w:lvlJc w:val="left"/>
      <w:pPr>
        <w:ind w:left="3240" w:firstLine="0"/>
      </w:pPr>
      <w:rPr>
        <w:rFonts w:ascii="Wingdings" w:eastAsia="Wingdings" w:hAnsi="Wingdings" w:cs="Wingdings"/>
        <w:sz w:val="20"/>
      </w:rPr>
    </w:lvl>
    <w:lvl w:ilvl="5" w:tplc="EF5C2846">
      <w:numFmt w:val="bullet"/>
      <w:lvlText w:val=""/>
      <w:lvlJc w:val="left"/>
      <w:pPr>
        <w:ind w:left="3960" w:firstLine="0"/>
      </w:pPr>
      <w:rPr>
        <w:rFonts w:ascii="Wingdings" w:eastAsia="Wingdings" w:hAnsi="Wingdings" w:cs="Wingdings"/>
        <w:sz w:val="20"/>
      </w:rPr>
    </w:lvl>
    <w:lvl w:ilvl="6" w:tplc="63702AC8">
      <w:numFmt w:val="bullet"/>
      <w:lvlText w:val=""/>
      <w:lvlJc w:val="left"/>
      <w:pPr>
        <w:ind w:left="4680" w:firstLine="0"/>
      </w:pPr>
      <w:rPr>
        <w:rFonts w:ascii="Wingdings" w:eastAsia="Wingdings" w:hAnsi="Wingdings" w:cs="Wingdings"/>
        <w:sz w:val="20"/>
      </w:rPr>
    </w:lvl>
    <w:lvl w:ilvl="7" w:tplc="C0480EB6">
      <w:numFmt w:val="bullet"/>
      <w:lvlText w:val=""/>
      <w:lvlJc w:val="left"/>
      <w:pPr>
        <w:ind w:left="5400" w:firstLine="0"/>
      </w:pPr>
      <w:rPr>
        <w:rFonts w:ascii="Wingdings" w:eastAsia="Wingdings" w:hAnsi="Wingdings" w:cs="Wingdings"/>
        <w:sz w:val="20"/>
      </w:rPr>
    </w:lvl>
    <w:lvl w:ilvl="8" w:tplc="C746660C">
      <w:numFmt w:val="bullet"/>
      <w:lvlText w:val=""/>
      <w:lvlJc w:val="left"/>
      <w:pPr>
        <w:ind w:left="6120" w:firstLine="0"/>
      </w:pPr>
      <w:rPr>
        <w:rFonts w:ascii="Wingdings" w:eastAsia="Wingdings" w:hAnsi="Wingdings" w:cs="Wingdings"/>
        <w:sz w:val="20"/>
      </w:rPr>
    </w:lvl>
  </w:abstractNum>
  <w:abstractNum w:abstractNumId="12" w15:restartNumberingAfterBreak="0">
    <w:nsid w:val="4A126536"/>
    <w:multiLevelType w:val="singleLevel"/>
    <w:tmpl w:val="08C49C3C"/>
    <w:name w:val="Lista numerada 3"/>
    <w:lvl w:ilvl="0">
      <w:numFmt w:val="bullet"/>
      <w:pStyle w:val="ListBullet"/>
      <w:lvlText w:val="·"/>
      <w:lvlJc w:val="left"/>
      <w:pPr>
        <w:ind w:left="0" w:firstLine="0"/>
      </w:pPr>
      <w:rPr>
        <w:rFonts w:ascii="Symbol" w:hAnsi="Symbol"/>
      </w:rPr>
    </w:lvl>
  </w:abstractNum>
  <w:abstractNum w:abstractNumId="13" w15:restartNumberingAfterBreak="0">
    <w:nsid w:val="52455B89"/>
    <w:multiLevelType w:val="singleLevel"/>
    <w:tmpl w:val="C5083C7E"/>
    <w:name w:val="Lista numerada 1"/>
    <w:lvl w:ilvl="0">
      <w:start w:val="1"/>
      <w:numFmt w:val="decimal"/>
      <w:pStyle w:val="ListNumber2"/>
      <w:lvlText w:val="%1."/>
      <w:lvlJc w:val="left"/>
      <w:pPr>
        <w:ind w:left="360" w:firstLine="0"/>
      </w:pPr>
    </w:lvl>
  </w:abstractNum>
  <w:abstractNum w:abstractNumId="14" w15:restartNumberingAfterBreak="0">
    <w:nsid w:val="5B80082F"/>
    <w:multiLevelType w:val="hybridMultilevel"/>
    <w:tmpl w:val="3D426FD4"/>
    <w:name w:val="Lista numerada 15"/>
    <w:lvl w:ilvl="0" w:tplc="B9962E04">
      <w:numFmt w:val="bullet"/>
      <w:lvlText w:val="·"/>
      <w:lvlJc w:val="left"/>
      <w:pPr>
        <w:ind w:left="360" w:firstLine="0"/>
      </w:pPr>
      <w:rPr>
        <w:rFonts w:ascii="Symbol" w:hAnsi="Symbol"/>
        <w:sz w:val="20"/>
      </w:rPr>
    </w:lvl>
    <w:lvl w:ilvl="1" w:tplc="D7687094">
      <w:numFmt w:val="bullet"/>
      <w:lvlText w:val="o"/>
      <w:lvlJc w:val="left"/>
      <w:pPr>
        <w:ind w:left="1080" w:firstLine="0"/>
      </w:pPr>
      <w:rPr>
        <w:rFonts w:ascii="Courier New" w:hAnsi="Courier New"/>
        <w:sz w:val="20"/>
      </w:rPr>
    </w:lvl>
    <w:lvl w:ilvl="2" w:tplc="57F0219E">
      <w:numFmt w:val="bullet"/>
      <w:lvlText w:val=""/>
      <w:lvlJc w:val="left"/>
      <w:pPr>
        <w:ind w:left="1800" w:firstLine="0"/>
      </w:pPr>
      <w:rPr>
        <w:rFonts w:ascii="Wingdings" w:eastAsia="Wingdings" w:hAnsi="Wingdings" w:cs="Wingdings"/>
        <w:sz w:val="20"/>
      </w:rPr>
    </w:lvl>
    <w:lvl w:ilvl="3" w:tplc="F426D9CC">
      <w:numFmt w:val="bullet"/>
      <w:lvlText w:val=""/>
      <w:lvlJc w:val="left"/>
      <w:pPr>
        <w:ind w:left="2520" w:firstLine="0"/>
      </w:pPr>
      <w:rPr>
        <w:rFonts w:ascii="Wingdings" w:eastAsia="Wingdings" w:hAnsi="Wingdings" w:cs="Wingdings"/>
        <w:sz w:val="20"/>
      </w:rPr>
    </w:lvl>
    <w:lvl w:ilvl="4" w:tplc="E892C83A">
      <w:numFmt w:val="bullet"/>
      <w:lvlText w:val=""/>
      <w:lvlJc w:val="left"/>
      <w:pPr>
        <w:ind w:left="3240" w:firstLine="0"/>
      </w:pPr>
      <w:rPr>
        <w:rFonts w:ascii="Wingdings" w:eastAsia="Wingdings" w:hAnsi="Wingdings" w:cs="Wingdings"/>
        <w:sz w:val="20"/>
      </w:rPr>
    </w:lvl>
    <w:lvl w:ilvl="5" w:tplc="CC6A778A">
      <w:numFmt w:val="bullet"/>
      <w:lvlText w:val=""/>
      <w:lvlJc w:val="left"/>
      <w:pPr>
        <w:ind w:left="3960" w:firstLine="0"/>
      </w:pPr>
      <w:rPr>
        <w:rFonts w:ascii="Wingdings" w:eastAsia="Wingdings" w:hAnsi="Wingdings" w:cs="Wingdings"/>
        <w:sz w:val="20"/>
      </w:rPr>
    </w:lvl>
    <w:lvl w:ilvl="6" w:tplc="47E23CEA">
      <w:numFmt w:val="bullet"/>
      <w:lvlText w:val=""/>
      <w:lvlJc w:val="left"/>
      <w:pPr>
        <w:ind w:left="4680" w:firstLine="0"/>
      </w:pPr>
      <w:rPr>
        <w:rFonts w:ascii="Wingdings" w:eastAsia="Wingdings" w:hAnsi="Wingdings" w:cs="Wingdings"/>
        <w:sz w:val="20"/>
      </w:rPr>
    </w:lvl>
    <w:lvl w:ilvl="7" w:tplc="31E2062A">
      <w:numFmt w:val="bullet"/>
      <w:lvlText w:val=""/>
      <w:lvlJc w:val="left"/>
      <w:pPr>
        <w:ind w:left="5400" w:firstLine="0"/>
      </w:pPr>
      <w:rPr>
        <w:rFonts w:ascii="Wingdings" w:eastAsia="Wingdings" w:hAnsi="Wingdings" w:cs="Wingdings"/>
        <w:sz w:val="20"/>
      </w:rPr>
    </w:lvl>
    <w:lvl w:ilvl="8" w:tplc="B5F05A26">
      <w:numFmt w:val="bullet"/>
      <w:lvlText w:val=""/>
      <w:lvlJc w:val="left"/>
      <w:pPr>
        <w:ind w:left="6120" w:firstLine="0"/>
      </w:pPr>
      <w:rPr>
        <w:rFonts w:ascii="Wingdings" w:eastAsia="Wingdings" w:hAnsi="Wingdings" w:cs="Wingdings"/>
        <w:sz w:val="20"/>
      </w:rPr>
    </w:lvl>
  </w:abstractNum>
  <w:abstractNum w:abstractNumId="15" w15:restartNumberingAfterBreak="0">
    <w:nsid w:val="632B3173"/>
    <w:multiLevelType w:val="hybridMultilevel"/>
    <w:tmpl w:val="8A20748A"/>
    <w:name w:val="Lista numerada 12"/>
    <w:lvl w:ilvl="0" w:tplc="57000C34">
      <w:numFmt w:val="bullet"/>
      <w:lvlText w:val="·"/>
      <w:lvlJc w:val="left"/>
      <w:pPr>
        <w:ind w:left="240" w:firstLine="0"/>
      </w:pPr>
      <w:rPr>
        <w:rFonts w:ascii="Symbol" w:hAnsi="Symbol" w:cs="Symbol"/>
      </w:rPr>
    </w:lvl>
    <w:lvl w:ilvl="1" w:tplc="871237AA">
      <w:numFmt w:val="bullet"/>
      <w:lvlText w:val="-"/>
      <w:lvlJc w:val="left"/>
      <w:pPr>
        <w:ind w:left="960" w:firstLine="0"/>
      </w:pPr>
      <w:rPr>
        <w:rFonts w:ascii="Symbol" w:hAnsi="Symbol" w:cs="Symbol"/>
      </w:rPr>
    </w:lvl>
    <w:lvl w:ilvl="2" w:tplc="C762724A">
      <w:numFmt w:val="bullet"/>
      <w:lvlText w:val="·"/>
      <w:lvlJc w:val="left"/>
      <w:pPr>
        <w:ind w:left="1680" w:firstLine="0"/>
      </w:pPr>
      <w:rPr>
        <w:rFonts w:ascii="Symbol" w:hAnsi="Symbol" w:cs="Symbol"/>
      </w:rPr>
    </w:lvl>
    <w:lvl w:ilvl="3" w:tplc="F2B485F2">
      <w:numFmt w:val="bullet"/>
      <w:lvlText w:val="-"/>
      <w:lvlJc w:val="left"/>
      <w:pPr>
        <w:ind w:left="2400" w:firstLine="0"/>
      </w:pPr>
      <w:rPr>
        <w:rFonts w:ascii="Symbol" w:hAnsi="Symbol" w:cs="Symbol"/>
      </w:rPr>
    </w:lvl>
    <w:lvl w:ilvl="4" w:tplc="FE04A17E">
      <w:numFmt w:val="bullet"/>
      <w:lvlText w:val="·"/>
      <w:lvlJc w:val="left"/>
      <w:pPr>
        <w:ind w:left="3120" w:firstLine="0"/>
      </w:pPr>
      <w:rPr>
        <w:rFonts w:ascii="Symbol" w:hAnsi="Symbol" w:cs="Symbol"/>
      </w:rPr>
    </w:lvl>
    <w:lvl w:ilvl="5" w:tplc="C8120836">
      <w:numFmt w:val="bullet"/>
      <w:lvlText w:val="-"/>
      <w:lvlJc w:val="left"/>
      <w:pPr>
        <w:ind w:left="3840" w:firstLine="0"/>
      </w:pPr>
      <w:rPr>
        <w:rFonts w:ascii="Symbol" w:hAnsi="Symbol" w:cs="Symbol"/>
      </w:rPr>
    </w:lvl>
    <w:lvl w:ilvl="6" w:tplc="5A3650EE">
      <w:numFmt w:val="bullet"/>
      <w:lvlText w:val="·"/>
      <w:lvlJc w:val="left"/>
      <w:pPr>
        <w:ind w:left="4560" w:firstLine="0"/>
      </w:pPr>
      <w:rPr>
        <w:rFonts w:ascii="Symbol" w:hAnsi="Symbol" w:cs="Symbol"/>
      </w:rPr>
    </w:lvl>
    <w:lvl w:ilvl="7" w:tplc="10282F46">
      <w:numFmt w:val="bullet"/>
      <w:lvlText w:val="-"/>
      <w:lvlJc w:val="left"/>
      <w:pPr>
        <w:ind w:left="5280" w:firstLine="0"/>
      </w:pPr>
      <w:rPr>
        <w:rFonts w:ascii="Symbol" w:hAnsi="Symbol" w:cs="Symbol"/>
      </w:rPr>
    </w:lvl>
    <w:lvl w:ilvl="8" w:tplc="D81055F6">
      <w:numFmt w:val="bullet"/>
      <w:lvlText w:val="·"/>
      <w:lvlJc w:val="left"/>
      <w:pPr>
        <w:ind w:left="6000" w:firstLine="0"/>
      </w:pPr>
      <w:rPr>
        <w:rFonts w:ascii="Symbol" w:hAnsi="Symbol" w:cs="Symbol"/>
      </w:rPr>
    </w:lvl>
  </w:abstractNum>
  <w:abstractNum w:abstractNumId="16" w15:restartNumberingAfterBreak="0">
    <w:nsid w:val="6BF856DF"/>
    <w:multiLevelType w:val="singleLevel"/>
    <w:tmpl w:val="D4D2FE20"/>
    <w:name w:val="Lista numerada 2"/>
    <w:lvl w:ilvl="0">
      <w:start w:val="1"/>
      <w:numFmt w:val="decimal"/>
      <w:pStyle w:val="ListNumber"/>
      <w:lvlText w:val="%1."/>
      <w:lvlJc w:val="left"/>
      <w:pPr>
        <w:ind w:left="0" w:firstLine="0"/>
      </w:pPr>
    </w:lvl>
  </w:abstractNum>
  <w:abstractNum w:abstractNumId="17" w15:restartNumberingAfterBreak="0">
    <w:nsid w:val="70D854FD"/>
    <w:multiLevelType w:val="hybridMultilevel"/>
    <w:tmpl w:val="53100B28"/>
    <w:name w:val="Lista numerada 5"/>
    <w:lvl w:ilvl="0" w:tplc="3E46971A">
      <w:numFmt w:val="bullet"/>
      <w:lvlText w:val="·"/>
      <w:lvlJc w:val="left"/>
      <w:pPr>
        <w:ind w:left="360" w:firstLine="0"/>
      </w:pPr>
      <w:rPr>
        <w:rFonts w:ascii="Symbol" w:hAnsi="Symbol"/>
        <w:sz w:val="20"/>
      </w:rPr>
    </w:lvl>
    <w:lvl w:ilvl="1" w:tplc="3F9A5AF6">
      <w:numFmt w:val="bullet"/>
      <w:lvlText w:val="o"/>
      <w:lvlJc w:val="left"/>
      <w:pPr>
        <w:ind w:left="1080" w:firstLine="0"/>
      </w:pPr>
      <w:rPr>
        <w:rFonts w:ascii="Courier New" w:hAnsi="Courier New"/>
        <w:sz w:val="20"/>
      </w:rPr>
    </w:lvl>
    <w:lvl w:ilvl="2" w:tplc="02ACC4E4">
      <w:numFmt w:val="bullet"/>
      <w:lvlText w:val=""/>
      <w:lvlJc w:val="left"/>
      <w:pPr>
        <w:ind w:left="1800" w:firstLine="0"/>
      </w:pPr>
      <w:rPr>
        <w:rFonts w:ascii="Wingdings" w:eastAsia="Wingdings" w:hAnsi="Wingdings" w:cs="Wingdings"/>
        <w:sz w:val="20"/>
      </w:rPr>
    </w:lvl>
    <w:lvl w:ilvl="3" w:tplc="0F3022AA">
      <w:numFmt w:val="bullet"/>
      <w:lvlText w:val=""/>
      <w:lvlJc w:val="left"/>
      <w:pPr>
        <w:ind w:left="2520" w:firstLine="0"/>
      </w:pPr>
      <w:rPr>
        <w:rFonts w:ascii="Wingdings" w:eastAsia="Wingdings" w:hAnsi="Wingdings" w:cs="Wingdings"/>
        <w:sz w:val="20"/>
      </w:rPr>
    </w:lvl>
    <w:lvl w:ilvl="4" w:tplc="2B302AEE">
      <w:numFmt w:val="bullet"/>
      <w:lvlText w:val=""/>
      <w:lvlJc w:val="left"/>
      <w:pPr>
        <w:ind w:left="3240" w:firstLine="0"/>
      </w:pPr>
      <w:rPr>
        <w:rFonts w:ascii="Wingdings" w:eastAsia="Wingdings" w:hAnsi="Wingdings" w:cs="Wingdings"/>
        <w:sz w:val="20"/>
      </w:rPr>
    </w:lvl>
    <w:lvl w:ilvl="5" w:tplc="3B5A77A4">
      <w:numFmt w:val="bullet"/>
      <w:lvlText w:val=""/>
      <w:lvlJc w:val="left"/>
      <w:pPr>
        <w:ind w:left="3960" w:firstLine="0"/>
      </w:pPr>
      <w:rPr>
        <w:rFonts w:ascii="Wingdings" w:eastAsia="Wingdings" w:hAnsi="Wingdings" w:cs="Wingdings"/>
        <w:sz w:val="20"/>
      </w:rPr>
    </w:lvl>
    <w:lvl w:ilvl="6" w:tplc="2902B912">
      <w:numFmt w:val="bullet"/>
      <w:lvlText w:val=""/>
      <w:lvlJc w:val="left"/>
      <w:pPr>
        <w:ind w:left="4680" w:firstLine="0"/>
      </w:pPr>
      <w:rPr>
        <w:rFonts w:ascii="Wingdings" w:eastAsia="Wingdings" w:hAnsi="Wingdings" w:cs="Wingdings"/>
        <w:sz w:val="20"/>
      </w:rPr>
    </w:lvl>
    <w:lvl w:ilvl="7" w:tplc="6CD0C0AE">
      <w:numFmt w:val="bullet"/>
      <w:lvlText w:val=""/>
      <w:lvlJc w:val="left"/>
      <w:pPr>
        <w:ind w:left="5400" w:firstLine="0"/>
      </w:pPr>
      <w:rPr>
        <w:rFonts w:ascii="Wingdings" w:eastAsia="Wingdings" w:hAnsi="Wingdings" w:cs="Wingdings"/>
        <w:sz w:val="20"/>
      </w:rPr>
    </w:lvl>
    <w:lvl w:ilvl="8" w:tplc="7996FFD0">
      <w:numFmt w:val="bullet"/>
      <w:lvlText w:val=""/>
      <w:lvlJc w:val="left"/>
      <w:pPr>
        <w:ind w:left="6120" w:firstLine="0"/>
      </w:pPr>
      <w:rPr>
        <w:rFonts w:ascii="Wingdings" w:eastAsia="Wingdings" w:hAnsi="Wingdings" w:cs="Wingdings"/>
        <w:sz w:val="20"/>
      </w:rPr>
    </w:lvl>
  </w:abstractNum>
  <w:abstractNum w:abstractNumId="18" w15:restartNumberingAfterBreak="0">
    <w:nsid w:val="77542D94"/>
    <w:multiLevelType w:val="hybridMultilevel"/>
    <w:tmpl w:val="87621EA8"/>
    <w:name w:val="Lista numerada 4"/>
    <w:lvl w:ilvl="0" w:tplc="6F50C568">
      <w:start w:val="1"/>
      <w:numFmt w:val="decimal"/>
      <w:lvlText w:val="%1."/>
      <w:lvlJc w:val="left"/>
      <w:pPr>
        <w:ind w:left="360" w:firstLine="0"/>
      </w:pPr>
    </w:lvl>
    <w:lvl w:ilvl="1" w:tplc="E33400DC">
      <w:start w:val="1"/>
      <w:numFmt w:val="lowerLetter"/>
      <w:lvlText w:val="%2."/>
      <w:lvlJc w:val="left"/>
      <w:pPr>
        <w:ind w:left="1080" w:firstLine="0"/>
      </w:pPr>
    </w:lvl>
    <w:lvl w:ilvl="2" w:tplc="674ADD64">
      <w:start w:val="1"/>
      <w:numFmt w:val="lowerRoman"/>
      <w:lvlText w:val="%3."/>
      <w:lvlJc w:val="left"/>
      <w:pPr>
        <w:ind w:left="1980" w:firstLine="0"/>
      </w:pPr>
    </w:lvl>
    <w:lvl w:ilvl="3" w:tplc="D974C1C8">
      <w:start w:val="1"/>
      <w:numFmt w:val="decimal"/>
      <w:lvlText w:val="%4."/>
      <w:lvlJc w:val="left"/>
      <w:pPr>
        <w:ind w:left="2520" w:firstLine="0"/>
      </w:pPr>
    </w:lvl>
    <w:lvl w:ilvl="4" w:tplc="B8B8E742">
      <w:start w:val="1"/>
      <w:numFmt w:val="lowerLetter"/>
      <w:lvlText w:val="%5."/>
      <w:lvlJc w:val="left"/>
      <w:pPr>
        <w:ind w:left="3240" w:firstLine="0"/>
      </w:pPr>
    </w:lvl>
    <w:lvl w:ilvl="5" w:tplc="91088000">
      <w:start w:val="1"/>
      <w:numFmt w:val="lowerRoman"/>
      <w:lvlText w:val="%6."/>
      <w:lvlJc w:val="left"/>
      <w:pPr>
        <w:ind w:left="4140" w:firstLine="0"/>
      </w:pPr>
    </w:lvl>
    <w:lvl w:ilvl="6" w:tplc="EF88C9D2">
      <w:start w:val="1"/>
      <w:numFmt w:val="decimal"/>
      <w:lvlText w:val="%7."/>
      <w:lvlJc w:val="left"/>
      <w:pPr>
        <w:ind w:left="4680" w:firstLine="0"/>
      </w:pPr>
    </w:lvl>
    <w:lvl w:ilvl="7" w:tplc="F0EC2A54">
      <w:start w:val="1"/>
      <w:numFmt w:val="lowerLetter"/>
      <w:lvlText w:val="%8."/>
      <w:lvlJc w:val="left"/>
      <w:pPr>
        <w:ind w:left="5400" w:firstLine="0"/>
      </w:pPr>
    </w:lvl>
    <w:lvl w:ilvl="8" w:tplc="6464BE1A">
      <w:start w:val="1"/>
      <w:numFmt w:val="lowerRoman"/>
      <w:lvlText w:val="%9."/>
      <w:lvlJc w:val="left"/>
      <w:pPr>
        <w:ind w:left="6300" w:firstLine="0"/>
      </w:pPr>
    </w:lvl>
  </w:abstractNum>
  <w:num w:numId="1" w16cid:durableId="903950790">
    <w:abstractNumId w:val="13"/>
  </w:num>
  <w:num w:numId="2" w16cid:durableId="1223441646">
    <w:abstractNumId w:val="16"/>
  </w:num>
  <w:num w:numId="3" w16cid:durableId="399904553">
    <w:abstractNumId w:val="12"/>
  </w:num>
  <w:num w:numId="4" w16cid:durableId="1400127515">
    <w:abstractNumId w:val="18"/>
  </w:num>
  <w:num w:numId="5" w16cid:durableId="889196250">
    <w:abstractNumId w:val="17"/>
  </w:num>
  <w:num w:numId="6" w16cid:durableId="1898739267">
    <w:abstractNumId w:val="8"/>
  </w:num>
  <w:num w:numId="7" w16cid:durableId="2125877515">
    <w:abstractNumId w:val="11"/>
  </w:num>
  <w:num w:numId="8" w16cid:durableId="1457289047">
    <w:abstractNumId w:val="3"/>
  </w:num>
  <w:num w:numId="9" w16cid:durableId="1366443582">
    <w:abstractNumId w:val="0"/>
  </w:num>
  <w:num w:numId="10" w16cid:durableId="202443049">
    <w:abstractNumId w:val="6"/>
  </w:num>
  <w:num w:numId="11" w16cid:durableId="553330">
    <w:abstractNumId w:val="2"/>
  </w:num>
  <w:num w:numId="12" w16cid:durableId="1101221093">
    <w:abstractNumId w:val="15"/>
  </w:num>
  <w:num w:numId="13" w16cid:durableId="1546912035">
    <w:abstractNumId w:val="10"/>
  </w:num>
  <w:num w:numId="14" w16cid:durableId="229465501">
    <w:abstractNumId w:val="1"/>
  </w:num>
  <w:num w:numId="15" w16cid:durableId="836962796">
    <w:abstractNumId w:val="14"/>
  </w:num>
  <w:num w:numId="16" w16cid:durableId="1608581652">
    <w:abstractNumId w:val="4"/>
  </w:num>
  <w:num w:numId="17" w16cid:durableId="1483935007">
    <w:abstractNumId w:val="9"/>
  </w:num>
  <w:num w:numId="18" w16cid:durableId="117457875">
    <w:abstractNumId w:val="7"/>
  </w:num>
  <w:num w:numId="19" w16cid:durableId="12318159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489F"/>
    <w:rsid w:val="00117634"/>
    <w:rsid w:val="001C7F54"/>
    <w:rsid w:val="001E72A5"/>
    <w:rsid w:val="0046000B"/>
    <w:rsid w:val="005D489F"/>
    <w:rsid w:val="0066496E"/>
    <w:rsid w:val="006939F0"/>
    <w:rsid w:val="008365C9"/>
    <w:rsid w:val="00914778"/>
    <w:rsid w:val="00934A3F"/>
    <w:rsid w:val="00AA33A1"/>
    <w:rsid w:val="00AF0069"/>
    <w:rsid w:val="00B62D52"/>
    <w:rsid w:val="00B73B56"/>
    <w:rsid w:val="00C05111"/>
    <w:rsid w:val="00D5394C"/>
    <w:rsid w:val="00D621F6"/>
    <w:rsid w:val="00D85A8D"/>
    <w:rsid w:val="00D86840"/>
    <w:rsid w:val="00E574FB"/>
    <w:rsid w:val="00F52AD8"/>
    <w:rsid w:val="00F872C4"/>
    <w:rsid w:val="00FB38B8"/>
    <w:rsid w:val="00FE16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3DBEB"/>
  <w15:docId w15:val="{7B880025-B0C7-4297-B1F6-006DC3B94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kern w:val="1"/>
        <w:sz w:val="22"/>
        <w:szCs w:val="22"/>
        <w:lang w:val="es-MX" w:eastAsia="en-US" w:bidi="ar-SA"/>
      </w:rPr>
    </w:rPrDefault>
    <w:pPrDefault>
      <w:pPr>
        <w:suppressAutoHyphens/>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Heading2"/>
    <w:next w:val="Normal"/>
    <w:qFormat/>
    <w:pPr>
      <w:numPr>
        <w:ilvl w:val="0"/>
      </w:numPr>
      <w:spacing w:line="360" w:lineRule="auto"/>
      <w:ind w:hanging="576"/>
      <w:outlineLvl w:val="0"/>
    </w:pPr>
    <w:rPr>
      <w:b/>
      <w:bCs/>
    </w:rPr>
  </w:style>
  <w:style w:type="paragraph" w:styleId="Heading2">
    <w:name w:val="heading 2"/>
    <w:basedOn w:val="Normal"/>
    <w:next w:val="Normal"/>
    <w:qFormat/>
    <w:pPr>
      <w:keepNext/>
      <w:keepLines/>
      <w:numPr>
        <w:ilvl w:val="1"/>
        <w:numId w:val="13"/>
      </w:numPr>
      <w:spacing w:before="160" w:after="80"/>
      <w:ind w:left="576" w:hanging="576"/>
      <w:outlineLvl w:val="1"/>
    </w:pPr>
    <w:rPr>
      <w:rFonts w:ascii="Times New Roman" w:hAnsi="Times New Roman" w:cs="Times New Roman"/>
      <w:sz w:val="24"/>
      <w:szCs w:val="24"/>
    </w:rPr>
  </w:style>
  <w:style w:type="paragraph" w:styleId="Heading3">
    <w:name w:val="heading 3"/>
    <w:basedOn w:val="Normal"/>
    <w:next w:val="Normal"/>
    <w:qFormat/>
    <w:pPr>
      <w:keepNext/>
      <w:keepLines/>
      <w:numPr>
        <w:ilvl w:val="2"/>
        <w:numId w:val="13"/>
      </w:numPr>
      <w:spacing w:before="160" w:after="80"/>
      <w:ind w:left="720" w:hanging="720"/>
      <w:outlineLvl w:val="2"/>
    </w:pPr>
    <w:rPr>
      <w:rFonts w:ascii="Times New Roman" w:eastAsia="Aptos Display" w:hAnsi="Times New Roman" w:cs="Times New Roman"/>
      <w:sz w:val="24"/>
      <w:szCs w:val="24"/>
    </w:rPr>
  </w:style>
  <w:style w:type="paragraph" w:styleId="Heading4">
    <w:name w:val="heading 4"/>
    <w:basedOn w:val="Normal"/>
    <w:next w:val="Normal"/>
    <w:qFormat/>
    <w:pPr>
      <w:keepNext/>
      <w:keepLines/>
      <w:numPr>
        <w:ilvl w:val="3"/>
        <w:numId w:val="13"/>
      </w:numPr>
      <w:spacing w:before="80" w:after="40"/>
      <w:ind w:left="864" w:hanging="864"/>
      <w:outlineLvl w:val="3"/>
    </w:pPr>
    <w:rPr>
      <w:rFonts w:eastAsia="Aptos Display" w:cs="Aptos Display"/>
      <w:i/>
      <w:iCs/>
      <w:color w:val="0F4761"/>
    </w:rPr>
  </w:style>
  <w:style w:type="paragraph" w:styleId="Heading5">
    <w:name w:val="heading 5"/>
    <w:basedOn w:val="Normal"/>
    <w:next w:val="Normal"/>
    <w:qFormat/>
    <w:pPr>
      <w:keepNext/>
      <w:keepLines/>
      <w:numPr>
        <w:ilvl w:val="4"/>
        <w:numId w:val="13"/>
      </w:numPr>
      <w:spacing w:before="80" w:after="40"/>
      <w:ind w:left="1008" w:hanging="1008"/>
      <w:outlineLvl w:val="4"/>
    </w:pPr>
    <w:rPr>
      <w:rFonts w:eastAsia="Aptos Display" w:cs="Aptos Display"/>
      <w:color w:val="0F4761"/>
    </w:rPr>
  </w:style>
  <w:style w:type="paragraph" w:styleId="Heading6">
    <w:name w:val="heading 6"/>
    <w:basedOn w:val="Normal"/>
    <w:next w:val="Normal"/>
    <w:qFormat/>
    <w:pPr>
      <w:keepNext/>
      <w:keepLines/>
      <w:numPr>
        <w:ilvl w:val="5"/>
        <w:numId w:val="13"/>
      </w:numPr>
      <w:spacing w:before="40" w:after="0"/>
      <w:ind w:left="1152" w:hanging="1152"/>
      <w:outlineLvl w:val="5"/>
    </w:pPr>
    <w:rPr>
      <w:rFonts w:eastAsia="Aptos Display" w:cs="Aptos Display"/>
      <w:i/>
      <w:iCs/>
      <w:color w:val="595959"/>
    </w:rPr>
  </w:style>
  <w:style w:type="paragraph" w:styleId="Heading7">
    <w:name w:val="heading 7"/>
    <w:basedOn w:val="Normal"/>
    <w:next w:val="Normal"/>
    <w:qFormat/>
    <w:pPr>
      <w:keepNext/>
      <w:keepLines/>
      <w:numPr>
        <w:ilvl w:val="6"/>
        <w:numId w:val="13"/>
      </w:numPr>
      <w:spacing w:before="40" w:after="0"/>
      <w:ind w:left="1296" w:hanging="1296"/>
      <w:outlineLvl w:val="6"/>
    </w:pPr>
    <w:rPr>
      <w:rFonts w:eastAsia="Aptos Display" w:cs="Aptos Display"/>
      <w:color w:val="595959"/>
    </w:rPr>
  </w:style>
  <w:style w:type="paragraph" w:styleId="Heading8">
    <w:name w:val="heading 8"/>
    <w:basedOn w:val="Normal"/>
    <w:next w:val="Normal"/>
    <w:qFormat/>
    <w:pPr>
      <w:keepNext/>
      <w:keepLines/>
      <w:numPr>
        <w:ilvl w:val="7"/>
        <w:numId w:val="13"/>
      </w:numPr>
      <w:spacing w:after="0"/>
      <w:ind w:left="1440" w:hanging="1440"/>
      <w:outlineLvl w:val="7"/>
    </w:pPr>
    <w:rPr>
      <w:rFonts w:eastAsia="Aptos Display" w:cs="Aptos Display"/>
      <w:i/>
      <w:iCs/>
      <w:color w:val="272727"/>
    </w:rPr>
  </w:style>
  <w:style w:type="paragraph" w:styleId="Heading9">
    <w:name w:val="heading 9"/>
    <w:basedOn w:val="Normal"/>
    <w:next w:val="Normal"/>
    <w:qFormat/>
    <w:pPr>
      <w:keepNext/>
      <w:keepLines/>
      <w:numPr>
        <w:ilvl w:val="8"/>
        <w:numId w:val="13"/>
      </w:numPr>
      <w:spacing w:after="0"/>
      <w:ind w:left="1584" w:hanging="1584"/>
      <w:outlineLvl w:val="8"/>
    </w:pPr>
    <w:rPr>
      <w:rFonts w:eastAsia="Aptos Display" w:cs="Aptos Display"/>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line="240" w:lineRule="auto"/>
      <w:contextualSpacing/>
    </w:pPr>
    <w:rPr>
      <w:rFonts w:ascii="Aptos Display" w:eastAsia="Aptos Display" w:hAnsi="Aptos Display" w:cs="Aptos Display"/>
      <w:spacing w:val="-10"/>
      <w:sz w:val="56"/>
      <w:szCs w:val="56"/>
    </w:rPr>
  </w:style>
  <w:style w:type="paragraph" w:styleId="Subtitle">
    <w:name w:val="Subtitle"/>
    <w:basedOn w:val="Normal"/>
    <w:next w:val="Normal"/>
    <w:qFormat/>
    <w:rPr>
      <w:rFonts w:eastAsia="Aptos Display" w:cs="Aptos Display"/>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BodyText">
    <w:name w:val="Body Text"/>
    <w:basedOn w:val="Normal"/>
    <w:qFormat/>
    <w:pPr>
      <w:spacing w:before="180" w:after="180" w:line="240" w:lineRule="auto"/>
    </w:pPr>
    <w:rPr>
      <w:sz w:val="24"/>
      <w:szCs w:val="24"/>
    </w:rPr>
  </w:style>
  <w:style w:type="paragraph" w:customStyle="1" w:styleId="FirstParagraph">
    <w:name w:val="First Paragraph"/>
    <w:basedOn w:val="BodyText"/>
    <w:next w:val="BodyText"/>
    <w:qFormat/>
  </w:style>
  <w:style w:type="paragraph" w:customStyle="1" w:styleId="CaptionedFigure">
    <w:name w:val="Captioned Figure"/>
    <w:basedOn w:val="Normal"/>
    <w:qFormat/>
    <w:pPr>
      <w:keepNext/>
      <w:spacing w:after="200" w:line="240" w:lineRule="auto"/>
    </w:pPr>
    <w:rPr>
      <w:sz w:val="24"/>
      <w:szCs w:val="24"/>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Compact">
    <w:name w:val="Compact"/>
    <w:basedOn w:val="BodyText"/>
    <w:qFormat/>
    <w:pPr>
      <w:spacing w:before="36" w:after="36"/>
    </w:pPr>
  </w:style>
  <w:style w:type="paragraph" w:styleId="Caption">
    <w:name w:val="caption"/>
    <w:basedOn w:val="Normal"/>
    <w:next w:val="Normal"/>
    <w:qFormat/>
    <w:pPr>
      <w:spacing w:after="200" w:line="240" w:lineRule="auto"/>
    </w:pPr>
    <w:rPr>
      <w:i/>
      <w:iCs/>
      <w:color w:val="0E2841"/>
      <w:sz w:val="18"/>
      <w:szCs w:val="18"/>
    </w:rPr>
  </w:style>
  <w:style w:type="paragraph" w:customStyle="1" w:styleId="TableCaption">
    <w:name w:val="Table Caption"/>
    <w:basedOn w:val="Caption"/>
    <w:qFormat/>
    <w:pPr>
      <w:keepNext/>
      <w:spacing w:after="120"/>
    </w:pPr>
    <w:rPr>
      <w:iCs w:val="0"/>
      <w:color w:val="auto"/>
      <w:sz w:val="24"/>
      <w:szCs w:val="24"/>
    </w:rPr>
  </w:style>
  <w:style w:type="paragraph" w:styleId="Bibliography">
    <w:name w:val="Bibliography"/>
    <w:basedOn w:val="Normal"/>
    <w:next w:val="Normal"/>
    <w:qFormat/>
  </w:style>
  <w:style w:type="paragraph" w:styleId="HTMLPreformatted">
    <w:name w:val="HTML Preformatted"/>
    <w:basedOn w:val="Normal"/>
    <w:qFormat/>
    <w:pPr>
      <w:spacing w:after="0" w:line="240" w:lineRule="auto"/>
    </w:pPr>
    <w:rPr>
      <w:rFonts w:ascii="Consolas" w:hAnsi="Consolas"/>
      <w:sz w:val="20"/>
      <w:szCs w:val="20"/>
    </w:rPr>
  </w:style>
  <w:style w:type="paragraph" w:styleId="ListBullet">
    <w:name w:val="List Bullet"/>
    <w:basedOn w:val="Normal"/>
    <w:qFormat/>
    <w:pPr>
      <w:numPr>
        <w:numId w:val="3"/>
      </w:numPr>
      <w:spacing w:after="200" w:line="276" w:lineRule="auto"/>
      <w:ind w:left="360" w:hanging="360"/>
      <w:contextualSpacing/>
    </w:pPr>
  </w:style>
  <w:style w:type="paragraph" w:styleId="ListNumber">
    <w:name w:val="List Number"/>
    <w:basedOn w:val="Normal"/>
    <w:qFormat/>
    <w:pPr>
      <w:numPr>
        <w:numId w:val="2"/>
      </w:numPr>
      <w:spacing w:after="200" w:line="276" w:lineRule="auto"/>
      <w:contextualSpacing/>
    </w:pPr>
  </w:style>
  <w:style w:type="paragraph" w:styleId="ListNumber2">
    <w:name w:val="List Number 2"/>
    <w:basedOn w:val="Normal"/>
    <w:qFormat/>
    <w:pPr>
      <w:numPr>
        <w:numId w:val="1"/>
      </w:numPr>
      <w:spacing w:after="200" w:line="276" w:lineRule="auto"/>
      <w:ind w:left="0"/>
      <w:contextualSpacing/>
    </w:pPr>
  </w:style>
  <w:style w:type="character" w:customStyle="1" w:styleId="Ttulo1Car">
    <w:name w:val="Título 1 Car"/>
    <w:basedOn w:val="DefaultParagraphFont"/>
    <w:rPr>
      <w:rFonts w:ascii="Times New Roman" w:eastAsia="Aptos Display" w:hAnsi="Times New Roman" w:cs="Times New Roman"/>
      <w:b/>
      <w:bCs/>
      <w:sz w:val="24"/>
      <w:szCs w:val="24"/>
      <w:lang w:val="en-US"/>
    </w:rPr>
  </w:style>
  <w:style w:type="character" w:customStyle="1" w:styleId="Ttulo2Car">
    <w:name w:val="Título 2 Car"/>
    <w:basedOn w:val="DefaultParagraphFont"/>
    <w:rPr>
      <w:rFonts w:ascii="Times New Roman" w:eastAsia="Aptos" w:hAnsi="Times New Roman" w:cs="Times New Roman"/>
      <w:sz w:val="24"/>
      <w:szCs w:val="24"/>
      <w:lang w:val="en-US"/>
    </w:rPr>
  </w:style>
  <w:style w:type="character" w:customStyle="1" w:styleId="Ttulo3Car">
    <w:name w:val="Título 3 Car"/>
    <w:basedOn w:val="DefaultParagraphFont"/>
    <w:rPr>
      <w:rFonts w:ascii="Times New Roman" w:eastAsia="Aptos Display" w:hAnsi="Times New Roman" w:cs="Times New Roman"/>
      <w:sz w:val="24"/>
      <w:szCs w:val="24"/>
      <w:lang w:val="en-US"/>
    </w:rPr>
  </w:style>
  <w:style w:type="character" w:customStyle="1" w:styleId="Ttulo4Car">
    <w:name w:val="Título 4 Car"/>
    <w:basedOn w:val="DefaultParagraphFont"/>
    <w:rPr>
      <w:rFonts w:eastAsia="Aptos Display" w:cs="Aptos Display"/>
      <w:i/>
      <w:iCs/>
      <w:color w:val="0F4761"/>
      <w:lang w:val="en-US"/>
    </w:rPr>
  </w:style>
  <w:style w:type="character" w:customStyle="1" w:styleId="Ttulo5Car">
    <w:name w:val="Título 5 Car"/>
    <w:basedOn w:val="DefaultParagraphFont"/>
    <w:rPr>
      <w:rFonts w:eastAsia="Aptos Display" w:cs="Aptos Display"/>
      <w:color w:val="0F4761"/>
      <w:lang w:val="en-US"/>
    </w:rPr>
  </w:style>
  <w:style w:type="character" w:customStyle="1" w:styleId="Ttulo6Car">
    <w:name w:val="Título 6 Car"/>
    <w:basedOn w:val="DefaultParagraphFont"/>
    <w:rPr>
      <w:rFonts w:eastAsia="Aptos Display" w:cs="Aptos Display"/>
      <w:i/>
      <w:iCs/>
      <w:color w:val="595959"/>
      <w:lang w:val="en-US"/>
    </w:rPr>
  </w:style>
  <w:style w:type="character" w:customStyle="1" w:styleId="Ttulo7Car">
    <w:name w:val="Título 7 Car"/>
    <w:basedOn w:val="DefaultParagraphFont"/>
    <w:rPr>
      <w:rFonts w:eastAsia="Aptos Display" w:cs="Aptos Display"/>
      <w:color w:val="595959"/>
      <w:lang w:val="en-US"/>
    </w:rPr>
  </w:style>
  <w:style w:type="character" w:customStyle="1" w:styleId="Ttulo8Car">
    <w:name w:val="Título 8 Car"/>
    <w:basedOn w:val="DefaultParagraphFont"/>
    <w:rPr>
      <w:rFonts w:eastAsia="Aptos Display" w:cs="Aptos Display"/>
      <w:i/>
      <w:iCs/>
      <w:color w:val="272727"/>
      <w:lang w:val="en-US"/>
    </w:rPr>
  </w:style>
  <w:style w:type="character" w:customStyle="1" w:styleId="Ttulo9Car">
    <w:name w:val="Título 9 Car"/>
    <w:basedOn w:val="DefaultParagraphFont"/>
    <w:rPr>
      <w:rFonts w:eastAsia="Aptos Display" w:cs="Aptos Display"/>
      <w:color w:val="272727"/>
      <w:lang w:val="en-US"/>
    </w:rPr>
  </w:style>
  <w:style w:type="character" w:customStyle="1" w:styleId="TtuloCar">
    <w:name w:val="Título Car"/>
    <w:basedOn w:val="DefaultParagraphFont"/>
    <w:rPr>
      <w:rFonts w:ascii="Aptos Display" w:eastAsia="Aptos Display" w:hAnsi="Aptos Display" w:cs="Aptos Display"/>
      <w:spacing w:val="-10"/>
      <w:kern w:val="1"/>
      <w:sz w:val="56"/>
      <w:szCs w:val="56"/>
      <w:lang w:val="en-US"/>
    </w:rPr>
  </w:style>
  <w:style w:type="character" w:customStyle="1" w:styleId="SubttuloCar">
    <w:name w:val="Subtítulo Car"/>
    <w:basedOn w:val="DefaultParagraphFont"/>
    <w:rPr>
      <w:rFonts w:eastAsia="Aptos Display" w:cs="Aptos Display"/>
      <w:color w:val="595959"/>
      <w:spacing w:val="15"/>
      <w:sz w:val="28"/>
      <w:szCs w:val="28"/>
      <w:lang w:val="en-US"/>
    </w:rPr>
  </w:style>
  <w:style w:type="character" w:customStyle="1" w:styleId="CitaCar">
    <w:name w:val="Cita Car"/>
    <w:basedOn w:val="DefaultParagraphFont"/>
    <w:rPr>
      <w:i/>
      <w:iCs/>
      <w:color w:val="404040"/>
      <w:lang w:val="en-US"/>
    </w:rPr>
  </w:style>
  <w:style w:type="character" w:styleId="IntenseEmphasis">
    <w:name w:val="Intense Emphasis"/>
    <w:basedOn w:val="DefaultParagraphFont"/>
    <w:rPr>
      <w:i/>
      <w:iCs/>
      <w:color w:val="0F4761"/>
    </w:rPr>
  </w:style>
  <w:style w:type="character" w:customStyle="1" w:styleId="CitadestacadaCar">
    <w:name w:val="Cita destacada Car"/>
    <w:basedOn w:val="DefaultParagraphFont"/>
    <w:rPr>
      <w:i/>
      <w:iCs/>
      <w:color w:val="0F4761"/>
      <w:lang w:val="en-US"/>
    </w:rPr>
  </w:style>
  <w:style w:type="character" w:styleId="IntenseReference">
    <w:name w:val="Intense Reference"/>
    <w:basedOn w:val="DefaultParagraphFont"/>
    <w:rPr>
      <w:b/>
      <w:bCs/>
      <w:smallCaps/>
      <w:color w:val="0F4761"/>
      <w:spacing w:val="0"/>
    </w:rPr>
  </w:style>
  <w:style w:type="character" w:customStyle="1" w:styleId="TextoindependienteCar">
    <w:name w:val="Texto independiente Car"/>
    <w:basedOn w:val="DefaultParagraphFont"/>
    <w:rPr>
      <w:kern w:val="0"/>
      <w:sz w:val="24"/>
      <w:szCs w:val="24"/>
      <w:lang w:val="en-US"/>
    </w:rPr>
  </w:style>
  <w:style w:type="character" w:customStyle="1" w:styleId="TextoindependienteCar1">
    <w:name w:val="Texto independiente Car1"/>
    <w:basedOn w:val="DefaultParagraphFont"/>
  </w:style>
  <w:style w:type="character" w:styleId="Hyperlink">
    <w:name w:val="Hyperlink"/>
    <w:basedOn w:val="DefaultParagraphFont"/>
    <w:rPr>
      <w:color w:val="156082"/>
    </w:rPr>
  </w:style>
  <w:style w:type="character" w:styleId="PlaceholderText">
    <w:name w:val="Placeholder Text"/>
    <w:basedOn w:val="DefaultParagraphFont"/>
    <w:rPr>
      <w:color w:val="666666"/>
    </w:rPr>
  </w:style>
  <w:style w:type="character" w:styleId="Strong">
    <w:name w:val="Strong"/>
    <w:basedOn w:val="DefaultParagraphFont"/>
    <w:rPr>
      <w:b/>
      <w:bCs/>
    </w:rPr>
  </w:style>
  <w:style w:type="character" w:customStyle="1" w:styleId="HTMLconformatoprevioCar">
    <w:name w:val="HTML con formato previo Car"/>
    <w:basedOn w:val="DefaultParagraphFont"/>
    <w:rPr>
      <w:rFonts w:ascii="Consolas" w:hAnsi="Consolas"/>
      <w:sz w:val="20"/>
      <w:szCs w:val="20"/>
      <w:lang w:val="en-US"/>
    </w:rPr>
  </w:style>
  <w:style w:type="table" w:customStyle="1" w:styleId="Tablanormal">
    <w:name w:val="Tabla normal"/>
    <w:uiPriority w:val="99"/>
    <w:semiHidden/>
    <w:unhideWhenUsed/>
    <w:tblPr>
      <w:tblStyleRowBandSize w:val="1"/>
      <w:tblStyleColBandSize w:val="1"/>
      <w:tblInd w:w="0" w:type="dxa"/>
      <w:tblCellMar>
        <w:top w:w="0" w:type="dxa"/>
        <w:left w:w="108" w:type="dxa"/>
        <w:bottom w:w="0" w:type="dxa"/>
        <w:right w:w="108" w:type="dxa"/>
      </w:tblCellMar>
    </w:tblPr>
  </w:style>
  <w:style w:type="table" w:customStyle="1" w:styleId="Tablaconcuadrcula">
    <w:name w:val="Tabla con cuadrícula"/>
    <w:basedOn w:val="TableNormal"/>
    <w:pPr>
      <w:spacing w:after="0" w:line="240" w:lineRule="auto"/>
    </w:pPr>
    <w:rPr>
      <w:sz w:val="24"/>
      <w:szCs w:val="24"/>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1">
    <w:name w:val="Light Grid Accent 1"/>
    <w:basedOn w:val="TableNormal"/>
    <w:uiPriority w:val="62"/>
    <w:pPr>
      <w:spacing w:after="0" w:line="240" w:lineRule="auto"/>
    </w:pPr>
    <w:rPr>
      <w:lang w:val="en-US"/>
    </w:rPr>
    <w:tblPr>
      <w:tblStyleRowBandSize w:val="1"/>
      <w:tblStyleColBandSize w:val="1"/>
      <w:tblBorders>
        <w:top w:val="single" w:sz="8" w:space="0" w:color="156082"/>
        <w:left w:val="single" w:sz="8" w:space="0" w:color="156082"/>
        <w:bottom w:val="single" w:sz="8" w:space="0" w:color="156082"/>
        <w:right w:val="single" w:sz="8" w:space="0" w:color="156082"/>
        <w:insideH w:val="single" w:sz="8" w:space="0" w:color="156082"/>
        <w:insideV w:val="single" w:sz="8" w:space="0" w:color="156082"/>
      </w:tblBorders>
    </w:tblPr>
    <w:tblStylePr w:type="firstRow">
      <w:pPr>
        <w:spacing w:before="0" w:after="0" w:line="240" w:lineRule="auto"/>
      </w:pPr>
      <w:rPr>
        <w:rFonts w:ascii="Aptos Display" w:eastAsia="Aptos Display" w:hAnsi="Aptos Display" w:cs="Aptos Display"/>
        <w:b/>
        <w:bCs/>
      </w:rPr>
      <w:tblPr/>
      <w:tcPr>
        <w:tcBorders>
          <w:top w:val="single" w:sz="8" w:space="0" w:color="156082"/>
          <w:left w:val="single" w:sz="8" w:space="0" w:color="156082"/>
          <w:bottom w:val="single" w:sz="18" w:space="0" w:color="156082"/>
          <w:right w:val="single" w:sz="8" w:space="0" w:color="156082"/>
          <w:insideV w:val="single" w:sz="8" w:space="0" w:color="156082"/>
        </w:tcBorders>
      </w:tcPr>
    </w:tblStylePr>
    <w:tblStylePr w:type="lastRow">
      <w:pPr>
        <w:spacing w:before="0" w:after="0" w:line="240" w:lineRule="auto"/>
      </w:pPr>
      <w:rPr>
        <w:rFonts w:ascii="Aptos Display" w:eastAsia="Aptos Display" w:hAnsi="Aptos Display" w:cs="Aptos Display"/>
        <w:b/>
        <w:bCs/>
      </w:rPr>
      <w:tblPr/>
      <w:tcPr>
        <w:tcBorders>
          <w:top w:val="double" w:sz="18" w:space="0" w:color="156082"/>
          <w:left w:val="single" w:sz="8" w:space="0" w:color="156082"/>
          <w:bottom w:val="single" w:sz="8" w:space="0" w:color="156082"/>
          <w:right w:val="single" w:sz="8" w:space="0" w:color="156082"/>
          <w:insideV w:val="single" w:sz="8" w:space="0" w:color="156082"/>
        </w:tcBorders>
      </w:tcPr>
    </w:tblStylePr>
    <w:tblStylePr w:type="firstCol">
      <w:rPr>
        <w:rFonts w:ascii="Aptos Display" w:eastAsia="Aptos Display" w:hAnsi="Aptos Display" w:cs="Aptos Display"/>
        <w:b/>
        <w:bCs/>
      </w:rPr>
    </w:tblStylePr>
    <w:tblStylePr w:type="lastCol">
      <w:rPr>
        <w:rFonts w:ascii="Aptos Display" w:eastAsia="Aptos Display" w:hAnsi="Aptos Display" w:cs="Aptos Display"/>
        <w:b/>
        <w:bCs/>
      </w:rPr>
      <w:tblPr/>
      <w:tcPr>
        <w:tcBorders>
          <w:top w:val="single" w:sz="8" w:space="0" w:color="156082"/>
          <w:left w:val="single" w:sz="8" w:space="0" w:color="156082"/>
          <w:bottom w:val="single" w:sz="8" w:space="0" w:color="156082"/>
          <w:right w:val="single" w:sz="8" w:space="0" w:color="156082"/>
        </w:tcBorders>
      </w:tcPr>
    </w:tblStylePr>
    <w:tblStylePr w:type="band1Vert">
      <w:tblPr/>
      <w:tcPr>
        <w:tcBorders>
          <w:top w:val="single" w:sz="8" w:space="0" w:color="156082"/>
          <w:left w:val="single" w:sz="8" w:space="0" w:color="156082"/>
          <w:bottom w:val="single" w:sz="8" w:space="0" w:color="156082"/>
          <w:right w:val="single" w:sz="8" w:space="0" w:color="156082"/>
        </w:tcBorders>
        <w:shd w:val="solid" w:color="B2DEF2" w:fill="auto"/>
      </w:tcPr>
    </w:tblStylePr>
    <w:tblStylePr w:type="band1Horz">
      <w:tblPr/>
      <w:tcPr>
        <w:tcBorders>
          <w:top w:val="single" w:sz="8" w:space="0" w:color="156082"/>
          <w:left w:val="single" w:sz="8" w:space="0" w:color="156082"/>
          <w:bottom w:val="single" w:sz="8" w:space="0" w:color="156082"/>
          <w:right w:val="single" w:sz="8" w:space="0" w:color="156082"/>
          <w:insideV w:val="single" w:sz="8" w:space="0" w:color="156082"/>
        </w:tcBorders>
        <w:shd w:val="solid" w:color="B2DEF2" w:fill="auto"/>
      </w:tcPr>
    </w:tblStylePr>
    <w:tblStylePr w:type="band2Horz">
      <w:tblPr/>
      <w:tcPr>
        <w:tcBorders>
          <w:top w:val="single" w:sz="8" w:space="0" w:color="156082"/>
          <w:left w:val="single" w:sz="8" w:space="0" w:color="156082"/>
          <w:bottom w:val="single" w:sz="8" w:space="0" w:color="156082"/>
          <w:right w:val="single" w:sz="8" w:space="0" w:color="156082"/>
          <w:insideV w:val="single" w:sz="8" w:space="0" w:color="156082"/>
        </w:tcBorders>
      </w:tcPr>
    </w:tblStylePr>
  </w:style>
  <w:style w:type="table" w:customStyle="1" w:styleId="Tablaconcuadrculaclara1">
    <w:name w:val="Tabla con cuadrícula clara 1"/>
    <w:basedOn w:val="TableNormal"/>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6" w:space="0" w:color="666666"/>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D85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org/10.1016/j.jet.2015.03.010"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negi.org.mx/programas/enoe/15ymas/"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doi.org/10.1007/s10198-009-0183-0"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4.png"/><Relationship Id="rId5" Type="http://schemas.openxmlformats.org/officeDocument/2006/relationships/chart" Target="charts/chart1.xml"/><Relationship Id="rId15" Type="http://schemas.openxmlformats.org/officeDocument/2006/relationships/hyperlink" Target="https://www.gob.mx/conapo/documentos/bases-de-datos-de-la-conciliacion-demografica-1950-a-2019-y-proyecciones-de-la-poblacion-de-mexico-2020-a-2070"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uisp.insp.mx/wp/index.php/tablas-de-vida/"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2.png"/><Relationship Id="rId27" Type="http://schemas.openxmlformats.org/officeDocument/2006/relationships/image" Target="media/image17.pn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c:style val="2"/>
  <c:chart>
    <c:title>
      <c:tx>
        <c:rich>
          <a:bodyPr anchor="ctr" anchorCtr="1"/>
          <a:lstStyle/>
          <a:p>
            <a:pPr>
              <a:defRPr lang="es-mx" sz="1400" b="0" i="0" u="none" strike="noStrike" kern="100">
                <a:solidFill>
                  <a:srgbClr val="000000"/>
                </a:solidFill>
                <a:latin typeface="Aptos" charset="0"/>
              </a:defRPr>
            </a:pPr>
            <a:r>
              <a:rPr lang="es-MX"/>
              <a:t>Health expenditure</a:t>
            </a:r>
          </a:p>
        </c:rich>
      </c:tx>
      <c:overlay val="0"/>
    </c:title>
    <c:autoTitleDeleted val="0"/>
    <c:plotArea>
      <c:layout>
        <c:manualLayout>
          <c:xMode val="edge"/>
          <c:yMode val="edge"/>
          <c:x val="7.7499999999999999E-3"/>
          <c:y val="0.17874999999999999"/>
          <c:w val="0.98799999999999999"/>
          <c:h val="0.80449999999999999"/>
        </c:manualLayout>
      </c:layout>
      <c:barChart>
        <c:barDir val="col"/>
        <c:grouping val="stacked"/>
        <c:varyColors val="1"/>
        <c:ser>
          <c:idx val="0"/>
          <c:order val="0"/>
          <c:tx>
            <c:v>Government/Compulsory</c:v>
          </c:tx>
          <c:spPr>
            <a:solidFill>
              <a:srgbClr val="0089D0"/>
            </a:solidFill>
            <a:ln w="19050">
              <a:noFill/>
            </a:ln>
          </c:spPr>
          <c:invertIfNegative val="1"/>
          <c:dPt>
            <c:idx val="19"/>
            <c:invertIfNegative val="0"/>
            <c:bubble3D val="0"/>
            <c:spPr>
              <a:solidFill>
                <a:srgbClr val="DE1920"/>
              </a:solidFill>
              <a:ln w="19050">
                <a:noFill/>
              </a:ln>
            </c:spPr>
            <c:extLst>
              <c:ext xmlns:c16="http://schemas.microsoft.com/office/drawing/2014/chart" uri="{C3380CC4-5D6E-409C-BE32-E72D297353CC}">
                <c16:uniqueId val="{00000001-A052-476D-9111-AA607B534EDC}"/>
              </c:ext>
            </c:extLst>
          </c:dPt>
          <c:dPt>
            <c:idx val="27"/>
            <c:invertIfNegative val="0"/>
            <c:bubble3D val="0"/>
            <c:extLst>
              <c:ext xmlns:c16="http://schemas.microsoft.com/office/drawing/2014/chart" uri="{C3380CC4-5D6E-409C-BE32-E72D297353CC}">
                <c16:uniqueId val="{00000003-A052-476D-9111-AA607B534EDC}"/>
              </c:ext>
            </c:extLst>
          </c:dPt>
          <c:dLbls>
            <c:dLbl>
              <c:idx val="0"/>
              <c:layout>
                <c:manualLayout>
                  <c:x val="1.8E-3"/>
                  <c:y val="-0.2717999999999999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052-476D-9111-AA607B534EDC}"/>
                </c:ext>
              </c:extLst>
            </c:dLbl>
            <c:dLbl>
              <c:idx val="19"/>
              <c:layout>
                <c:manualLayout>
                  <c:x val="-1.8E-3"/>
                  <c:y val="-0.12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052-476D-9111-AA607B534EDC}"/>
                </c:ext>
              </c:extLst>
            </c:dLbl>
            <c:dLbl>
              <c:idx val="43"/>
              <c:layout>
                <c:manualLayout>
                  <c:x val="1.8E-3"/>
                  <c:y val="-5.519999999999999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052-476D-9111-AA607B534EDC}"/>
                </c:ext>
              </c:extLst>
            </c:dLbl>
            <c:spPr>
              <a:noFill/>
              <a:ln w="9525">
                <a:noFill/>
              </a:ln>
            </c:spPr>
            <c:txPr>
              <a:bodyPr rot="-5400000"/>
              <a:lstStyle/>
              <a:p>
                <a:pPr>
                  <a:defRPr lang="es-mx" sz="800" b="1" i="0" u="none" strike="noStrike" kern="100">
                    <a:solidFill>
                      <a:srgbClr val="000000"/>
                    </a:solidFill>
                    <a:latin typeface="Aptos" charset="0"/>
                  </a:defRPr>
                </a:pPr>
                <a:endParaRPr lang="es-MX"/>
              </a:p>
            </c:txPr>
            <c:showLegendKey val="0"/>
            <c:showVal val="0"/>
            <c:showCatName val="0"/>
            <c:showSerName val="0"/>
            <c:showPercent val="0"/>
            <c:showBubbleSize val="0"/>
            <c:extLst>
              <c:ext xmlns:c15="http://schemas.microsoft.com/office/drawing/2012/chart" uri="{CE6537A1-D6FC-4f65-9D91-7224C49458BB}">
                <c15:showLeaderLines val="0"/>
              </c:ext>
            </c:extLst>
          </c:dLbls>
          <c:cat>
            <c:strLit>
              <c:ptCount val="49"/>
              <c:pt idx="0">
                <c:v>United States¹</c:v>
              </c:pt>
              <c:pt idx="1">
                <c:v>Germany</c:v>
              </c:pt>
              <c:pt idx="2">
                <c:v>Norway¹</c:v>
              </c:pt>
              <c:pt idx="3">
                <c:v>Netherlands</c:v>
              </c:pt>
              <c:pt idx="4">
                <c:v>Austria</c:v>
              </c:pt>
              <c:pt idx="5">
                <c:v>France¹</c:v>
              </c:pt>
              <c:pt idx="6">
                <c:v>Switzerland¹</c:v>
              </c:pt>
              <c:pt idx="7">
                <c:v>Luxembourg</c:v>
              </c:pt>
              <c:pt idx="8">
                <c:v>Sweden</c:v>
              </c:pt>
              <c:pt idx="9">
                <c:v>Denmark</c:v>
              </c:pt>
              <c:pt idx="10">
                <c:v>Belgium¹</c:v>
              </c:pt>
              <c:pt idx="11">
                <c:v>New Zealand¹</c:v>
              </c:pt>
              <c:pt idx="12">
                <c:v>Ireland</c:v>
              </c:pt>
              <c:pt idx="13">
                <c:v>Australia¹</c:v>
              </c:pt>
              <c:pt idx="14">
                <c:v>Canada</c:v>
              </c:pt>
              <c:pt idx="15">
                <c:v>Japan¹</c:v>
              </c:pt>
              <c:pt idx="16">
                <c:v>United Kingdom</c:v>
              </c:pt>
              <c:pt idx="17">
                <c:v>Finland¹</c:v>
              </c:pt>
              <c:pt idx="18">
                <c:v>Iceland</c:v>
              </c:pt>
              <c:pt idx="19">
                <c:v>OECD38</c:v>
              </c:pt>
              <c:pt idx="20">
                <c:v>Czech Republic¹</c:v>
              </c:pt>
              <c:pt idx="21">
                <c:v>Italy</c:v>
              </c:pt>
              <c:pt idx="22">
                <c:v>Spain¹</c:v>
              </c:pt>
              <c:pt idx="23">
                <c:v>Slovenia</c:v>
              </c:pt>
              <c:pt idx="24">
                <c:v>Korea</c:v>
              </c:pt>
              <c:pt idx="25">
                <c:v>Portugal</c:v>
              </c:pt>
              <c:pt idx="26">
                <c:v>Lithuania</c:v>
              </c:pt>
              <c:pt idx="27">
                <c:v>Israel¹</c:v>
              </c:pt>
              <c:pt idx="28">
                <c:v>Estonia</c:v>
              </c:pt>
              <c:pt idx="29">
                <c:v>Latvia¹</c:v>
              </c:pt>
              <c:pt idx="30">
                <c:v>Poland</c:v>
              </c:pt>
              <c:pt idx="31">
                <c:v>Slovak Republic¹</c:v>
              </c:pt>
              <c:pt idx="32">
                <c:v>Hungary</c:v>
              </c:pt>
              <c:pt idx="33">
                <c:v>Croatia</c:v>
              </c:pt>
              <c:pt idx="34">
                <c:v>Greece¹</c:v>
              </c:pt>
              <c:pt idx="35">
                <c:v>Chile¹</c:v>
              </c:pt>
              <c:pt idx="36">
                <c:v>Romania</c:v>
              </c:pt>
              <c:pt idx="37">
                <c:v>Argentina</c:v>
              </c:pt>
              <c:pt idx="38">
                <c:v>Türkiye¹</c:v>
              </c:pt>
              <c:pt idx="39">
                <c:v>Bulgaria</c:v>
              </c:pt>
              <c:pt idx="40">
                <c:v>Colombia¹</c:v>
              </c:pt>
              <c:pt idx="41">
                <c:v>Costa Rica¹</c:v>
              </c:pt>
              <c:pt idx="42">
                <c:v>Brazil</c:v>
              </c:pt>
              <c:pt idx="43">
                <c:v>Mexico¹</c:v>
              </c:pt>
              <c:pt idx="44">
                <c:v>South Africa</c:v>
              </c:pt>
              <c:pt idx="45">
                <c:v>China</c:v>
              </c:pt>
              <c:pt idx="46">
                <c:v>Peru</c:v>
              </c:pt>
              <c:pt idx="47">
                <c:v>Indonesia</c:v>
              </c:pt>
              <c:pt idx="48">
                <c:v>India</c:v>
              </c:pt>
            </c:strLit>
          </c:cat>
          <c:val>
            <c:numLit>
              <c:formatCode>_-* #,##0_-;\-* #,##0_-;_-* "-"??_-;_-@_-</c:formatCode>
              <c:ptCount val="49"/>
              <c:pt idx="0">
                <c:v>10643.652</c:v>
              </c:pt>
              <c:pt idx="1">
                <c:v>6929.6409999999996</c:v>
              </c:pt>
              <c:pt idx="2">
                <c:v>6636.701</c:v>
              </c:pt>
              <c:pt idx="3">
                <c:v>5672.1270000000004</c:v>
              </c:pt>
              <c:pt idx="4">
                <c:v>5663.7</c:v>
              </c:pt>
              <c:pt idx="5">
                <c:v>5622.2879999999996</c:v>
              </c:pt>
              <c:pt idx="6">
                <c:v>5547.3109999999997</c:v>
              </c:pt>
              <c:pt idx="7">
                <c:v>5526.9610000000002</c:v>
              </c:pt>
              <c:pt idx="8">
                <c:v>5524.902</c:v>
              </c:pt>
              <c:pt idx="9">
                <c:v>5324.07</c:v>
              </c:pt>
              <c:pt idx="10">
                <c:v>5057.5950000000003</c:v>
              </c:pt>
              <c:pt idx="11">
                <c:v>4968.7209999999995</c:v>
              </c:pt>
              <c:pt idx="12">
                <c:v>4677.63</c:v>
              </c:pt>
              <c:pt idx="13">
                <c:v>4602.8890000000001</c:v>
              </c:pt>
              <c:pt idx="14">
                <c:v>4506.1450000000004</c:v>
              </c:pt>
              <c:pt idx="15">
                <c:v>4491.1270000000004</c:v>
              </c:pt>
              <c:pt idx="16">
                <c:v>4478.96</c:v>
              </c:pt>
              <c:pt idx="17">
                <c:v>4476.2179999999998</c:v>
              </c:pt>
              <c:pt idx="18">
                <c:v>4425.1109999999999</c:v>
              </c:pt>
              <c:pt idx="19">
                <c:v>3881.9746578947402</c:v>
              </c:pt>
              <c:pt idx="20">
                <c:v>3872.1579999999999</c:v>
              </c:pt>
              <c:pt idx="21">
                <c:v>3254.5590000000002</c:v>
              </c:pt>
              <c:pt idx="22">
                <c:v>3112.7550000000001</c:v>
              </c:pt>
              <c:pt idx="23">
                <c:v>3055.7469999999998</c:v>
              </c:pt>
              <c:pt idx="24">
                <c:v>2864.77</c:v>
              </c:pt>
              <c:pt idx="25">
                <c:v>2640.4760000000001</c:v>
              </c:pt>
              <c:pt idx="26">
                <c:v>2459.2919999999999</c:v>
              </c:pt>
              <c:pt idx="27">
                <c:v>2360.3580000000002</c:v>
              </c:pt>
              <c:pt idx="28">
                <c:v>2356.0650000000001</c:v>
              </c:pt>
              <c:pt idx="29">
                <c:v>2304.076</c:v>
              </c:pt>
              <c:pt idx="30">
                <c:v>2226.6350000000002</c:v>
              </c:pt>
              <c:pt idx="31">
                <c:v>2210.1669999999999</c:v>
              </c:pt>
              <c:pt idx="32">
                <c:v>2054.9450000000002</c:v>
              </c:pt>
              <c:pt idx="33">
                <c:v>1817.6659999999999</c:v>
              </c:pt>
              <c:pt idx="34">
                <c:v>1785.425</c:v>
              </c:pt>
              <c:pt idx="35">
                <c:v>1679.2560000000001</c:v>
              </c:pt>
              <c:pt idx="36">
                <c:v>1646.8240000000001</c:v>
              </c:pt>
              <c:pt idx="37">
                <c:v>1443.829</c:v>
              </c:pt>
              <c:pt idx="38">
                <c:v>1395.047</c:v>
              </c:pt>
              <c:pt idx="39">
                <c:v>1339.922</c:v>
              </c:pt>
              <c:pt idx="40">
                <c:v>1247.7650000000001</c:v>
              </c:pt>
              <c:pt idx="41">
                <c:v>1233.567</c:v>
              </c:pt>
              <c:pt idx="42">
                <c:v>705.14</c:v>
              </c:pt>
              <c:pt idx="43">
                <c:v>626.22500000000002</c:v>
              </c:pt>
              <c:pt idx="44">
                <c:v>603.04600000000005</c:v>
              </c:pt>
              <c:pt idx="45">
                <c:v>536.43700000000001</c:v>
              </c:pt>
              <c:pt idx="46">
                <c:v>522.77099999999996</c:v>
              </c:pt>
              <c:pt idx="47">
                <c:v>222.68299999999999</c:v>
              </c:pt>
              <c:pt idx="48">
                <c:v>78.468999999999994</c:v>
              </c:pt>
            </c:numLit>
          </c:val>
          <c:extLst>
            <c:ext xmlns:sm="smo" uri="smo">
              <sm:meanLine>
                <c:spPr>
                  <a:ln w="9525">
                    <a:noFill/>
                  </a:ln>
                </c:spPr>
              </sm:meanLine>
              <sm:minMaxLine>
                <c:spPr>
                  <a:ln w="9525">
                    <a:noFill/>
                  </a:ln>
                </c:spPr>
              </sm:minMaxLine>
              <sm:stDevLine>
                <c:spPr>
                  <a:ln w="9525">
                    <a:noFill/>
                  </a:ln>
                </c:spPr>
              </sm:stDevLine>
              <sm:trendLine>
                <c:spPr>
                  <a:ln w="9525">
                    <a:noFill/>
                  </a:ln>
                </c:spPr>
              </sm:trendLine>
            </c:ext>
            <c:ext xmlns:c14="http://schemas.microsoft.com/office/drawing/2007/8/2/chart" uri="{6F2FDCE9-48DA-4B69-8628-5D25D57E5C99}">
              <c14:invertSolidFillFmt>
                <c14:spPr xmlns:c14="http://schemas.microsoft.com/office/drawing/2007/8/2/chart">
                  <a:solidFill>
                    <a:srgbClr val="FFFFFF"/>
                  </a:solidFill>
                  <a:ln w="19050">
                    <a:noFill/>
                  </a:ln>
                </c14:spPr>
              </c14:invertSolidFillFmt>
            </c:ext>
            <c:ext xmlns:c16="http://schemas.microsoft.com/office/drawing/2014/chart" uri="{C3380CC4-5D6E-409C-BE32-E72D297353CC}">
              <c16:uniqueId val="{00000006-A052-476D-9111-AA607B534EDC}"/>
            </c:ext>
          </c:extLst>
        </c:ser>
        <c:dLbls>
          <c:showLegendKey val="0"/>
          <c:showVal val="0"/>
          <c:showCatName val="0"/>
          <c:showSerName val="0"/>
          <c:showPercent val="0"/>
          <c:showBubbleSize val="0"/>
        </c:dLbls>
        <c:gapWidth val="150"/>
        <c:overlap val="100"/>
        <c:axId val="10"/>
        <c:axId val="11"/>
      </c:barChart>
      <c:catAx>
        <c:axId val="10"/>
        <c:scaling>
          <c:orientation val="minMax"/>
        </c:scaling>
        <c:delete val="0"/>
        <c:axPos val="b"/>
        <c:majorGridlines>
          <c:spPr>
            <a:ln w="9525">
              <a:solidFill>
                <a:srgbClr val="FFFFFF"/>
              </a:solidFill>
            </a:ln>
          </c:spPr>
        </c:majorGridlines>
        <c:numFmt formatCode="General" sourceLinked="0"/>
        <c:majorTickMark val="in"/>
        <c:minorTickMark val="none"/>
        <c:tickLblPos val="low"/>
        <c:spPr>
          <a:ln w="9525">
            <a:solidFill>
              <a:srgbClr val="000000"/>
            </a:solidFill>
          </a:ln>
        </c:spPr>
        <c:txPr>
          <a:bodyPr/>
          <a:lstStyle/>
          <a:p>
            <a:pPr>
              <a:defRPr lang="es-mx" sz="800" b="0" i="0" u="none" strike="noStrike" kern="100">
                <a:solidFill>
                  <a:srgbClr val="000000"/>
                </a:solidFill>
                <a:latin typeface="Arial Narrow" charset="0"/>
              </a:defRPr>
            </a:pPr>
            <a:endParaRPr lang="es-MX"/>
          </a:p>
        </c:txPr>
        <c:crossAx val="11"/>
        <c:crosses val="autoZero"/>
        <c:auto val="1"/>
        <c:lblAlgn val="l"/>
        <c:lblOffset val="100"/>
        <c:noMultiLvlLbl val="1"/>
      </c:catAx>
      <c:valAx>
        <c:axId val="11"/>
        <c:scaling>
          <c:orientation val="minMax"/>
          <c:max val="15000"/>
          <c:min val="0"/>
        </c:scaling>
        <c:delete val="0"/>
        <c:axPos val="l"/>
        <c:majorGridlines>
          <c:spPr>
            <a:ln w="9525">
              <a:solidFill>
                <a:srgbClr val="FFFFFF"/>
              </a:solidFill>
            </a:ln>
          </c:spPr>
        </c:majorGridlines>
        <c:title>
          <c:tx>
            <c:rich>
              <a:bodyPr rot="-2700000" anchor="ctr" anchorCtr="1"/>
              <a:lstStyle/>
              <a:p>
                <a:pPr>
                  <a:defRPr lang="es-mx" sz="1000" b="1" i="0" u="none" strike="noStrike" kern="100">
                    <a:solidFill>
                      <a:srgbClr val="000000"/>
                    </a:solidFill>
                    <a:latin typeface="Aptos" charset="0"/>
                  </a:defRPr>
                </a:pPr>
                <a:r>
                  <a:rPr lang="es-MX"/>
                  <a:t>USD PPP</a:t>
                </a:r>
              </a:p>
            </c:rich>
          </c:tx>
          <c:layout>
            <c:manualLayout>
              <c:xMode val="edge"/>
              <c:yMode val="edge"/>
              <c:x val="7.7499999999999999E-3"/>
              <c:y val="0.1075"/>
              <c:w val="0.1235"/>
              <c:h val="0.1045"/>
            </c:manualLayout>
          </c:layout>
          <c:overlay val="1"/>
          <c:spPr>
            <a:ln w="9525">
              <a:noFill/>
            </a:ln>
          </c:spPr>
        </c:title>
        <c:numFmt formatCode="#\ ##0" sourceLinked="0"/>
        <c:majorTickMark val="in"/>
        <c:minorTickMark val="none"/>
        <c:tickLblPos val="nextTo"/>
        <c:spPr>
          <a:ln w="9525">
            <a:solidFill>
              <a:srgbClr val="000000"/>
            </a:solidFill>
          </a:ln>
        </c:spPr>
        <c:txPr>
          <a:bodyPr rot="-60000000"/>
          <a:lstStyle/>
          <a:p>
            <a:pPr>
              <a:defRPr lang="es-mx" sz="800" b="0" i="0" u="none" strike="noStrike" kern="100">
                <a:solidFill>
                  <a:srgbClr val="000000"/>
                </a:solidFill>
                <a:latin typeface="Arial Narrow" charset="0"/>
              </a:defRPr>
            </a:pPr>
            <a:endParaRPr lang="es-MX"/>
          </a:p>
        </c:txPr>
        <c:crossAx val="10"/>
        <c:crosses val="autoZero"/>
        <c:crossBetween val="between"/>
      </c:valAx>
      <c:spPr>
        <a:solidFill>
          <a:srgbClr val="EAEAEA"/>
        </a:solidFill>
        <a:ln w="19050">
          <a:noFill/>
        </a:ln>
      </c:spPr>
    </c:plotArea>
    <c:plotVisOnly val="1"/>
    <c:dispBlanksAs val="gap"/>
    <c:showDLblsOverMax val="1"/>
  </c:chart>
  <c:spPr>
    <a:solidFill>
      <a:srgbClr val="FFFFFF"/>
    </a:solidFill>
    <a:ln w="9525">
      <a:noFill/>
    </a:ln>
  </c:spPr>
  <c:txPr>
    <a:bodyPr rot="-2700000" anchor="t"/>
    <a:lstStyle/>
    <a:p>
      <a:pPr>
        <a:defRPr lang="es-mx" sz="1000" b="0" i="0" u="none" strike="noStrike" kern="100">
          <a:solidFill>
            <a:srgbClr val="000000"/>
          </a:solidFill>
          <a:latin typeface="Aptos" charset="0"/>
        </a:defRPr>
      </a:pPr>
      <a:endParaRPr lang="es-MX"/>
    </a:p>
  </c:txPr>
  <c:extLst>
    <c:ext xmlns:sm="smo" uri="smo">
      <sm:colorScheme xmlns:sm="smo" id="1769839588" val="15"/>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Aptos"/>
        <a:cs typeface="Times New Roman"/>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TotalTime>
  <Pages>42</Pages>
  <Words>9412</Words>
  <Characters>54688</Characters>
  <Application>Microsoft Office Word</Application>
  <DocSecurity>0</DocSecurity>
  <Lines>1302</Lines>
  <Paragraphs>704</Paragraphs>
  <ScaleCrop>false</ScaleCrop>
  <Company/>
  <LinksUpToDate>false</LinksUpToDate>
  <CharactersWithSpaces>63396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Senyacen Méndez Méndez</dc:creator>
  <cp:keywords/>
  <dc:description/>
  <cp:lastModifiedBy>Héctor Juan Villarreal Páez</cp:lastModifiedBy>
  <cp:revision>23</cp:revision>
  <dcterms:created xsi:type="dcterms:W3CDTF">2026-01-31T17:13:00Z</dcterms:created>
  <dcterms:modified xsi:type="dcterms:W3CDTF">2026-01-31T19:14:00Z</dcterms:modified>
</cp:coreProperties>
</file>