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right"/>
        <w:rPr/>
      </w:pPr>
      <w:r>
        <w:rPr>
          <w:rFonts w:eastAsia="Arial" w:cs="Arial" w:ascii="Arial" w:hAnsi="Arial"/>
          <w:color w:val="888888"/>
          <w:sz w:val="16"/>
          <w:szCs w:val="16"/>
        </w:rPr>
        <w:t>Comunidad del Conocimiento sobre Financiamiento de la Salud en América Latina</w:t>
      </w:r>
    </w:p>
    <w:p>
      <w:pPr>
        <w:pStyle w:val="Normal"/>
        <w:spacing w:before="0" w:after="200"/>
        <w:jc w:val="right"/>
        <w:rPr/>
      </w:pPr>
      <w:r>
        <w:rPr>
          <w:rFonts w:eastAsia="Arial" w:cs="Arial" w:ascii="Arial" w:hAnsi="Arial"/>
          <w:color w:val="888888"/>
          <w:sz w:val="16"/>
          <w:szCs w:val="16"/>
        </w:rPr>
        <w:t>Abril 2026</w:t>
      </w:r>
    </w:p>
    <w:p>
      <w:pPr>
        <w:pStyle w:val="Normal"/>
        <w:spacing w:before="0" w:after="80"/>
        <w:jc w:val="left"/>
        <w:rPr/>
      </w:pPr>
      <w:r>
        <w:rPr>
          <w:rFonts w:eastAsia="Arial" w:cs="Arial" w:ascii="Arial" w:hAnsi="Arial"/>
          <w:b/>
          <w:bCs/>
          <w:color w:val="1A3A5C"/>
          <w:sz w:val="36"/>
          <w:szCs w:val="36"/>
        </w:rPr>
        <w:t>Hacia una Comunidad Latinoamericana del Conocimiento</w:t>
      </w:r>
    </w:p>
    <w:p>
      <w:pPr>
        <w:pStyle w:val="Normal"/>
        <w:spacing w:before="0" w:after="240"/>
        <w:jc w:val="left"/>
        <w:rPr/>
      </w:pPr>
      <w:r>
        <w:rPr>
          <w:rFonts w:eastAsia="Arial" w:cs="Arial" w:ascii="Arial" w:hAnsi="Arial"/>
          <w:b/>
          <w:bCs/>
          <w:color w:val="1A3A5C"/>
          <w:sz w:val="36"/>
          <w:szCs w:val="36"/>
        </w:rPr>
        <w:t>sobre el Financiamiento de los Sistemas de Salud</w:t>
      </w:r>
    </w:p>
    <w:p>
      <w:pPr>
        <w:pStyle w:val="Normal"/>
        <w:pBdr>
          <w:bottom w:val="single" w:sz="6" w:space="1" w:color="2C5F8A"/>
        </w:pBdr>
        <w:spacing w:before="0" w:after="160"/>
        <w:rPr/>
      </w:pPr>
      <w:r>
        <w:rPr/>
      </w:r>
    </w:p>
    <w:p>
      <w:pPr>
        <w:pStyle w:val="Normal"/>
        <w:spacing w:before="0" w:after="180"/>
        <w:jc w:val="both"/>
        <w:rPr/>
      </w:pPr>
      <w:r>
        <w:rPr>
          <w:rFonts w:eastAsia="Georgia" w:cs="Georgia"/>
          <w:sz w:val="22"/>
          <w:szCs w:val="22"/>
        </w:rPr>
        <w:t>América Latina enfrenta una convergencia de presiones que pone en riesgo la viabilidad de largo plazo de sus sistemas de salud. La transición demográfica avanza a un ritmo sin precedente histórico: la región envejece antes de alcanzar los niveles de ingreso con que los países desarrollados construyeron sus estados de bienestar. Al mismo tiempo, la transición epidemiológica —con el ascenso de enfermedades crónicas de alto costo— se superpone a rezagos no resueltos en enfermedades infecciosas. Todo esto ocurre en un contexto de espacio fiscal severamente limitado y deuda pública en ascenso.</w:t>
      </w:r>
    </w:p>
    <w:p>
      <w:pPr>
        <w:pStyle w:val="Normal"/>
        <w:spacing w:before="0" w:after="240"/>
        <w:jc w:val="both"/>
        <w:rPr/>
      </w:pPr>
      <w:r>
        <w:rPr>
          <w:rFonts w:eastAsia="Georgia" w:cs="Georgia"/>
          <w:sz w:val="22"/>
          <w:szCs w:val="22"/>
        </w:rPr>
        <w:t>Esta combinación no es un problema de salud pública en sentido estrecho. Es, fundamentalmente, un problema fiscal e institucional de primera magnitud. Y es precisamente ahí donde la región carece de una plataforma académica con la masa crítica, la rigurosidad analítica y la continuidad institucional necesarias para producir conocimiento relevante y acumulativo.</w:t>
      </w:r>
    </w:p>
    <w:p>
      <w:pPr>
        <w:pStyle w:val="Heading1"/>
        <w:rPr/>
      </w:pPr>
      <w:r>
        <w:rPr>
          <w:rFonts w:eastAsia="Arial" w:cs="Arial" w:ascii="Arial" w:hAnsi="Arial"/>
          <w:b/>
          <w:bCs/>
          <w:color w:val="1A3A5C"/>
          <w:sz w:val="28"/>
          <w:szCs w:val="28"/>
        </w:rPr>
        <w:t>La iniciativa</w:t>
      </w:r>
    </w:p>
    <w:p>
      <w:pPr>
        <w:pStyle w:val="Normal"/>
        <w:spacing w:before="0" w:after="160"/>
        <w:jc w:val="both"/>
        <w:rPr/>
      </w:pPr>
      <w:r>
        <w:rPr>
          <w:rFonts w:eastAsia="Georgia" w:cs="Georgia"/>
          <w:sz w:val="22"/>
          <w:szCs w:val="22"/>
        </w:rPr>
        <w:t xml:space="preserve">Proponemos crear una </w:t>
      </w:r>
      <w:r>
        <w:rPr>
          <w:rFonts w:eastAsia="Georgia" w:cs="Georgia"/>
          <w:b/>
          <w:bCs/>
          <w:sz w:val="22"/>
          <w:szCs w:val="22"/>
        </w:rPr>
        <w:t>Comunidad Latinoamericana del Conocimiento sobre Financiamiento de la Salud</w:t>
      </w:r>
      <w:r>
        <w:rPr>
          <w:rFonts w:eastAsia="Georgia" w:cs="Georgia"/>
          <w:sz w:val="22"/>
          <w:szCs w:val="22"/>
        </w:rPr>
        <w:t>, articulada en torno a la Tríada (Tecnológico de Monterrey, Universidad de los Andes y Pontificia Universidad Católica de Chile), con vocación de crecer hacia una red regional de académicos, instituciones y organismos multilaterales comprometidos con el análisis riguroso del financiamiento de los sistemas de salud.</w:t>
      </w:r>
    </w:p>
    <w:p>
      <w:pPr>
        <w:pStyle w:val="Normal"/>
        <w:spacing w:before="0" w:after="160"/>
        <w:jc w:val="both"/>
        <w:rPr/>
      </w:pPr>
      <w:r>
        <w:rPr>
          <w:rFonts w:eastAsia="Georgia" w:cs="Georgia"/>
          <w:sz w:val="22"/>
          <w:szCs w:val="22"/>
        </w:rPr>
        <w:t>La comunidad contará con capital semilla de Roche para su etapa inaugural (2026) y opera bajo la coordinación institucional del Tecnológico de Monterrey. Su horizonte estratégico es de cinco años, con una estrategia de sostenibilidad financiera basada en fondos concursables, alianzas institucionales y organismos multilaterales.</w:t>
      </w:r>
    </w:p>
    <w:p>
      <w:pPr>
        <w:pStyle w:val="Normal"/>
        <w:spacing w:before="0" w:after="240"/>
        <w:jc w:val="both"/>
        <w:rPr/>
      </w:pPr>
      <w:r>
        <w:rPr>
          <w:rFonts w:eastAsia="Georgia" w:cs="Georgia"/>
          <w:i/>
          <w:iCs/>
          <w:sz w:val="22"/>
          <w:szCs w:val="22"/>
        </w:rPr>
        <w:t>La comunidad no es una plataforma de convocatoria. Es una iniciativa de producción intelectual con identidad analítica propia, que aspira a convertirse en el referente regional en el análisis del financiamiento de los sistemas de salud bajo presión demográfica y fiscal.</w:t>
      </w:r>
    </w:p>
    <w:p>
      <w:pPr>
        <w:pStyle w:val="Heading1"/>
        <w:rPr/>
      </w:pPr>
      <w:r>
        <w:rPr>
          <w:rFonts w:eastAsia="Arial" w:cs="Arial" w:ascii="Arial" w:hAnsi="Arial"/>
          <w:b/>
          <w:bCs/>
          <w:color w:val="1A3A5C"/>
          <w:sz w:val="28"/>
          <w:szCs w:val="28"/>
        </w:rPr>
        <w:t>La pregunta que nos convoca</w:t>
      </w:r>
    </w:p>
    <w:p>
      <w:pPr>
        <w:pStyle w:val="Normal"/>
        <w:spacing w:before="0" w:after="160"/>
        <w:jc w:val="both"/>
        <w:rPr/>
      </w:pPr>
      <w:r>
        <w:rPr>
          <w:rFonts w:eastAsia="Georgia" w:cs="Georgia"/>
          <w:sz w:val="22"/>
          <w:szCs w:val="22"/>
        </w:rPr>
        <w:t>La comunidad existe para responder una pregunta que consideramos insuficientemente atendida por la literatura existente:</w:t>
      </w:r>
    </w:p>
    <w:p>
      <w:pPr>
        <w:pStyle w:val="Normal"/>
        <w:pBdr>
          <w:left w:val="single" w:sz="12" w:space="12" w:color="2C5F8A"/>
        </w:pBdr>
        <w:spacing w:before="160" w:after="160"/>
        <w:ind w:left="400" w:right="400"/>
        <w:jc w:val="both"/>
        <w:rPr/>
      </w:pPr>
      <w:r>
        <w:rPr>
          <w:rFonts w:eastAsia="Georgia" w:cs="Georgia"/>
          <w:b/>
          <w:bCs/>
          <w:i/>
          <w:iCs/>
          <w:color w:val="1A3A5C"/>
          <w:sz w:val="23"/>
          <w:szCs w:val="23"/>
        </w:rPr>
        <w:t>¿Cómo pueden los sistemas de salud de América Latina —con sus combinaciones de financiamiento público, contributivo y privado— mantenerse fiscalmente sostenibles e institucionalmente crédibles a través de la transición demográfica y epidemiológica?</w:t>
      </w:r>
    </w:p>
    <w:p>
      <w:pPr>
        <w:pStyle w:val="Normal"/>
        <w:spacing w:before="0" w:after="160"/>
        <w:jc w:val="both"/>
        <w:rPr/>
      </w:pPr>
      <w:r>
        <w:rPr>
          <w:rFonts w:eastAsia="Georgia" w:cs="Georgia"/>
          <w:sz w:val="22"/>
          <w:szCs w:val="22"/>
        </w:rPr>
        <w:t>Esta pregunta es deliberadamente amplia: admite enfoques desde la economía de la salud, las finanzas públicas, el análisis institucional y la economía política. Pero no es infinitamente elástica: tiene un centro de gravedad en la intersección entre presión fiscal, cambio demográfico y diseño institucional.</w:t>
      </w:r>
    </w:p>
    <w:p>
      <w:pPr>
        <w:pStyle w:val="Normal"/>
        <w:spacing w:before="0" w:after="240"/>
        <w:jc w:val="both"/>
        <w:rPr/>
      </w:pPr>
      <w:r>
        <w:rPr>
          <w:rFonts w:eastAsia="Georgia" w:cs="Georgia"/>
          <w:sz w:val="22"/>
          <w:szCs w:val="22"/>
        </w:rPr>
        <w:t>Creemos que el ángulo fiscal e intertemporal es el que más falta hace en la región. La mayoría de los análisis existentes sobre financiamiento de la salud en América Latina opera en el registro de la cobertura y el acceso, o en el de la evaluación económica de intervenciones. Lo que escasea es el análisis riguroso de la solvencia de largo plazo de estos sistemas bajo escenarios demográficos realistas y con restricciones fiscales explícitas.</w:t>
      </w:r>
    </w:p>
    <w:p>
      <w:pPr>
        <w:pStyle w:val="Heading1"/>
        <w:rPr/>
      </w:pPr>
      <w:r>
        <w:rPr>
          <w:rFonts w:eastAsia="Arial" w:cs="Arial" w:ascii="Arial" w:hAnsi="Arial"/>
          <w:b/>
          <w:bCs/>
          <w:color w:val="1A3A5C"/>
          <w:sz w:val="28"/>
          <w:szCs w:val="28"/>
        </w:rPr>
        <w:t>Los tres artículos fundacionales</w:t>
      </w:r>
    </w:p>
    <w:p>
      <w:pPr>
        <w:pStyle w:val="Normal"/>
        <w:spacing w:before="0" w:after="160"/>
        <w:jc w:val="both"/>
        <w:rPr/>
      </w:pPr>
      <w:r>
        <w:rPr>
          <w:rFonts w:eastAsia="Georgia" w:cs="Georgia"/>
          <w:sz w:val="22"/>
          <w:szCs w:val="22"/>
        </w:rPr>
        <w:t>La etapa inaugural contempla la producción de tres artículos académicos de alto impacto, uno por institución miembro de la Tríada. Estos artículos no son simplemente entregables para el patrocinador: son la primera declaración pública de la identidad intelectual de la comunidad.</w:t>
      </w:r>
    </w:p>
    <w:p>
      <w:pPr>
        <w:pStyle w:val="Normal"/>
        <w:spacing w:before="0" w:after="160"/>
        <w:jc w:val="both"/>
        <w:rPr/>
      </w:pPr>
      <w:r>
        <w:rPr>
          <w:rFonts w:eastAsia="Georgia" w:cs="Georgia"/>
          <w:sz w:val="22"/>
          <w:szCs w:val="22"/>
        </w:rPr>
        <w:t>Buscamos que los tres artículos sean complementarios —que juntos digan algo más que cada uno por separado— sin ser redundantes. Los temas específicos de los artículos de la Universidad de los Andes y la PUC de Chile son precisamente lo que queremos explorar en esta conversación: ¿qué ángulo de la pregunta central es el más fértil desde la perspectiva de cada institución? ¿Qué datos, modelos y tradiciones analíticas puede aportar cada equipo?</w:t>
      </w:r>
    </w:p>
    <w:p>
      <w:pPr>
        <w:pStyle w:val="Normal"/>
        <w:spacing w:before="0" w:after="240"/>
        <w:jc w:val="both"/>
        <w:rPr/>
      </w:pPr>
      <w:r>
        <w:rPr>
          <w:rFonts w:eastAsia="Georgia" w:cs="Georgia"/>
          <w:sz w:val="22"/>
          <w:szCs w:val="22"/>
        </w:rPr>
        <w:t>El tema específico del artículo del Tecnológico de Monterrey está en proceso de definición y será acordado en el marco de esta misma conversación fundacional, con la misma lógica de complementariedad que guiará a los tres equipos.</w:t>
      </w:r>
    </w:p>
    <w:p>
      <w:pPr>
        <w:pStyle w:val="Heading1"/>
        <w:rPr/>
      </w:pPr>
      <w:r>
        <w:rPr>
          <w:rFonts w:eastAsia="Arial" w:cs="Arial" w:ascii="Arial" w:hAnsi="Arial"/>
          <w:b/>
          <w:bCs/>
          <w:color w:val="1A3A5C"/>
          <w:sz w:val="28"/>
          <w:szCs w:val="28"/>
        </w:rPr>
        <w:t>Próximos pasos</w:t>
      </w:r>
    </w:p>
    <w:p>
      <w:pPr>
        <w:pStyle w:val="ListParagraph"/>
        <w:numPr>
          <w:ilvl w:val="0"/>
          <w:numId w:val="3"/>
        </w:numPr>
        <w:spacing w:before="0" w:after="100"/>
        <w:rPr/>
      </w:pPr>
      <w:r>
        <w:rPr>
          <w:rFonts w:eastAsia="Georgia" w:cs="Georgia"/>
          <w:sz w:val="22"/>
          <w:szCs w:val="22"/>
        </w:rPr>
        <w:t>Definir los temas de los tres artículos fundacionales (segundo trimestre 2026).</w:t>
      </w:r>
    </w:p>
    <w:p>
      <w:pPr>
        <w:pStyle w:val="ListParagraph"/>
        <w:numPr>
          <w:ilvl w:val="0"/>
          <w:numId w:val="1"/>
        </w:numPr>
        <w:spacing w:before="0" w:after="100"/>
        <w:rPr/>
      </w:pPr>
      <w:r>
        <w:rPr>
          <w:rFonts w:eastAsia="Georgia" w:cs="Georgia"/>
          <w:sz w:val="22"/>
          <w:szCs w:val="22"/>
        </w:rPr>
        <w:t>Construir el mapa regional de expertos y aliados en coordinación con Roche LAC.</w:t>
      </w:r>
    </w:p>
    <w:p>
      <w:pPr>
        <w:pStyle w:val="ListParagraph"/>
        <w:numPr>
          <w:ilvl w:val="0"/>
          <w:numId w:val="1"/>
        </w:numPr>
        <w:spacing w:before="0" w:after="100"/>
        <w:rPr/>
      </w:pPr>
      <w:r>
        <w:rPr>
          <w:rFonts w:eastAsia="Georgia" w:cs="Georgia"/>
          <w:sz w:val="22"/>
          <w:szCs w:val="22"/>
        </w:rPr>
        <w:t>Presentar borradores iniciales de los tres artículos (septiembre 2026).</w:t>
      </w:r>
    </w:p>
    <w:p>
      <w:pPr>
        <w:pStyle w:val="ListParagraph"/>
        <w:numPr>
          <w:ilvl w:val="0"/>
          <w:numId w:val="1"/>
        </w:numPr>
        <w:spacing w:before="0" w:after="100"/>
        <w:rPr/>
      </w:pPr>
      <w:r>
        <w:rPr>
          <w:rFonts w:eastAsia="Georgia" w:cs="Georgia"/>
          <w:sz w:val="22"/>
          <w:szCs w:val="22"/>
        </w:rPr>
        <w:t>Seminario Latinoamericano Inaugural (septiembre 2026, Escuela de Gobierno y Transformación Pública, Tec de Monterrey).</w:t>
      </w:r>
    </w:p>
    <w:p>
      <w:pPr>
        <w:pStyle w:val="ListParagraph"/>
        <w:numPr>
          <w:ilvl w:val="0"/>
          <w:numId w:val="1"/>
        </w:numPr>
        <w:spacing w:before="0" w:after="240"/>
        <w:rPr/>
      </w:pPr>
      <w:r>
        <w:rPr>
          <w:rFonts w:eastAsia="Georgia" w:cs="Georgia"/>
          <w:sz w:val="22"/>
          <w:szCs w:val="22"/>
        </w:rPr>
        <w:t>Desarrollar la estrategia de sostenibilidad financiera para el horizonte 2027–2030.</w:t>
      </w:r>
    </w:p>
    <w:p>
      <w:pPr>
        <w:pStyle w:val="Normal"/>
        <w:pBdr>
          <w:bottom w:val="single" w:sz="6" w:space="1" w:color="2C5F8A"/>
        </w:pBdr>
        <w:spacing w:before="0" w:after="160"/>
        <w:rPr/>
      </w:pPr>
      <w:r>
        <w:rPr/>
      </w:r>
    </w:p>
    <w:p>
      <w:pPr>
        <w:pStyle w:val="Normal"/>
        <w:spacing w:before="0" w:after="200"/>
        <w:jc w:val="both"/>
        <w:rPr/>
      </w:pPr>
      <w:r>
        <w:rPr>
          <w:rFonts w:eastAsia="Georgia" w:cs="Georgia"/>
          <w:i/>
          <w:iCs/>
          <w:sz w:val="22"/>
          <w:szCs w:val="22"/>
        </w:rPr>
        <w:t>Esta conversación es el punto de partida. No llegamos con una agenda cerrada sino con una convicción: que la pregunta sobre la sostenibilidad fiscal e institucional de los sistemas de salud en América Latina merece una comunidad académica permanente, rigurosa y con voz propia en el debate regional.</w:t>
      </w:r>
    </w:p>
    <w:p>
      <w:pPr>
        <w:pStyle w:val="Normal"/>
        <w:spacing w:before="0" w:after="60"/>
        <w:jc w:val="left"/>
        <w:rPr/>
      </w:pPr>
      <w:r>
        <w:rPr>
          <w:rFonts w:eastAsia="Arial" w:cs="Arial" w:ascii="Arial" w:hAnsi="Arial"/>
          <w:b/>
          <w:bCs/>
          <w:color w:val="1A3A5C"/>
          <w:sz w:val="20"/>
          <w:szCs w:val="20"/>
        </w:rPr>
        <w:t>Héctor Juan Villarreal Páez</w:t>
      </w:r>
    </w:p>
    <w:p>
      <w:pPr>
        <w:pStyle w:val="Normal"/>
        <w:spacing w:before="0" w:after="40"/>
        <w:jc w:val="left"/>
        <w:rPr/>
      </w:pPr>
      <w:r>
        <w:rPr>
          <w:rFonts w:eastAsia="Arial" w:cs="Arial" w:ascii="Arial" w:hAnsi="Arial"/>
          <w:color w:val="555555"/>
          <w:sz w:val="18"/>
          <w:szCs w:val="18"/>
        </w:rPr>
        <w:t>Profesor Investigador, Escuela de Gobierno y Transformación Pública</w:t>
      </w:r>
    </w:p>
    <w:p>
      <w:pPr>
        <w:pStyle w:val="Normal"/>
        <w:spacing w:before="0" w:after="40"/>
        <w:jc w:val="left"/>
        <w:rPr/>
      </w:pPr>
      <w:r>
        <w:rPr>
          <w:rFonts w:eastAsia="Arial" w:cs="Arial" w:ascii="Arial" w:hAnsi="Arial"/>
          <w:color w:val="555555"/>
          <w:sz w:val="18"/>
          <w:szCs w:val="18"/>
        </w:rPr>
        <w:t>Tecnológico de Monterrey</w:t>
      </w:r>
    </w:p>
    <w:sectPr>
      <w:type w:val="nextPage"/>
      <w:pgSz w:w="11906" w:h="16838"/>
      <w:pgMar w:left="1300" w:right="1300" w:gutter="0" w:header="0" w:top="1200" w:footer="0"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color w:val="1A3A5C"/>
      <w:sz w:val="28"/>
      <w:szCs w:val="28"/>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767</Words>
  <Characters>4436</Characters>
  <CharactersWithSpaces>5168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2026-04-16T16:30:09Z</dcterms:created>
  <dc:creator>Un-named</dc:creator>
  <dc:description/>
  <dc:language>en-US</dc:language>
  <cp:lastModifiedBy/>
  <dcterms:modified xsi:type="dcterms:W3CDTF">2026-04-16T10:47:10Z</dcterms:modified>
  <cp:revision>2</cp:revision>
  <dc:subject/>
  <dc:title/>
</cp:coreProperties>
</file>