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-Contabilidad de la Muerte 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cierre 2026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, 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Paquete Económico 2027</w:t>
      </w: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 xml:space="preserve">-  </w:t>
      </w:r>
    </w:p>
    <w:p>
      <w:pPr>
        <w:pStyle w:val="Normal"/>
        <w:spacing w:before="0" w:after="180"/>
        <w:jc w:val="righ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por Héctor Juan Villarreal Páez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= Ingresos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+ Gasto No-Programable = Ingresos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No Programable = Costo Financiero + Participaciones + Adefas y otros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Ingresos = Tributarios + No Tributarios + Organismos Empresas + Petroleros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Petroleros = Pemex + Fondo Mexicano Petróleo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Ahora imaginemos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= Pensiones (incluyendo PBAM) + Apoyos Pemex + El Resto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¿Qué ocurre cuando los Apoyos Pemex = FMP?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Sigue ocurriendo. Las transferencias del Fondo son 0.7% del PIB; las aportaciones patrimoniales a Pemex, otro 0.7%. Lo que cambió es su registro: una parte importante de los apoyos aparece ahora como inversión financiera y pierde visibilidad dentro de las grandes líneas del gasto. En términos de magnitud prácticamente se compensan, pero la nueva clasificación hace mucho menos transparente esa relación.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Ingresos Disponibles = Tributarios + No Tributarios + Organismos Empresas (CFE, IMSS e ISSSTE)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No Tributarios = Aprovechamientos + Derechos + Productos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Asumiendo: Tributarios = 16%   No Tributarios = 1.2%   Organismos Empresas = 3.5% (todo PIB), Ingresos Disponibles = 20.7% del PIB.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Organismos Empresas = Cuotas destinadas a salud + uso propio = 1.4% + 2.1%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Gasto Programable – Pemex = Ingresos Disponibles – Gasto No Programable + Endeudamiento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Asumiendo Gasto No Programable = 8.3% del PIB (costo financiero 3.8, participaciones 4.2, Adefas 0.3), Pensiones 6.3% y el uso propio de los Organismos Empresas: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Política Pública (sin Pemex, Pensiones y la operación de Organismos Empresas) =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20.7% - 8.3% - 6.3% - 2.1% + Endeudamiento = 4.0% + Endeudamiento = Bolsa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Bolsa incluye salud, educación, infraestructura, seguridad, cuidados, operación del gobierno, etcétera.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4"/>
          <w:szCs w:val="24"/>
        </w:rPr>
        <w:t>¿De qué tamaño será nuestro endeudamiento?</w:t>
      </w:r>
    </w:p>
    <w:p>
      <w:pPr>
        <w:pStyle w:val="Normal"/>
        <w:spacing w:before="0" w:after="180"/>
        <w:jc w:val="left"/>
        <w:rPr/>
      </w:pPr>
      <w:r>
        <w:rPr>
          <w:rFonts w:eastAsia="Calibri" w:cs="Calibri" w:ascii="Calibri" w:hAnsi="Calibri"/>
          <w:b/>
          <w:bCs/>
          <w:i w:val="false"/>
          <w:iCs w:val="false"/>
          <w:sz w:val="24"/>
          <w:szCs w:val="24"/>
        </w:rPr>
        <w:t>Viene un paquete económico 2027 precario y triste.</w:t>
      </w:r>
    </w:p>
    <w:p>
      <w:pPr>
        <w:pStyle w:val="Normal"/>
        <w:spacing w:before="0" w:after="180"/>
        <w:jc w:val="left"/>
        <w:rPr>
          <w:sz w:val="16"/>
          <w:szCs w:val="16"/>
        </w:rPr>
      </w:pPr>
      <w:r>
        <w:rPr>
          <w:rFonts w:eastAsia="Calibri" w:cs="Calibri" w:ascii="Calibri" w:hAnsi="Calibri"/>
          <w:b w:val="false"/>
          <w:bCs w:val="false"/>
          <w:i/>
          <w:iCs/>
          <w:sz w:val="16"/>
          <w:szCs w:val="16"/>
        </w:rPr>
        <w:t>Fuentes: SHCP, Información de Finanzas Públicas y Deuda Pública, enero-julio 2026 (cifras anuales estimadas 2026). PIB nominal 2026 de 36,500 mmdp.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LibreOffice/24.2.7.2$Linux_X86_64 LibreOffice_project/420$Build-2</Application>
  <AppVersion>15.0000</AppVersion>
  <Pages>1</Pages>
  <Words>306</Words>
  <Characters>1729</Characters>
  <CharactersWithSpaces>2020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2026-09-05T20:37:18Z</dcterms:created>
  <dc:creator>Un-named</dc:creator>
  <dc:description/>
  <dc:language>en-US</dc:language>
  <cp:lastModifiedBy/>
  <dcterms:modified xsi:type="dcterms:W3CDTF">2026-09-05T16:49:02Z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