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947" w:rsidRPr="00C06721" w:rsidRDefault="00DB6947" w:rsidP="00DB6947">
      <w:pPr>
        <w:spacing w:line="360" w:lineRule="auto"/>
        <w:jc w:val="center"/>
        <w:rPr>
          <w:rFonts w:ascii="Times New Roman" w:hAnsi="Times New Roman" w:cs="Times New Roman"/>
          <w:sz w:val="24"/>
          <w:szCs w:val="24"/>
        </w:rPr>
      </w:pPr>
      <w:r w:rsidRPr="00C06721">
        <w:rPr>
          <w:rFonts w:ascii="Times New Roman" w:hAnsi="Times New Roman" w:cs="Times New Roman"/>
          <w:sz w:val="24"/>
          <w:szCs w:val="24"/>
        </w:rPr>
        <w:t>Universidad Tecnológica de la Riviera Maya</w:t>
      </w:r>
    </w:p>
    <w:p w:rsidR="00DB6947" w:rsidRPr="00C06721" w:rsidRDefault="00DB6947" w:rsidP="00DB6947">
      <w:pPr>
        <w:spacing w:line="360" w:lineRule="auto"/>
        <w:rPr>
          <w:rFonts w:ascii="Times New Roman" w:hAnsi="Times New Roman" w:cs="Times New Roman"/>
          <w:sz w:val="24"/>
          <w:szCs w:val="24"/>
        </w:rPr>
      </w:pPr>
    </w:p>
    <w:p w:rsidR="00DB6947" w:rsidRPr="00C06721" w:rsidRDefault="001B2D3A" w:rsidP="00DB6947">
      <w:pPr>
        <w:spacing w:line="360" w:lineRule="auto"/>
        <w:jc w:val="center"/>
        <w:rPr>
          <w:rFonts w:ascii="Times New Roman" w:hAnsi="Times New Roman" w:cs="Times New Roman"/>
          <w:sz w:val="24"/>
          <w:szCs w:val="24"/>
        </w:rPr>
      </w:pPr>
      <w:r>
        <w:rPr>
          <w:rFonts w:ascii="Times New Roman" w:hAnsi="Times New Roman" w:cs="Times New Roman"/>
          <w:sz w:val="24"/>
          <w:szCs w:val="24"/>
        </w:rPr>
        <w:t>“Calidad en el Desarrollo del Software”</w:t>
      </w:r>
    </w:p>
    <w:p w:rsidR="00DB6947" w:rsidRPr="00C06721" w:rsidRDefault="00DB6947" w:rsidP="00DB6947">
      <w:pPr>
        <w:spacing w:line="360" w:lineRule="auto"/>
        <w:jc w:val="center"/>
        <w:rPr>
          <w:rFonts w:ascii="Times New Roman" w:hAnsi="Times New Roman" w:cs="Times New Roman"/>
          <w:sz w:val="24"/>
          <w:szCs w:val="24"/>
        </w:rPr>
      </w:pPr>
    </w:p>
    <w:p w:rsidR="00DB6947" w:rsidRPr="00C06721" w:rsidRDefault="00DB6947" w:rsidP="00DB6947">
      <w:pPr>
        <w:tabs>
          <w:tab w:val="left" w:pos="2387"/>
          <w:tab w:val="center" w:pos="4419"/>
        </w:tabs>
        <w:spacing w:line="360" w:lineRule="auto"/>
        <w:rPr>
          <w:rFonts w:ascii="Times New Roman" w:hAnsi="Times New Roman" w:cs="Times New Roman"/>
          <w:sz w:val="24"/>
          <w:szCs w:val="24"/>
        </w:rPr>
      </w:pPr>
      <w:r w:rsidRPr="00C06721">
        <w:rPr>
          <w:rFonts w:ascii="Times New Roman" w:hAnsi="Times New Roman" w:cs="Times New Roman"/>
          <w:sz w:val="24"/>
          <w:szCs w:val="24"/>
        </w:rPr>
        <w:tab/>
      </w:r>
      <w:r w:rsidRPr="00C06721">
        <w:rPr>
          <w:rFonts w:ascii="Times New Roman" w:hAnsi="Times New Roman" w:cs="Times New Roman"/>
          <w:sz w:val="24"/>
          <w:szCs w:val="24"/>
        </w:rPr>
        <w:tab/>
        <w:t>Parcial II</w:t>
      </w:r>
    </w:p>
    <w:p w:rsidR="00DB6947" w:rsidRPr="00C06721" w:rsidRDefault="00DB6947" w:rsidP="00DB6947">
      <w:pPr>
        <w:spacing w:line="360" w:lineRule="auto"/>
        <w:jc w:val="center"/>
        <w:rPr>
          <w:rFonts w:ascii="Times New Roman" w:hAnsi="Times New Roman" w:cs="Times New Roman"/>
          <w:sz w:val="24"/>
          <w:szCs w:val="24"/>
        </w:rPr>
      </w:pPr>
    </w:p>
    <w:p w:rsidR="00DB6947" w:rsidRPr="00C06721" w:rsidRDefault="00DB6947" w:rsidP="00DB6947">
      <w:pPr>
        <w:spacing w:line="360" w:lineRule="auto"/>
        <w:jc w:val="center"/>
        <w:rPr>
          <w:rFonts w:ascii="Times New Roman" w:hAnsi="Times New Roman" w:cs="Times New Roman"/>
          <w:sz w:val="24"/>
          <w:szCs w:val="24"/>
        </w:rPr>
      </w:pPr>
      <w:r w:rsidRPr="00C06721">
        <w:rPr>
          <w:rFonts w:ascii="Times New Roman" w:hAnsi="Times New Roman" w:cs="Times New Roman"/>
          <w:sz w:val="24"/>
          <w:szCs w:val="24"/>
        </w:rPr>
        <w:t>“</w:t>
      </w:r>
      <w:r w:rsidR="001B2D3A">
        <w:rPr>
          <w:rFonts w:ascii="Times New Roman" w:hAnsi="Times New Roman" w:cs="Times New Roman"/>
          <w:sz w:val="24"/>
          <w:szCs w:val="24"/>
        </w:rPr>
        <w:t>Estándar de Codificación</w:t>
      </w:r>
      <w:r w:rsidRPr="00C06721">
        <w:rPr>
          <w:rFonts w:ascii="Times New Roman" w:hAnsi="Times New Roman" w:cs="Times New Roman"/>
          <w:sz w:val="24"/>
          <w:szCs w:val="24"/>
        </w:rPr>
        <w:t>”</w:t>
      </w:r>
    </w:p>
    <w:p w:rsidR="00DB6947" w:rsidRPr="00C06721" w:rsidRDefault="00DB6947" w:rsidP="00DB6947">
      <w:pPr>
        <w:spacing w:line="360" w:lineRule="auto"/>
        <w:jc w:val="center"/>
        <w:rPr>
          <w:rFonts w:ascii="Times New Roman" w:hAnsi="Times New Roman" w:cs="Times New Roman"/>
          <w:sz w:val="24"/>
          <w:szCs w:val="24"/>
        </w:rPr>
      </w:pPr>
    </w:p>
    <w:p w:rsidR="00DB6947" w:rsidRPr="00C06721" w:rsidRDefault="00DB6947" w:rsidP="00DB6947">
      <w:pPr>
        <w:spacing w:line="360" w:lineRule="auto"/>
        <w:jc w:val="center"/>
        <w:rPr>
          <w:rFonts w:ascii="Times New Roman" w:hAnsi="Times New Roman" w:cs="Times New Roman"/>
          <w:sz w:val="24"/>
          <w:szCs w:val="24"/>
        </w:rPr>
      </w:pPr>
      <w:r w:rsidRPr="00C06721">
        <w:rPr>
          <w:rFonts w:ascii="Times New Roman" w:hAnsi="Times New Roman" w:cs="Times New Roman"/>
          <w:sz w:val="24"/>
          <w:szCs w:val="24"/>
        </w:rPr>
        <w:t>Naranjo Kadala Héctor</w:t>
      </w:r>
    </w:p>
    <w:p w:rsidR="00DB6947" w:rsidRPr="00C06721" w:rsidRDefault="00DB6947" w:rsidP="00DB6947">
      <w:pPr>
        <w:spacing w:line="360" w:lineRule="auto"/>
        <w:jc w:val="center"/>
        <w:rPr>
          <w:rFonts w:ascii="Times New Roman" w:hAnsi="Times New Roman" w:cs="Times New Roman"/>
          <w:sz w:val="24"/>
          <w:szCs w:val="24"/>
        </w:rPr>
      </w:pPr>
    </w:p>
    <w:p w:rsidR="00DB6947" w:rsidRPr="00C06721" w:rsidRDefault="00DB6947" w:rsidP="00DB6947">
      <w:pPr>
        <w:spacing w:line="360" w:lineRule="auto"/>
        <w:jc w:val="center"/>
        <w:rPr>
          <w:rFonts w:ascii="Times New Roman" w:hAnsi="Times New Roman" w:cs="Times New Roman"/>
          <w:sz w:val="24"/>
          <w:szCs w:val="24"/>
        </w:rPr>
      </w:pPr>
      <w:r w:rsidRPr="00C06721">
        <w:rPr>
          <w:rFonts w:ascii="Times New Roman" w:hAnsi="Times New Roman" w:cs="Times New Roman"/>
          <w:sz w:val="24"/>
          <w:szCs w:val="24"/>
        </w:rPr>
        <w:t>TI-51</w:t>
      </w:r>
    </w:p>
    <w:p w:rsidR="00DB6947" w:rsidRPr="00C06721" w:rsidRDefault="00DB6947" w:rsidP="00DB6947">
      <w:pPr>
        <w:spacing w:line="360" w:lineRule="auto"/>
        <w:jc w:val="center"/>
        <w:rPr>
          <w:rFonts w:ascii="Times New Roman" w:hAnsi="Times New Roman" w:cs="Times New Roman"/>
          <w:sz w:val="24"/>
          <w:szCs w:val="24"/>
        </w:rPr>
      </w:pPr>
    </w:p>
    <w:p w:rsidR="00DB6947" w:rsidRPr="00C06721" w:rsidRDefault="00DB6947" w:rsidP="00DB6947">
      <w:pPr>
        <w:spacing w:line="360" w:lineRule="auto"/>
        <w:jc w:val="center"/>
        <w:rPr>
          <w:rFonts w:ascii="Times New Roman" w:hAnsi="Times New Roman" w:cs="Times New Roman"/>
          <w:sz w:val="24"/>
          <w:szCs w:val="24"/>
        </w:rPr>
      </w:pPr>
      <w:r w:rsidRPr="00C06721">
        <w:rPr>
          <w:rFonts w:ascii="Times New Roman" w:hAnsi="Times New Roman" w:cs="Times New Roman"/>
          <w:sz w:val="24"/>
          <w:szCs w:val="24"/>
        </w:rPr>
        <w:t xml:space="preserve">Profesora: </w:t>
      </w:r>
      <w:r w:rsidR="001B2D3A">
        <w:rPr>
          <w:rFonts w:ascii="Times New Roman" w:hAnsi="Times New Roman" w:cs="Times New Roman"/>
          <w:sz w:val="24"/>
          <w:szCs w:val="24"/>
        </w:rPr>
        <w:t>Bernal Cristian</w:t>
      </w:r>
    </w:p>
    <w:p w:rsidR="00DB6947" w:rsidRPr="00C06721" w:rsidRDefault="00DB6947" w:rsidP="00DB6947">
      <w:pPr>
        <w:spacing w:line="360" w:lineRule="auto"/>
        <w:jc w:val="center"/>
        <w:rPr>
          <w:rFonts w:ascii="Times New Roman" w:hAnsi="Times New Roman" w:cs="Times New Roman"/>
          <w:sz w:val="24"/>
          <w:szCs w:val="24"/>
        </w:rPr>
      </w:pPr>
    </w:p>
    <w:p w:rsidR="00DB6947" w:rsidRPr="00C06721" w:rsidRDefault="00DB6947" w:rsidP="00DB6947">
      <w:pPr>
        <w:spacing w:line="360" w:lineRule="auto"/>
        <w:jc w:val="center"/>
        <w:rPr>
          <w:rFonts w:ascii="Times New Roman" w:hAnsi="Times New Roman" w:cs="Times New Roman"/>
          <w:sz w:val="24"/>
          <w:szCs w:val="24"/>
        </w:rPr>
      </w:pPr>
      <w:r w:rsidRPr="00C06721">
        <w:rPr>
          <w:rFonts w:ascii="Times New Roman" w:hAnsi="Times New Roman" w:cs="Times New Roman"/>
          <w:sz w:val="24"/>
          <w:szCs w:val="24"/>
        </w:rPr>
        <w:t>Playa del Carmen</w:t>
      </w:r>
    </w:p>
    <w:p w:rsidR="00DB6947" w:rsidRPr="00C06721" w:rsidRDefault="00DB6947" w:rsidP="00DB6947">
      <w:pPr>
        <w:spacing w:line="360" w:lineRule="auto"/>
        <w:jc w:val="center"/>
        <w:rPr>
          <w:rFonts w:ascii="Times New Roman" w:hAnsi="Times New Roman" w:cs="Times New Roman"/>
          <w:sz w:val="24"/>
          <w:szCs w:val="24"/>
        </w:rPr>
      </w:pPr>
      <w:r w:rsidRPr="00C06721">
        <w:rPr>
          <w:rFonts w:ascii="Times New Roman" w:hAnsi="Times New Roman" w:cs="Times New Roman"/>
          <w:sz w:val="24"/>
          <w:szCs w:val="24"/>
        </w:rPr>
        <w:br/>
        <w:t>2</w:t>
      </w:r>
      <w:r>
        <w:rPr>
          <w:rFonts w:ascii="Times New Roman" w:hAnsi="Times New Roman" w:cs="Times New Roman"/>
          <w:sz w:val="24"/>
          <w:szCs w:val="24"/>
        </w:rPr>
        <w:t>3/</w:t>
      </w:r>
      <w:r w:rsidRPr="00C06721">
        <w:rPr>
          <w:rFonts w:ascii="Times New Roman" w:hAnsi="Times New Roman" w:cs="Times New Roman"/>
          <w:sz w:val="24"/>
          <w:szCs w:val="24"/>
        </w:rPr>
        <w:t>02/2016</w:t>
      </w:r>
    </w:p>
    <w:p w:rsidR="00DB6947" w:rsidRDefault="00DB6947" w:rsidP="000860B1">
      <w:pPr>
        <w:pStyle w:val="Ttulo1"/>
        <w:jc w:val="center"/>
      </w:pPr>
    </w:p>
    <w:p w:rsidR="00DB6947" w:rsidRDefault="00DB6947" w:rsidP="00DB6947">
      <w:pPr>
        <w:rPr>
          <w:rFonts w:asciiTheme="majorHAnsi" w:eastAsiaTheme="majorEastAsia" w:hAnsiTheme="majorHAnsi" w:cstheme="majorBidi"/>
          <w:color w:val="2E74B5" w:themeColor="accent1" w:themeShade="BF"/>
          <w:sz w:val="32"/>
          <w:szCs w:val="32"/>
        </w:rPr>
      </w:pPr>
      <w:r>
        <w:br w:type="page"/>
      </w:r>
    </w:p>
    <w:p w:rsidR="00D235E6" w:rsidRDefault="000860B1" w:rsidP="000860B1">
      <w:pPr>
        <w:pStyle w:val="Ttulo1"/>
        <w:jc w:val="center"/>
      </w:pPr>
      <w:r>
        <w:lastRenderedPageBreak/>
        <w:t xml:space="preserve">Estándar </w:t>
      </w:r>
      <w:proofErr w:type="spellStart"/>
      <w:r>
        <w:t>Pear</w:t>
      </w:r>
      <w:proofErr w:type="spellEnd"/>
      <w:r>
        <w:t xml:space="preserve"> PHP</w:t>
      </w:r>
    </w:p>
    <w:p w:rsidR="000860B1" w:rsidRPr="002515AE" w:rsidRDefault="002515AE" w:rsidP="000860B1">
      <w:pPr>
        <w:rPr>
          <w:b/>
        </w:rPr>
      </w:pPr>
      <w:r w:rsidRPr="002515AE">
        <w:rPr>
          <w:b/>
        </w:rPr>
        <w:t xml:space="preserve">Clases </w:t>
      </w:r>
    </w:p>
    <w:p w:rsidR="002515AE" w:rsidRDefault="002515AE" w:rsidP="000860B1">
      <w:r w:rsidRPr="002515AE">
        <w:t>Las clases deben tener nombres descriptivos. Evitar el uso de abreviaturas siempre que sea posible. Los nombres de clase siempre deben comenzar con una letra mayúscula. La jerarquía de clases PEAR también se refleja en el nombre de la clase</w:t>
      </w:r>
    </w:p>
    <w:tbl>
      <w:tblPr>
        <w:tblW w:w="591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010"/>
        <w:gridCol w:w="1906"/>
        <w:gridCol w:w="2994"/>
      </w:tblGrid>
      <w:tr w:rsidR="002515AE" w:rsidRPr="002515AE" w:rsidTr="002515AE">
        <w:tc>
          <w:tcPr>
            <w:tcW w:w="0" w:type="auto"/>
            <w:tcBorders>
              <w:top w:val="single" w:sz="6" w:space="0" w:color="CCCCCC"/>
              <w:left w:val="nil"/>
              <w:bottom w:val="single" w:sz="6" w:space="0" w:color="CCCCCC"/>
              <w:right w:val="nil"/>
            </w:tcBorders>
            <w:shd w:val="clear" w:color="auto" w:fill="FFFFFF"/>
            <w:tcMar>
              <w:top w:w="60" w:type="dxa"/>
              <w:left w:w="240" w:type="dxa"/>
              <w:bottom w:w="60" w:type="dxa"/>
              <w:right w:w="240" w:type="dxa"/>
            </w:tcMar>
            <w:vAlign w:val="center"/>
            <w:hideMark/>
          </w:tcPr>
          <w:p w:rsidR="002515AE" w:rsidRPr="002515AE" w:rsidRDefault="002515AE" w:rsidP="002515AE">
            <w:pPr>
              <w:spacing w:after="0" w:line="273" w:lineRule="atLeast"/>
              <w:rPr>
                <w:rFonts w:ascii="Verdana" w:eastAsia="Times New Roman" w:hAnsi="Verdana" w:cs="Times New Roman"/>
                <w:color w:val="000000"/>
                <w:sz w:val="20"/>
                <w:szCs w:val="20"/>
                <w:lang w:eastAsia="es-ES"/>
              </w:rPr>
            </w:pPr>
            <w:r w:rsidRPr="002515AE">
              <w:rPr>
                <w:rFonts w:ascii="Verdana" w:eastAsia="Times New Roman" w:hAnsi="Verdana" w:cs="Times New Roman"/>
                <w:color w:val="000000"/>
                <w:sz w:val="20"/>
                <w:szCs w:val="20"/>
                <w:lang w:eastAsia="es-ES"/>
              </w:rPr>
              <w:t>Log</w:t>
            </w:r>
          </w:p>
        </w:tc>
        <w:tc>
          <w:tcPr>
            <w:tcW w:w="0" w:type="auto"/>
            <w:tcBorders>
              <w:top w:val="single" w:sz="6" w:space="0" w:color="CCCCCC"/>
              <w:left w:val="nil"/>
              <w:bottom w:val="single" w:sz="6" w:space="0" w:color="CCCCCC"/>
              <w:right w:val="nil"/>
            </w:tcBorders>
            <w:shd w:val="clear" w:color="auto" w:fill="FFFFFF"/>
            <w:tcMar>
              <w:top w:w="60" w:type="dxa"/>
              <w:left w:w="240" w:type="dxa"/>
              <w:bottom w:w="60" w:type="dxa"/>
              <w:right w:w="240" w:type="dxa"/>
            </w:tcMar>
            <w:vAlign w:val="center"/>
            <w:hideMark/>
          </w:tcPr>
          <w:p w:rsidR="002515AE" w:rsidRPr="002515AE" w:rsidRDefault="002515AE" w:rsidP="002515AE">
            <w:pPr>
              <w:spacing w:after="0" w:line="273" w:lineRule="atLeast"/>
              <w:rPr>
                <w:rFonts w:ascii="Verdana" w:eastAsia="Times New Roman" w:hAnsi="Verdana" w:cs="Times New Roman"/>
                <w:color w:val="000000"/>
                <w:sz w:val="20"/>
                <w:szCs w:val="20"/>
                <w:lang w:eastAsia="es-ES"/>
              </w:rPr>
            </w:pPr>
            <w:proofErr w:type="spellStart"/>
            <w:r w:rsidRPr="002515AE">
              <w:rPr>
                <w:rFonts w:ascii="Verdana" w:eastAsia="Times New Roman" w:hAnsi="Verdana" w:cs="Times New Roman"/>
                <w:color w:val="000000"/>
                <w:sz w:val="20"/>
                <w:szCs w:val="20"/>
                <w:lang w:eastAsia="es-ES"/>
              </w:rPr>
              <w:t>Net_Finger</w:t>
            </w:r>
            <w:proofErr w:type="spellEnd"/>
          </w:p>
        </w:tc>
        <w:tc>
          <w:tcPr>
            <w:tcW w:w="0" w:type="auto"/>
            <w:tcBorders>
              <w:top w:val="single" w:sz="6" w:space="0" w:color="CCCCCC"/>
              <w:left w:val="nil"/>
              <w:bottom w:val="single" w:sz="6" w:space="0" w:color="CCCCCC"/>
              <w:right w:val="nil"/>
            </w:tcBorders>
            <w:shd w:val="clear" w:color="auto" w:fill="FFFFFF"/>
            <w:tcMar>
              <w:top w:w="60" w:type="dxa"/>
              <w:left w:w="240" w:type="dxa"/>
              <w:bottom w:w="60" w:type="dxa"/>
              <w:right w:w="240" w:type="dxa"/>
            </w:tcMar>
            <w:vAlign w:val="center"/>
            <w:hideMark/>
          </w:tcPr>
          <w:p w:rsidR="002515AE" w:rsidRPr="002515AE" w:rsidRDefault="002515AE" w:rsidP="002515AE">
            <w:pPr>
              <w:spacing w:after="0" w:line="273" w:lineRule="atLeast"/>
              <w:rPr>
                <w:rFonts w:ascii="Verdana" w:eastAsia="Times New Roman" w:hAnsi="Verdana" w:cs="Times New Roman"/>
                <w:color w:val="000000"/>
                <w:sz w:val="20"/>
                <w:szCs w:val="20"/>
                <w:lang w:eastAsia="es-ES"/>
              </w:rPr>
            </w:pPr>
            <w:proofErr w:type="spellStart"/>
            <w:r w:rsidRPr="002515AE">
              <w:rPr>
                <w:rFonts w:ascii="Verdana" w:eastAsia="Times New Roman" w:hAnsi="Verdana" w:cs="Times New Roman"/>
                <w:color w:val="000000"/>
                <w:sz w:val="20"/>
                <w:szCs w:val="20"/>
                <w:lang w:eastAsia="es-ES"/>
              </w:rPr>
              <w:t>HTML_Upload_Error</w:t>
            </w:r>
            <w:proofErr w:type="spellEnd"/>
          </w:p>
        </w:tc>
      </w:tr>
    </w:tbl>
    <w:p w:rsidR="002515AE" w:rsidRDefault="002515AE" w:rsidP="000860B1"/>
    <w:p w:rsidR="002515AE" w:rsidRPr="002515AE" w:rsidRDefault="002515AE" w:rsidP="002515AE">
      <w:pPr>
        <w:rPr>
          <w:b/>
        </w:rPr>
      </w:pPr>
      <w:r w:rsidRPr="002515AE">
        <w:rPr>
          <w:b/>
        </w:rPr>
        <w:t>Variables y Métodos</w:t>
      </w:r>
    </w:p>
    <w:p w:rsidR="002515AE" w:rsidRDefault="002515AE" w:rsidP="002515AE">
      <w:r>
        <w:t>Las variables de clase (propiedades</w:t>
      </w:r>
      <w:r>
        <w:t xml:space="preserve"> y </w:t>
      </w:r>
      <w:r>
        <w:t>métodos)</w:t>
      </w:r>
      <w:r>
        <w:t xml:space="preserve"> deben ser nombrados usando el estilo " tapas </w:t>
      </w:r>
      <w:proofErr w:type="spellStart"/>
      <w:r>
        <w:t>studly</w:t>
      </w:r>
      <w:proofErr w:type="spellEnd"/>
      <w:r>
        <w:t xml:space="preserve"> " </w:t>
      </w:r>
      <w:proofErr w:type="gramStart"/>
      <w:r>
        <w:t>( también</w:t>
      </w:r>
      <w:proofErr w:type="gramEnd"/>
      <w:r>
        <w:t xml:space="preserve"> conocida como " caso lleno de baches " o "topes de c</w:t>
      </w:r>
      <w:r>
        <w:t>amellos ") . Algunos ejemplos (</w:t>
      </w:r>
      <w:r>
        <w:t>estos serían miembros "públicos</w:t>
      </w:r>
      <w:r>
        <w:t>”):</w:t>
      </w:r>
    </w:p>
    <w:tbl>
      <w:tblPr>
        <w:tblW w:w="1627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33"/>
        <w:gridCol w:w="3510"/>
        <w:gridCol w:w="3547"/>
        <w:gridCol w:w="5885"/>
      </w:tblGrid>
      <w:tr w:rsidR="002515AE" w:rsidRPr="002515AE" w:rsidTr="002515AE">
        <w:tc>
          <w:tcPr>
            <w:tcW w:w="0" w:type="auto"/>
            <w:tcBorders>
              <w:top w:val="single" w:sz="6" w:space="0" w:color="CCCCCC"/>
              <w:left w:val="nil"/>
              <w:bottom w:val="single" w:sz="6" w:space="0" w:color="CCCCCC"/>
              <w:right w:val="nil"/>
            </w:tcBorders>
            <w:shd w:val="clear" w:color="auto" w:fill="FFFFFF"/>
            <w:tcMar>
              <w:top w:w="60" w:type="dxa"/>
              <w:left w:w="240" w:type="dxa"/>
              <w:bottom w:w="60" w:type="dxa"/>
              <w:right w:w="240" w:type="dxa"/>
            </w:tcMar>
            <w:vAlign w:val="center"/>
            <w:hideMark/>
          </w:tcPr>
          <w:p w:rsidR="002515AE" w:rsidRPr="002515AE" w:rsidRDefault="002515AE" w:rsidP="002515AE">
            <w:pPr>
              <w:spacing w:after="0" w:line="273" w:lineRule="atLeast"/>
              <w:rPr>
                <w:rFonts w:ascii="Verdana" w:eastAsia="Times New Roman" w:hAnsi="Verdana" w:cs="Times New Roman"/>
                <w:color w:val="000000"/>
                <w:sz w:val="20"/>
                <w:szCs w:val="20"/>
                <w:lang w:eastAsia="es-ES"/>
              </w:rPr>
            </w:pPr>
            <w:r w:rsidRPr="002515AE">
              <w:rPr>
                <w:rFonts w:ascii="Verdana" w:eastAsia="Times New Roman" w:hAnsi="Verdana" w:cs="Times New Roman"/>
                <w:color w:val="000000"/>
                <w:sz w:val="20"/>
                <w:szCs w:val="20"/>
                <w:lang w:eastAsia="es-ES"/>
              </w:rPr>
              <w:t>$</w:t>
            </w:r>
            <w:proofErr w:type="spellStart"/>
            <w:r w:rsidRPr="002515AE">
              <w:rPr>
                <w:rFonts w:ascii="Verdana" w:eastAsia="Times New Roman" w:hAnsi="Verdana" w:cs="Times New Roman"/>
                <w:color w:val="000000"/>
                <w:sz w:val="20"/>
                <w:szCs w:val="20"/>
                <w:lang w:eastAsia="es-ES"/>
              </w:rPr>
              <w:t>counter</w:t>
            </w:r>
            <w:proofErr w:type="spellEnd"/>
          </w:p>
        </w:tc>
        <w:tc>
          <w:tcPr>
            <w:tcW w:w="0" w:type="auto"/>
            <w:tcBorders>
              <w:top w:val="single" w:sz="6" w:space="0" w:color="CCCCCC"/>
              <w:left w:val="nil"/>
              <w:bottom w:val="single" w:sz="6" w:space="0" w:color="CCCCCC"/>
              <w:right w:val="nil"/>
            </w:tcBorders>
            <w:shd w:val="clear" w:color="auto" w:fill="FFFFFF"/>
            <w:tcMar>
              <w:top w:w="60" w:type="dxa"/>
              <w:left w:w="240" w:type="dxa"/>
              <w:bottom w:w="60" w:type="dxa"/>
              <w:right w:w="240" w:type="dxa"/>
            </w:tcMar>
            <w:vAlign w:val="center"/>
            <w:hideMark/>
          </w:tcPr>
          <w:p w:rsidR="002515AE" w:rsidRPr="002515AE" w:rsidRDefault="002515AE" w:rsidP="002515AE">
            <w:pPr>
              <w:spacing w:after="0" w:line="273" w:lineRule="atLeast"/>
              <w:rPr>
                <w:rFonts w:ascii="Verdana" w:eastAsia="Times New Roman" w:hAnsi="Verdana" w:cs="Times New Roman"/>
                <w:color w:val="000000"/>
                <w:sz w:val="20"/>
                <w:szCs w:val="20"/>
                <w:lang w:eastAsia="es-ES"/>
              </w:rPr>
            </w:pPr>
            <w:proofErr w:type="spellStart"/>
            <w:proofErr w:type="gramStart"/>
            <w:r w:rsidRPr="002515AE">
              <w:rPr>
                <w:rFonts w:ascii="Verdana" w:eastAsia="Times New Roman" w:hAnsi="Verdana" w:cs="Times New Roman"/>
                <w:color w:val="000000"/>
                <w:sz w:val="20"/>
                <w:szCs w:val="20"/>
                <w:lang w:eastAsia="es-ES"/>
              </w:rPr>
              <w:t>connect</w:t>
            </w:r>
            <w:proofErr w:type="spellEnd"/>
            <w:r w:rsidRPr="002515AE">
              <w:rPr>
                <w:rFonts w:ascii="Verdana" w:eastAsia="Times New Roman" w:hAnsi="Verdana" w:cs="Times New Roman"/>
                <w:color w:val="000000"/>
                <w:sz w:val="20"/>
                <w:szCs w:val="20"/>
                <w:lang w:eastAsia="es-ES"/>
              </w:rPr>
              <w:t>(</w:t>
            </w:r>
            <w:proofErr w:type="gramEnd"/>
            <w:r w:rsidRPr="002515AE">
              <w:rPr>
                <w:rFonts w:ascii="Verdana" w:eastAsia="Times New Roman" w:hAnsi="Verdana" w:cs="Times New Roman"/>
                <w:color w:val="000000"/>
                <w:sz w:val="20"/>
                <w:szCs w:val="20"/>
                <w:lang w:eastAsia="es-ES"/>
              </w:rPr>
              <w:t>)</w:t>
            </w:r>
          </w:p>
        </w:tc>
        <w:tc>
          <w:tcPr>
            <w:tcW w:w="0" w:type="auto"/>
            <w:tcBorders>
              <w:top w:val="single" w:sz="6" w:space="0" w:color="CCCCCC"/>
              <w:left w:val="nil"/>
              <w:bottom w:val="single" w:sz="6" w:space="0" w:color="CCCCCC"/>
              <w:right w:val="nil"/>
            </w:tcBorders>
            <w:shd w:val="clear" w:color="auto" w:fill="FFFFFF"/>
            <w:tcMar>
              <w:top w:w="60" w:type="dxa"/>
              <w:left w:w="240" w:type="dxa"/>
              <w:bottom w:w="60" w:type="dxa"/>
              <w:right w:w="240" w:type="dxa"/>
            </w:tcMar>
            <w:vAlign w:val="center"/>
            <w:hideMark/>
          </w:tcPr>
          <w:p w:rsidR="002515AE" w:rsidRPr="002515AE" w:rsidRDefault="002515AE" w:rsidP="002515AE">
            <w:pPr>
              <w:spacing w:after="0" w:line="273" w:lineRule="atLeast"/>
              <w:rPr>
                <w:rFonts w:ascii="Verdana" w:eastAsia="Times New Roman" w:hAnsi="Verdana" w:cs="Times New Roman"/>
                <w:color w:val="000000"/>
                <w:sz w:val="20"/>
                <w:szCs w:val="20"/>
                <w:lang w:eastAsia="es-ES"/>
              </w:rPr>
            </w:pPr>
            <w:proofErr w:type="spellStart"/>
            <w:proofErr w:type="gramStart"/>
            <w:r w:rsidRPr="002515AE">
              <w:rPr>
                <w:rFonts w:ascii="Verdana" w:eastAsia="Times New Roman" w:hAnsi="Verdana" w:cs="Times New Roman"/>
                <w:color w:val="000000"/>
                <w:sz w:val="20"/>
                <w:szCs w:val="20"/>
                <w:lang w:eastAsia="es-ES"/>
              </w:rPr>
              <w:t>getData</w:t>
            </w:r>
            <w:proofErr w:type="spellEnd"/>
            <w:r w:rsidRPr="002515AE">
              <w:rPr>
                <w:rFonts w:ascii="Verdana" w:eastAsia="Times New Roman" w:hAnsi="Verdana" w:cs="Times New Roman"/>
                <w:color w:val="000000"/>
                <w:sz w:val="20"/>
                <w:szCs w:val="20"/>
                <w:lang w:eastAsia="es-ES"/>
              </w:rPr>
              <w:t>(</w:t>
            </w:r>
            <w:proofErr w:type="gramEnd"/>
            <w:r w:rsidRPr="002515AE">
              <w:rPr>
                <w:rFonts w:ascii="Verdana" w:eastAsia="Times New Roman" w:hAnsi="Verdana" w:cs="Times New Roman"/>
                <w:color w:val="000000"/>
                <w:sz w:val="20"/>
                <w:szCs w:val="20"/>
                <w:lang w:eastAsia="es-ES"/>
              </w:rPr>
              <w:t>)</w:t>
            </w:r>
          </w:p>
        </w:tc>
        <w:tc>
          <w:tcPr>
            <w:tcW w:w="0" w:type="auto"/>
            <w:tcBorders>
              <w:top w:val="single" w:sz="6" w:space="0" w:color="CCCCCC"/>
              <w:left w:val="nil"/>
              <w:bottom w:val="single" w:sz="6" w:space="0" w:color="CCCCCC"/>
              <w:right w:val="nil"/>
            </w:tcBorders>
            <w:shd w:val="clear" w:color="auto" w:fill="FFFFFF"/>
            <w:tcMar>
              <w:top w:w="60" w:type="dxa"/>
              <w:left w:w="240" w:type="dxa"/>
              <w:bottom w:w="60" w:type="dxa"/>
              <w:right w:w="240" w:type="dxa"/>
            </w:tcMar>
            <w:vAlign w:val="center"/>
            <w:hideMark/>
          </w:tcPr>
          <w:p w:rsidR="002515AE" w:rsidRPr="002515AE" w:rsidRDefault="002515AE" w:rsidP="002515AE">
            <w:pPr>
              <w:spacing w:after="0" w:line="273" w:lineRule="atLeast"/>
              <w:rPr>
                <w:rFonts w:ascii="Verdana" w:eastAsia="Times New Roman" w:hAnsi="Verdana" w:cs="Times New Roman"/>
                <w:color w:val="000000"/>
                <w:sz w:val="20"/>
                <w:szCs w:val="20"/>
                <w:lang w:eastAsia="es-ES"/>
              </w:rPr>
            </w:pPr>
            <w:proofErr w:type="spellStart"/>
            <w:proofErr w:type="gramStart"/>
            <w:r w:rsidRPr="002515AE">
              <w:rPr>
                <w:rFonts w:ascii="Verdana" w:eastAsia="Times New Roman" w:hAnsi="Verdana" w:cs="Times New Roman"/>
                <w:color w:val="000000"/>
                <w:sz w:val="20"/>
                <w:szCs w:val="20"/>
                <w:lang w:eastAsia="es-ES"/>
              </w:rPr>
              <w:t>buildSomeWidget</w:t>
            </w:r>
            <w:proofErr w:type="spellEnd"/>
            <w:r w:rsidRPr="002515AE">
              <w:rPr>
                <w:rFonts w:ascii="Verdana" w:eastAsia="Times New Roman" w:hAnsi="Verdana" w:cs="Times New Roman"/>
                <w:color w:val="000000"/>
                <w:sz w:val="20"/>
                <w:szCs w:val="20"/>
                <w:lang w:eastAsia="es-ES"/>
              </w:rPr>
              <w:t>(</w:t>
            </w:r>
            <w:proofErr w:type="gramEnd"/>
            <w:r w:rsidRPr="002515AE">
              <w:rPr>
                <w:rFonts w:ascii="Verdana" w:eastAsia="Times New Roman" w:hAnsi="Verdana" w:cs="Times New Roman"/>
                <w:color w:val="000000"/>
                <w:sz w:val="20"/>
                <w:szCs w:val="20"/>
                <w:lang w:eastAsia="es-ES"/>
              </w:rPr>
              <w:t>)</w:t>
            </w:r>
          </w:p>
        </w:tc>
      </w:tr>
    </w:tbl>
    <w:p w:rsidR="002515AE" w:rsidRDefault="002515AE" w:rsidP="002515AE"/>
    <w:p w:rsidR="002515AE" w:rsidRPr="002515AE" w:rsidRDefault="002515AE" w:rsidP="002515AE">
      <w:pPr>
        <w:rPr>
          <w:b/>
        </w:rPr>
      </w:pPr>
      <w:proofErr w:type="spellStart"/>
      <w:r w:rsidRPr="002515AE">
        <w:rPr>
          <w:b/>
        </w:rPr>
        <w:t>Classes</w:t>
      </w:r>
      <w:proofErr w:type="spellEnd"/>
      <w:r w:rsidRPr="002515AE">
        <w:rPr>
          <w:b/>
        </w:rPr>
        <w:t xml:space="preserve"> Privadas</w:t>
      </w:r>
    </w:p>
    <w:tbl>
      <w:tblPr>
        <w:tblW w:w="1627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378"/>
        <w:gridCol w:w="4706"/>
        <w:gridCol w:w="6191"/>
      </w:tblGrid>
      <w:tr w:rsidR="002515AE" w:rsidRPr="002515AE" w:rsidTr="002515AE">
        <w:tc>
          <w:tcPr>
            <w:tcW w:w="0" w:type="auto"/>
            <w:tcBorders>
              <w:top w:val="single" w:sz="6" w:space="0" w:color="CCCCCC"/>
              <w:left w:val="nil"/>
              <w:bottom w:val="single" w:sz="6" w:space="0" w:color="CCCCCC"/>
              <w:right w:val="nil"/>
            </w:tcBorders>
            <w:shd w:val="clear" w:color="auto" w:fill="FFFFFF"/>
            <w:tcMar>
              <w:top w:w="60" w:type="dxa"/>
              <w:left w:w="240" w:type="dxa"/>
              <w:bottom w:w="60" w:type="dxa"/>
              <w:right w:w="240" w:type="dxa"/>
            </w:tcMar>
            <w:vAlign w:val="center"/>
            <w:hideMark/>
          </w:tcPr>
          <w:p w:rsidR="002515AE" w:rsidRPr="002515AE" w:rsidRDefault="002515AE" w:rsidP="002515AE">
            <w:pPr>
              <w:spacing w:after="0" w:line="273" w:lineRule="atLeast"/>
              <w:rPr>
                <w:rFonts w:ascii="Verdana" w:eastAsia="Times New Roman" w:hAnsi="Verdana" w:cs="Times New Roman"/>
                <w:color w:val="000000"/>
                <w:sz w:val="20"/>
                <w:szCs w:val="20"/>
                <w:lang w:eastAsia="es-ES"/>
              </w:rPr>
            </w:pPr>
            <w:r w:rsidRPr="002515AE">
              <w:rPr>
                <w:rFonts w:ascii="Verdana" w:eastAsia="Times New Roman" w:hAnsi="Verdana" w:cs="Times New Roman"/>
                <w:color w:val="000000"/>
                <w:sz w:val="20"/>
                <w:szCs w:val="20"/>
                <w:lang w:eastAsia="es-ES"/>
              </w:rPr>
              <w:t>$_status</w:t>
            </w:r>
          </w:p>
        </w:tc>
        <w:tc>
          <w:tcPr>
            <w:tcW w:w="0" w:type="auto"/>
            <w:tcBorders>
              <w:top w:val="single" w:sz="6" w:space="0" w:color="CCCCCC"/>
              <w:left w:val="nil"/>
              <w:bottom w:val="single" w:sz="6" w:space="0" w:color="CCCCCC"/>
              <w:right w:val="nil"/>
            </w:tcBorders>
            <w:shd w:val="clear" w:color="auto" w:fill="FFFFFF"/>
            <w:tcMar>
              <w:top w:w="60" w:type="dxa"/>
              <w:left w:w="240" w:type="dxa"/>
              <w:bottom w:w="60" w:type="dxa"/>
              <w:right w:w="240" w:type="dxa"/>
            </w:tcMar>
            <w:vAlign w:val="center"/>
            <w:hideMark/>
          </w:tcPr>
          <w:p w:rsidR="002515AE" w:rsidRPr="002515AE" w:rsidRDefault="002515AE" w:rsidP="002515AE">
            <w:pPr>
              <w:spacing w:after="0" w:line="273" w:lineRule="atLeast"/>
              <w:rPr>
                <w:rFonts w:ascii="Verdana" w:eastAsia="Times New Roman" w:hAnsi="Verdana" w:cs="Times New Roman"/>
                <w:color w:val="000000"/>
                <w:sz w:val="20"/>
                <w:szCs w:val="20"/>
                <w:lang w:eastAsia="es-ES"/>
              </w:rPr>
            </w:pPr>
            <w:r w:rsidRPr="002515AE">
              <w:rPr>
                <w:rFonts w:ascii="Verdana" w:eastAsia="Times New Roman" w:hAnsi="Verdana" w:cs="Times New Roman"/>
                <w:color w:val="000000"/>
                <w:sz w:val="20"/>
                <w:szCs w:val="20"/>
                <w:lang w:eastAsia="es-ES"/>
              </w:rPr>
              <w:t>_</w:t>
            </w:r>
            <w:proofErr w:type="spellStart"/>
            <w:proofErr w:type="gramStart"/>
            <w:r w:rsidRPr="002515AE">
              <w:rPr>
                <w:rFonts w:ascii="Verdana" w:eastAsia="Times New Roman" w:hAnsi="Verdana" w:cs="Times New Roman"/>
                <w:color w:val="000000"/>
                <w:sz w:val="20"/>
                <w:szCs w:val="20"/>
                <w:lang w:eastAsia="es-ES"/>
              </w:rPr>
              <w:t>sort</w:t>
            </w:r>
            <w:proofErr w:type="spellEnd"/>
            <w:r w:rsidRPr="002515AE">
              <w:rPr>
                <w:rFonts w:ascii="Verdana" w:eastAsia="Times New Roman" w:hAnsi="Verdana" w:cs="Times New Roman"/>
                <w:color w:val="000000"/>
                <w:sz w:val="20"/>
                <w:szCs w:val="20"/>
                <w:lang w:eastAsia="es-ES"/>
              </w:rPr>
              <w:t>(</w:t>
            </w:r>
            <w:proofErr w:type="gramEnd"/>
            <w:r w:rsidRPr="002515AE">
              <w:rPr>
                <w:rFonts w:ascii="Verdana" w:eastAsia="Times New Roman" w:hAnsi="Verdana" w:cs="Times New Roman"/>
                <w:color w:val="000000"/>
                <w:sz w:val="20"/>
                <w:szCs w:val="20"/>
                <w:lang w:eastAsia="es-ES"/>
              </w:rPr>
              <w:t>)</w:t>
            </w:r>
          </w:p>
        </w:tc>
        <w:tc>
          <w:tcPr>
            <w:tcW w:w="0" w:type="auto"/>
            <w:tcBorders>
              <w:top w:val="single" w:sz="6" w:space="0" w:color="CCCCCC"/>
              <w:left w:val="nil"/>
              <w:bottom w:val="single" w:sz="6" w:space="0" w:color="CCCCCC"/>
              <w:right w:val="nil"/>
            </w:tcBorders>
            <w:shd w:val="clear" w:color="auto" w:fill="FFFFFF"/>
            <w:tcMar>
              <w:top w:w="60" w:type="dxa"/>
              <w:left w:w="240" w:type="dxa"/>
              <w:bottom w:w="60" w:type="dxa"/>
              <w:right w:w="240" w:type="dxa"/>
            </w:tcMar>
            <w:vAlign w:val="center"/>
            <w:hideMark/>
          </w:tcPr>
          <w:p w:rsidR="002515AE" w:rsidRPr="002515AE" w:rsidRDefault="002515AE" w:rsidP="002515AE">
            <w:pPr>
              <w:spacing w:after="0" w:line="273" w:lineRule="atLeast"/>
              <w:rPr>
                <w:rFonts w:ascii="Verdana" w:eastAsia="Times New Roman" w:hAnsi="Verdana" w:cs="Times New Roman"/>
                <w:color w:val="000000"/>
                <w:sz w:val="20"/>
                <w:szCs w:val="20"/>
                <w:lang w:eastAsia="es-ES"/>
              </w:rPr>
            </w:pPr>
            <w:r w:rsidRPr="002515AE">
              <w:rPr>
                <w:rFonts w:ascii="Verdana" w:eastAsia="Times New Roman" w:hAnsi="Verdana" w:cs="Times New Roman"/>
                <w:color w:val="000000"/>
                <w:sz w:val="20"/>
                <w:szCs w:val="20"/>
                <w:lang w:eastAsia="es-ES"/>
              </w:rPr>
              <w:t>_</w:t>
            </w:r>
            <w:proofErr w:type="spellStart"/>
            <w:proofErr w:type="gramStart"/>
            <w:r w:rsidRPr="002515AE">
              <w:rPr>
                <w:rFonts w:ascii="Verdana" w:eastAsia="Times New Roman" w:hAnsi="Verdana" w:cs="Times New Roman"/>
                <w:color w:val="000000"/>
                <w:sz w:val="20"/>
                <w:szCs w:val="20"/>
                <w:lang w:eastAsia="es-ES"/>
              </w:rPr>
              <w:t>initTree</w:t>
            </w:r>
            <w:proofErr w:type="spellEnd"/>
            <w:r w:rsidRPr="002515AE">
              <w:rPr>
                <w:rFonts w:ascii="Verdana" w:eastAsia="Times New Roman" w:hAnsi="Verdana" w:cs="Times New Roman"/>
                <w:color w:val="000000"/>
                <w:sz w:val="20"/>
                <w:szCs w:val="20"/>
                <w:lang w:eastAsia="es-ES"/>
              </w:rPr>
              <w:t>(</w:t>
            </w:r>
            <w:proofErr w:type="gramEnd"/>
            <w:r w:rsidRPr="002515AE">
              <w:rPr>
                <w:rFonts w:ascii="Verdana" w:eastAsia="Times New Roman" w:hAnsi="Verdana" w:cs="Times New Roman"/>
                <w:color w:val="000000"/>
                <w:sz w:val="20"/>
                <w:szCs w:val="20"/>
                <w:lang w:eastAsia="es-ES"/>
              </w:rPr>
              <w:t>)</w:t>
            </w:r>
          </w:p>
        </w:tc>
      </w:tr>
    </w:tbl>
    <w:p w:rsidR="002515AE" w:rsidRDefault="002515AE" w:rsidP="002515AE"/>
    <w:p w:rsidR="002515AE" w:rsidRDefault="002515AE" w:rsidP="002515AE">
      <w:pPr>
        <w:rPr>
          <w:b/>
        </w:rPr>
      </w:pPr>
      <w:r w:rsidRPr="002515AE">
        <w:rPr>
          <w:b/>
        </w:rPr>
        <w:t>Constantes</w:t>
      </w:r>
    </w:p>
    <w:p w:rsidR="002515AE" w:rsidRDefault="002515AE" w:rsidP="002515AE">
      <w:r w:rsidRPr="00EB127C">
        <w:t xml:space="preserve">Las constantes deben estar siempre todo en </w:t>
      </w:r>
      <w:r w:rsidR="00EB127C" w:rsidRPr="00EB127C">
        <w:t>mayúsculas,</w:t>
      </w:r>
      <w:r w:rsidRPr="00EB127C">
        <w:t xml:space="preserve"> con guiones para separar las </w:t>
      </w:r>
      <w:r w:rsidR="00EB127C" w:rsidRPr="00EB127C">
        <w:t>palabras.</w:t>
      </w:r>
      <w:r w:rsidRPr="00EB127C">
        <w:t xml:space="preserve"> nombres de constantes prefijo con el nombre en mayúscula de la clase / paquete que </w:t>
      </w:r>
      <w:r w:rsidR="00EB127C">
        <w:t>se utilizan en algunos ejemplos</w:t>
      </w:r>
      <w:r w:rsidR="00EB127C" w:rsidRPr="00EB127C">
        <w:t>:</w:t>
      </w:r>
    </w:p>
    <w:tbl>
      <w:tblPr>
        <w:tblW w:w="1627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524"/>
        <w:gridCol w:w="9751"/>
      </w:tblGrid>
      <w:tr w:rsidR="00EB127C" w:rsidRPr="00EB127C" w:rsidTr="00EB127C">
        <w:tc>
          <w:tcPr>
            <w:tcW w:w="0" w:type="auto"/>
            <w:tcBorders>
              <w:top w:val="single" w:sz="6" w:space="0" w:color="CCCCCC"/>
              <w:left w:val="nil"/>
              <w:bottom w:val="single" w:sz="6" w:space="0" w:color="CCCCCC"/>
              <w:right w:val="nil"/>
            </w:tcBorders>
            <w:shd w:val="clear" w:color="auto" w:fill="FFFFFF"/>
            <w:tcMar>
              <w:top w:w="60" w:type="dxa"/>
              <w:left w:w="240" w:type="dxa"/>
              <w:bottom w:w="60" w:type="dxa"/>
              <w:right w:w="240" w:type="dxa"/>
            </w:tcMar>
            <w:vAlign w:val="center"/>
            <w:hideMark/>
          </w:tcPr>
          <w:p w:rsidR="00EB127C" w:rsidRPr="00EB127C" w:rsidRDefault="00EB127C" w:rsidP="00EB127C">
            <w:pPr>
              <w:spacing w:after="0" w:line="273" w:lineRule="atLeast"/>
              <w:rPr>
                <w:rFonts w:ascii="Verdana" w:eastAsia="Times New Roman" w:hAnsi="Verdana" w:cs="Times New Roman"/>
                <w:color w:val="000000"/>
                <w:sz w:val="20"/>
                <w:szCs w:val="20"/>
                <w:lang w:eastAsia="es-ES"/>
              </w:rPr>
            </w:pPr>
            <w:r w:rsidRPr="00EB127C">
              <w:rPr>
                <w:rFonts w:ascii="Verdana" w:eastAsia="Times New Roman" w:hAnsi="Verdana" w:cs="Times New Roman"/>
                <w:color w:val="000000"/>
                <w:sz w:val="20"/>
                <w:szCs w:val="20"/>
                <w:lang w:eastAsia="es-ES"/>
              </w:rPr>
              <w:t>DB_DATASOURCENAME</w:t>
            </w:r>
          </w:p>
        </w:tc>
        <w:tc>
          <w:tcPr>
            <w:tcW w:w="0" w:type="auto"/>
            <w:tcBorders>
              <w:top w:val="single" w:sz="6" w:space="0" w:color="CCCCCC"/>
              <w:left w:val="nil"/>
              <w:bottom w:val="single" w:sz="6" w:space="0" w:color="CCCCCC"/>
              <w:right w:val="nil"/>
            </w:tcBorders>
            <w:shd w:val="clear" w:color="auto" w:fill="FFFFFF"/>
            <w:tcMar>
              <w:top w:w="60" w:type="dxa"/>
              <w:left w:w="240" w:type="dxa"/>
              <w:bottom w:w="60" w:type="dxa"/>
              <w:right w:w="240" w:type="dxa"/>
            </w:tcMar>
            <w:vAlign w:val="center"/>
            <w:hideMark/>
          </w:tcPr>
          <w:p w:rsidR="00EB127C" w:rsidRPr="00EB127C" w:rsidRDefault="00EB127C" w:rsidP="00EB127C">
            <w:pPr>
              <w:spacing w:after="0" w:line="273" w:lineRule="atLeast"/>
              <w:rPr>
                <w:rFonts w:ascii="Verdana" w:eastAsia="Times New Roman" w:hAnsi="Verdana" w:cs="Times New Roman"/>
                <w:color w:val="000000"/>
                <w:sz w:val="20"/>
                <w:szCs w:val="20"/>
                <w:lang w:eastAsia="es-ES"/>
              </w:rPr>
            </w:pPr>
            <w:r w:rsidRPr="00EB127C">
              <w:rPr>
                <w:rFonts w:ascii="Verdana" w:eastAsia="Times New Roman" w:hAnsi="Verdana" w:cs="Times New Roman"/>
                <w:color w:val="000000"/>
                <w:sz w:val="20"/>
                <w:szCs w:val="20"/>
                <w:lang w:eastAsia="es-ES"/>
              </w:rPr>
              <w:t>SERVICES_AMAZON_S3_LICENSEKEY</w:t>
            </w:r>
          </w:p>
        </w:tc>
      </w:tr>
    </w:tbl>
    <w:p w:rsidR="00EB127C" w:rsidRPr="00EB127C" w:rsidRDefault="00EB127C" w:rsidP="002515AE">
      <w:pPr>
        <w:rPr>
          <w:b/>
        </w:rPr>
      </w:pPr>
    </w:p>
    <w:p w:rsidR="00EB127C" w:rsidRPr="00EB127C" w:rsidRDefault="00EB127C" w:rsidP="002515AE">
      <w:pPr>
        <w:rPr>
          <w:b/>
        </w:rPr>
      </w:pPr>
      <w:r w:rsidRPr="00EB127C">
        <w:rPr>
          <w:b/>
        </w:rPr>
        <w:t>Estructura de Control</w:t>
      </w:r>
    </w:p>
    <w:p w:rsidR="00EB127C" w:rsidRDefault="00EB127C" w:rsidP="002515AE">
      <w:r>
        <w:t xml:space="preserve">Esto incluye </w:t>
      </w:r>
      <w:proofErr w:type="spellStart"/>
      <w:r>
        <w:t>if</w:t>
      </w:r>
      <w:proofErr w:type="spellEnd"/>
      <w:r>
        <w:t xml:space="preserve">, </w:t>
      </w:r>
      <w:proofErr w:type="spellStart"/>
      <w:r>
        <w:t>for</w:t>
      </w:r>
      <w:proofErr w:type="spellEnd"/>
      <w:r>
        <w:t xml:space="preserve">, </w:t>
      </w:r>
      <w:proofErr w:type="spellStart"/>
      <w:r>
        <w:t>while</w:t>
      </w:r>
      <w:proofErr w:type="spellEnd"/>
      <w:r>
        <w:t xml:space="preserve">, </w:t>
      </w:r>
      <w:proofErr w:type="spellStart"/>
      <w:r>
        <w:t>switch</w:t>
      </w:r>
      <w:proofErr w:type="spellEnd"/>
      <w:r>
        <w:t xml:space="preserve">, etc. </w:t>
      </w:r>
    </w:p>
    <w:p w:rsidR="00EB127C" w:rsidRDefault="00EB127C" w:rsidP="002515AE">
      <w:proofErr w:type="gramStart"/>
      <w:r w:rsidRPr="00EB127C">
        <w:t>?</w:t>
      </w:r>
      <w:proofErr w:type="spellStart"/>
      <w:r w:rsidRPr="00EB127C">
        <w:t>php</w:t>
      </w:r>
      <w:proofErr w:type="spellEnd"/>
      <w:proofErr w:type="gramEnd"/>
      <w:r w:rsidRPr="00EB127C">
        <w:br/>
      </w:r>
      <w:proofErr w:type="spellStart"/>
      <w:r w:rsidRPr="00EB127C">
        <w:t>if</w:t>
      </w:r>
      <w:proofErr w:type="spellEnd"/>
      <w:r w:rsidRPr="00EB127C">
        <w:t> ((condition1) || (condition2)) {</w:t>
      </w:r>
      <w:r w:rsidRPr="00EB127C">
        <w:br/>
        <w:t>    action1;</w:t>
      </w:r>
      <w:r w:rsidRPr="00EB127C">
        <w:br/>
        <w:t>} </w:t>
      </w:r>
      <w:proofErr w:type="spellStart"/>
      <w:r w:rsidRPr="00EB127C">
        <w:t>elseif</w:t>
      </w:r>
      <w:proofErr w:type="spellEnd"/>
      <w:r w:rsidRPr="00EB127C">
        <w:t> ((condition3) &amp;&amp; (condition4)) {</w:t>
      </w:r>
      <w:r w:rsidRPr="00EB127C">
        <w:br/>
        <w:t>    action2;</w:t>
      </w:r>
      <w:r w:rsidRPr="00EB127C">
        <w:br/>
        <w:t>} </w:t>
      </w:r>
      <w:proofErr w:type="spellStart"/>
      <w:r w:rsidRPr="00EB127C">
        <w:t>else</w:t>
      </w:r>
      <w:proofErr w:type="spellEnd"/>
      <w:r w:rsidRPr="00EB127C">
        <w:t> {</w:t>
      </w:r>
      <w:r w:rsidRPr="00EB127C">
        <w:br/>
        <w:t>    </w:t>
      </w:r>
      <w:proofErr w:type="spellStart"/>
      <w:r w:rsidRPr="00EB127C">
        <w:t>defaultaction</w:t>
      </w:r>
      <w:proofErr w:type="spellEnd"/>
      <w:r w:rsidRPr="00EB127C">
        <w:t>;</w:t>
      </w:r>
      <w:r w:rsidRPr="00EB127C">
        <w:br/>
        <w:t>}</w:t>
      </w:r>
      <w:r w:rsidRPr="00EB127C">
        <w:br/>
        <w:t>?&gt;</w:t>
      </w:r>
    </w:p>
    <w:p w:rsidR="00EB127C" w:rsidRDefault="00EB127C" w:rsidP="00EB127C">
      <w:r>
        <w:t>L</w:t>
      </w:r>
      <w:r>
        <w:t xml:space="preserve">as sentencias de control deben tener un espacio entre la palabra clave y el control de paréntesis de </w:t>
      </w:r>
      <w:proofErr w:type="gramStart"/>
      <w:r>
        <w:t>apertura ,</w:t>
      </w:r>
      <w:proofErr w:type="gramEnd"/>
      <w:r>
        <w:t xml:space="preserve"> para distinguirlas de las llamadas a funciones.</w:t>
      </w:r>
    </w:p>
    <w:p w:rsidR="00EB127C" w:rsidRDefault="00EB127C" w:rsidP="00EB127C">
      <w:r>
        <w:t xml:space="preserve">Se le recomienda siempre usar </w:t>
      </w:r>
      <w:r>
        <w:t>llaves,</w:t>
      </w:r>
      <w:r>
        <w:t xml:space="preserve"> incluso en situaciones en que son técnicamente opcional</w:t>
      </w:r>
      <w:r>
        <w:t>.</w:t>
      </w:r>
    </w:p>
    <w:p w:rsidR="00EB127C" w:rsidRPr="00FA6D99" w:rsidRDefault="00EB127C" w:rsidP="00EB127C">
      <w:pPr>
        <w:rPr>
          <w:b/>
        </w:rPr>
      </w:pPr>
      <w:r w:rsidRPr="00FA6D99">
        <w:rPr>
          <w:b/>
        </w:rPr>
        <w:lastRenderedPageBreak/>
        <w:t>Formatos de archivo</w:t>
      </w:r>
    </w:p>
    <w:p w:rsidR="00EB127C" w:rsidRDefault="00EB127C" w:rsidP="00EB127C">
      <w:r>
        <w:t>To</w:t>
      </w:r>
      <w:r>
        <w:t xml:space="preserve">dos los guiones contribuyeron </w:t>
      </w:r>
      <w:proofErr w:type="spellStart"/>
      <w:r>
        <w:t>Pear</w:t>
      </w:r>
      <w:proofErr w:type="spellEnd"/>
      <w:r>
        <w:t>:</w:t>
      </w:r>
    </w:p>
    <w:p w:rsidR="00EB127C" w:rsidRDefault="00EB127C" w:rsidP="00EB127C"/>
    <w:p w:rsidR="00EB127C" w:rsidRDefault="00EB127C" w:rsidP="00EB127C">
      <w:pPr>
        <w:pStyle w:val="Prrafodelista"/>
        <w:numPr>
          <w:ilvl w:val="0"/>
          <w:numId w:val="3"/>
        </w:numPr>
      </w:pPr>
      <w:r>
        <w:t>Ser almacenados como texto ASCII</w:t>
      </w:r>
    </w:p>
    <w:p w:rsidR="00EB127C" w:rsidRDefault="00EB127C" w:rsidP="00EB127C">
      <w:pPr>
        <w:pStyle w:val="Prrafodelista"/>
        <w:numPr>
          <w:ilvl w:val="0"/>
          <w:numId w:val="3"/>
        </w:numPr>
      </w:pPr>
      <w:r>
        <w:t xml:space="preserve">Utilice la norma ISO -8859-1 o UTF -8 codificación de caracteres. La codificación puede ser declarada usando declare </w:t>
      </w:r>
      <w:proofErr w:type="gramStart"/>
      <w:r>
        <w:t xml:space="preserve">( </w:t>
      </w:r>
      <w:proofErr w:type="spellStart"/>
      <w:r>
        <w:t>encoding</w:t>
      </w:r>
      <w:proofErr w:type="spellEnd"/>
      <w:proofErr w:type="gramEnd"/>
      <w:r>
        <w:t xml:space="preserve"> = " UTF -8 " ) ; en la parte superior del archivo.</w:t>
      </w:r>
    </w:p>
    <w:p w:rsidR="00EB127C" w:rsidRDefault="00EB127C" w:rsidP="00EB127C">
      <w:pPr>
        <w:pStyle w:val="Prrafodelista"/>
        <w:numPr>
          <w:ilvl w:val="0"/>
          <w:numId w:val="3"/>
        </w:numPr>
      </w:pPr>
      <w:r>
        <w:t>Unix ser formateado</w:t>
      </w:r>
    </w:p>
    <w:p w:rsidR="00EB127C" w:rsidRDefault="00EB127C" w:rsidP="00DB6947">
      <w:pPr>
        <w:ind w:firstLine="360"/>
      </w:pPr>
      <w:r>
        <w:t xml:space="preserve">" Unix con formato " significa dos </w:t>
      </w:r>
      <w:r w:rsidR="00FA6D99">
        <w:t>cosas:</w:t>
      </w:r>
    </w:p>
    <w:p w:rsidR="00EB127C" w:rsidRDefault="00EB127C" w:rsidP="00DB6947">
      <w:pPr>
        <w:pStyle w:val="Prrafodelista"/>
        <w:numPr>
          <w:ilvl w:val="0"/>
          <w:numId w:val="4"/>
        </w:numPr>
      </w:pPr>
      <w:r>
        <w:t xml:space="preserve">Las líneas deben terminar sólo con un avance de línea </w:t>
      </w:r>
      <w:r w:rsidR="00FA6D99">
        <w:t>(LF</w:t>
      </w:r>
      <w:bookmarkStart w:id="0" w:name="_GoBack"/>
      <w:bookmarkEnd w:id="0"/>
      <w:r w:rsidR="00FA6D99">
        <w:t>).</w:t>
      </w:r>
      <w:r>
        <w:t xml:space="preserve"> saltos de línea se representan como ordinal </w:t>
      </w:r>
      <w:r w:rsidR="00FA6D99">
        <w:t>10,</w:t>
      </w:r>
      <w:r>
        <w:t xml:space="preserve"> octal 012 y 0A </w:t>
      </w:r>
      <w:proofErr w:type="spellStart"/>
      <w:r w:rsidR="00FA6D99">
        <w:t>hex</w:t>
      </w:r>
      <w:proofErr w:type="spellEnd"/>
      <w:r w:rsidR="00FA6D99">
        <w:t>.</w:t>
      </w:r>
      <w:r>
        <w:t xml:space="preserve"> No utilice retornos de carro (CR) como los ordenadores Macintosh o la combinación de retorno de carro / línea </w:t>
      </w:r>
      <w:r w:rsidR="00FA6D99">
        <w:t>(CRLF)</w:t>
      </w:r>
      <w:r>
        <w:t xml:space="preserve"> como las co</w:t>
      </w:r>
      <w:r w:rsidR="00DB6947">
        <w:t>mputadoras de Windows hacer.</w:t>
      </w:r>
      <w:r w:rsidR="00DB6947">
        <w:br/>
      </w:r>
    </w:p>
    <w:p w:rsidR="00EB127C" w:rsidRPr="00EB127C" w:rsidRDefault="00EB127C" w:rsidP="00DB6947">
      <w:pPr>
        <w:pStyle w:val="Prrafodelista"/>
        <w:numPr>
          <w:ilvl w:val="0"/>
          <w:numId w:val="4"/>
        </w:numPr>
      </w:pPr>
      <w:r>
        <w:t xml:space="preserve">Debe haber un avance de línea después de la etiqueta PHP de cierre </w:t>
      </w:r>
      <w:proofErr w:type="gramStart"/>
      <w:r>
        <w:t>( ?</w:t>
      </w:r>
      <w:proofErr w:type="gramEnd"/>
      <w:r>
        <w:t xml:space="preserve"> &gt; ) . Esto significa que cuando el cursor se encuentra al final del </w:t>
      </w:r>
      <w:r w:rsidR="00FA6D99">
        <w:t>archivo,</w:t>
      </w:r>
      <w:r>
        <w:t xml:space="preserve"> debería ser una línea debajo de la etiqueta de cierre PHP</w:t>
      </w:r>
    </w:p>
    <w:sectPr w:rsidR="00EB127C" w:rsidRPr="00EB12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43B4E"/>
    <w:multiLevelType w:val="hybridMultilevel"/>
    <w:tmpl w:val="DE644B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744B80"/>
    <w:multiLevelType w:val="hybridMultilevel"/>
    <w:tmpl w:val="5CC439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CA17D6"/>
    <w:multiLevelType w:val="hybridMultilevel"/>
    <w:tmpl w:val="65A61C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EC03000"/>
    <w:multiLevelType w:val="hybridMultilevel"/>
    <w:tmpl w:val="D9C29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0B1"/>
    <w:rsid w:val="000860B1"/>
    <w:rsid w:val="001B2D3A"/>
    <w:rsid w:val="002515AE"/>
    <w:rsid w:val="00D235E6"/>
    <w:rsid w:val="00DB6947"/>
    <w:rsid w:val="00DD6588"/>
    <w:rsid w:val="00EB127C"/>
    <w:rsid w:val="00FA6D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F548"/>
  <w15:chartTrackingRefBased/>
  <w15:docId w15:val="{7FD0C4A9-6CC0-42CC-AAF4-6F17BA411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60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60B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2515AE"/>
    <w:pPr>
      <w:ind w:left="720"/>
      <w:contextualSpacing/>
    </w:pPr>
  </w:style>
  <w:style w:type="character" w:customStyle="1" w:styleId="simpara">
    <w:name w:val="simpara"/>
    <w:basedOn w:val="Fuentedeprrafopredeter"/>
    <w:rsid w:val="00251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71694">
      <w:bodyDiv w:val="1"/>
      <w:marLeft w:val="0"/>
      <w:marRight w:val="0"/>
      <w:marTop w:val="0"/>
      <w:marBottom w:val="0"/>
      <w:divBdr>
        <w:top w:val="none" w:sz="0" w:space="0" w:color="auto"/>
        <w:left w:val="none" w:sz="0" w:space="0" w:color="auto"/>
        <w:bottom w:val="none" w:sz="0" w:space="0" w:color="auto"/>
        <w:right w:val="none" w:sz="0" w:space="0" w:color="auto"/>
      </w:divBdr>
    </w:div>
    <w:div w:id="122235051">
      <w:bodyDiv w:val="1"/>
      <w:marLeft w:val="0"/>
      <w:marRight w:val="0"/>
      <w:marTop w:val="0"/>
      <w:marBottom w:val="0"/>
      <w:divBdr>
        <w:top w:val="none" w:sz="0" w:space="0" w:color="auto"/>
        <w:left w:val="none" w:sz="0" w:space="0" w:color="auto"/>
        <w:bottom w:val="none" w:sz="0" w:space="0" w:color="auto"/>
        <w:right w:val="none" w:sz="0" w:space="0" w:color="auto"/>
      </w:divBdr>
    </w:div>
    <w:div w:id="287396351">
      <w:bodyDiv w:val="1"/>
      <w:marLeft w:val="0"/>
      <w:marRight w:val="0"/>
      <w:marTop w:val="0"/>
      <w:marBottom w:val="0"/>
      <w:divBdr>
        <w:top w:val="none" w:sz="0" w:space="0" w:color="auto"/>
        <w:left w:val="none" w:sz="0" w:space="0" w:color="auto"/>
        <w:bottom w:val="none" w:sz="0" w:space="0" w:color="auto"/>
        <w:right w:val="none" w:sz="0" w:space="0" w:color="auto"/>
      </w:divBdr>
    </w:div>
    <w:div w:id="293027138">
      <w:bodyDiv w:val="1"/>
      <w:marLeft w:val="0"/>
      <w:marRight w:val="0"/>
      <w:marTop w:val="0"/>
      <w:marBottom w:val="0"/>
      <w:divBdr>
        <w:top w:val="none" w:sz="0" w:space="0" w:color="auto"/>
        <w:left w:val="none" w:sz="0" w:space="0" w:color="auto"/>
        <w:bottom w:val="none" w:sz="0" w:space="0" w:color="auto"/>
        <w:right w:val="none" w:sz="0" w:space="0" w:color="auto"/>
      </w:divBdr>
    </w:div>
    <w:div w:id="296490080">
      <w:bodyDiv w:val="1"/>
      <w:marLeft w:val="0"/>
      <w:marRight w:val="0"/>
      <w:marTop w:val="0"/>
      <w:marBottom w:val="0"/>
      <w:divBdr>
        <w:top w:val="none" w:sz="0" w:space="0" w:color="auto"/>
        <w:left w:val="none" w:sz="0" w:space="0" w:color="auto"/>
        <w:bottom w:val="none" w:sz="0" w:space="0" w:color="auto"/>
        <w:right w:val="none" w:sz="0" w:space="0" w:color="auto"/>
      </w:divBdr>
    </w:div>
    <w:div w:id="310795990">
      <w:bodyDiv w:val="1"/>
      <w:marLeft w:val="0"/>
      <w:marRight w:val="0"/>
      <w:marTop w:val="0"/>
      <w:marBottom w:val="0"/>
      <w:divBdr>
        <w:top w:val="none" w:sz="0" w:space="0" w:color="auto"/>
        <w:left w:val="none" w:sz="0" w:space="0" w:color="auto"/>
        <w:bottom w:val="none" w:sz="0" w:space="0" w:color="auto"/>
        <w:right w:val="none" w:sz="0" w:space="0" w:color="auto"/>
      </w:divBdr>
    </w:div>
    <w:div w:id="798688943">
      <w:bodyDiv w:val="1"/>
      <w:marLeft w:val="0"/>
      <w:marRight w:val="0"/>
      <w:marTop w:val="0"/>
      <w:marBottom w:val="0"/>
      <w:divBdr>
        <w:top w:val="none" w:sz="0" w:space="0" w:color="auto"/>
        <w:left w:val="none" w:sz="0" w:space="0" w:color="auto"/>
        <w:bottom w:val="none" w:sz="0" w:space="0" w:color="auto"/>
        <w:right w:val="none" w:sz="0" w:space="0" w:color="auto"/>
      </w:divBdr>
    </w:div>
    <w:div w:id="1103695154">
      <w:bodyDiv w:val="1"/>
      <w:marLeft w:val="0"/>
      <w:marRight w:val="0"/>
      <w:marTop w:val="0"/>
      <w:marBottom w:val="0"/>
      <w:divBdr>
        <w:top w:val="none" w:sz="0" w:space="0" w:color="auto"/>
        <w:left w:val="none" w:sz="0" w:space="0" w:color="auto"/>
        <w:bottom w:val="none" w:sz="0" w:space="0" w:color="auto"/>
        <w:right w:val="none" w:sz="0" w:space="0" w:color="auto"/>
      </w:divBdr>
    </w:div>
    <w:div w:id="1685665052">
      <w:bodyDiv w:val="1"/>
      <w:marLeft w:val="0"/>
      <w:marRight w:val="0"/>
      <w:marTop w:val="0"/>
      <w:marBottom w:val="0"/>
      <w:divBdr>
        <w:top w:val="none" w:sz="0" w:space="0" w:color="auto"/>
        <w:left w:val="none" w:sz="0" w:space="0" w:color="auto"/>
        <w:bottom w:val="none" w:sz="0" w:space="0" w:color="auto"/>
        <w:right w:val="none" w:sz="0" w:space="0" w:color="auto"/>
      </w:divBdr>
    </w:div>
    <w:div w:id="1865246171">
      <w:bodyDiv w:val="1"/>
      <w:marLeft w:val="0"/>
      <w:marRight w:val="0"/>
      <w:marTop w:val="0"/>
      <w:marBottom w:val="0"/>
      <w:divBdr>
        <w:top w:val="none" w:sz="0" w:space="0" w:color="auto"/>
        <w:left w:val="none" w:sz="0" w:space="0" w:color="auto"/>
        <w:bottom w:val="none" w:sz="0" w:space="0" w:color="auto"/>
        <w:right w:val="none" w:sz="0" w:space="0" w:color="auto"/>
      </w:divBdr>
    </w:div>
    <w:div w:id="1891771819">
      <w:bodyDiv w:val="1"/>
      <w:marLeft w:val="0"/>
      <w:marRight w:val="0"/>
      <w:marTop w:val="0"/>
      <w:marBottom w:val="0"/>
      <w:divBdr>
        <w:top w:val="none" w:sz="0" w:space="0" w:color="auto"/>
        <w:left w:val="none" w:sz="0" w:space="0" w:color="auto"/>
        <w:bottom w:val="none" w:sz="0" w:space="0" w:color="auto"/>
        <w:right w:val="none" w:sz="0" w:space="0" w:color="auto"/>
      </w:divBdr>
    </w:div>
    <w:div w:id="2051756472">
      <w:bodyDiv w:val="1"/>
      <w:marLeft w:val="0"/>
      <w:marRight w:val="0"/>
      <w:marTop w:val="0"/>
      <w:marBottom w:val="0"/>
      <w:divBdr>
        <w:top w:val="none" w:sz="0" w:space="0" w:color="auto"/>
        <w:left w:val="none" w:sz="0" w:space="0" w:color="auto"/>
        <w:bottom w:val="none" w:sz="0" w:space="0" w:color="auto"/>
        <w:right w:val="none" w:sz="0" w:space="0" w:color="auto"/>
      </w:divBdr>
    </w:div>
    <w:div w:id="210522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372</Words>
  <Characters>2052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naranjo kadala</dc:creator>
  <cp:keywords/>
  <dc:description/>
  <cp:lastModifiedBy>hector naranjo kadala</cp:lastModifiedBy>
  <cp:revision>4</cp:revision>
  <dcterms:created xsi:type="dcterms:W3CDTF">2016-02-23T16:00:00Z</dcterms:created>
  <dcterms:modified xsi:type="dcterms:W3CDTF">2016-02-24T02:35:00Z</dcterms:modified>
</cp:coreProperties>
</file>