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253B85"/>
          <w:sz w:val="40"/>
        </w:rPr>
        <w:t>国家自然科学基金青年项目申请书（示例）</w:t>
      </w:r>
    </w:p>
    <w:p>
      <w:pPr>
        <w:jc w:val="center"/>
      </w:pPr>
      <w:r>
        <w:rPr>
          <w:rFonts w:ascii="Microsoft YaHei" w:hAnsi="Microsoft YaHei" w:eastAsia="Microsoft YaHei"/>
          <w:b/>
          <w:color w:val="C00000"/>
          <w:sz w:val="28"/>
        </w:rPr>
        <w:t>项目名称：二维层状材料缺陷调控及其高效钠离子存储机制研究</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vAlign w:val="center"/>
            <w:shd w:fill="F3F5F7"/>
          </w:tcPr>
          <w:p>
            <w:pPr>
              <w:jc w:val="center"/>
            </w:pPr>
            <w:r/>
            <w:r>
              <w:rPr>
                <w:rFonts w:ascii="Microsoft YaHei" w:hAnsi="Microsoft YaHei" w:eastAsia="Microsoft YaHei"/>
                <w:b/>
                <w:color w:val="253B85"/>
                <w:sz w:val="19"/>
              </w:rPr>
              <w:t>申请人</w:t>
            </w:r>
          </w:p>
        </w:tc>
        <w:tc>
          <w:tcPr>
            <w:tcW w:type="dxa" w:w="2493"/>
            <w:vAlign w:val="center"/>
          </w:tcPr>
          <w:p>
            <w:pPr>
              <w:jc w:val="left"/>
            </w:pPr>
            <w:r/>
            <w:r>
              <w:rPr>
                <w:rFonts w:ascii="Microsoft YaHei" w:hAnsi="Microsoft YaHei" w:eastAsia="Microsoft YaHei"/>
                <w:b w:val="0"/>
                <w:sz w:val="19"/>
              </w:rPr>
              <w:t>王晨（示例）</w:t>
            </w:r>
          </w:p>
        </w:tc>
        <w:tc>
          <w:tcPr>
            <w:tcW w:type="dxa" w:w="2493"/>
            <w:vAlign w:val="center"/>
          </w:tcPr>
          <w:p>
            <w:pPr>
              <w:jc w:val="left"/>
            </w:pPr>
            <w:r/>
            <w:r>
              <w:rPr>
                <w:rFonts w:ascii="Microsoft YaHei" w:hAnsi="Microsoft YaHei" w:eastAsia="Microsoft YaHei"/>
                <w:b w:val="0"/>
                <w:sz w:val="19"/>
              </w:rPr>
              <w:t>依托单位</w:t>
            </w:r>
          </w:p>
        </w:tc>
        <w:tc>
          <w:tcPr>
            <w:tcW w:type="dxa" w:w="2493"/>
            <w:vAlign w:val="center"/>
          </w:tcPr>
          <w:p>
            <w:pPr>
              <w:jc w:val="left"/>
            </w:pPr>
            <w:r/>
            <w:r>
              <w:rPr>
                <w:rFonts w:ascii="Microsoft YaHei" w:hAnsi="Microsoft YaHei" w:eastAsia="Microsoft YaHei"/>
                <w:b w:val="0"/>
                <w:sz w:val="19"/>
              </w:rPr>
              <w:t>某某大学材料科学与工程学院</w:t>
            </w:r>
          </w:p>
        </w:tc>
      </w:tr>
      <w:tr>
        <w:tc>
          <w:tcPr>
            <w:tcW w:type="dxa" w:w="2493"/>
            <w:vAlign w:val="center"/>
            <w:shd w:fill="F3F5F7"/>
          </w:tcPr>
          <w:p>
            <w:pPr>
              <w:jc w:val="center"/>
            </w:pPr>
            <w:r/>
            <w:r>
              <w:rPr>
                <w:rFonts w:ascii="Microsoft YaHei" w:hAnsi="Microsoft YaHei" w:eastAsia="Microsoft YaHei"/>
                <w:b/>
                <w:color w:val="253B85"/>
                <w:sz w:val="19"/>
              </w:rPr>
              <w:t>申请代码</w:t>
            </w:r>
          </w:p>
        </w:tc>
        <w:tc>
          <w:tcPr>
            <w:tcW w:type="dxa" w:w="2493"/>
            <w:vAlign w:val="center"/>
          </w:tcPr>
          <w:p>
            <w:pPr>
              <w:jc w:val="left"/>
            </w:pPr>
            <w:r/>
            <w:r>
              <w:rPr>
                <w:rFonts w:ascii="Microsoft YaHei" w:hAnsi="Microsoft YaHei" w:eastAsia="Microsoft YaHei"/>
                <w:b w:val="0"/>
                <w:sz w:val="19"/>
              </w:rPr>
              <w:t>E0204 / 能源材料</w:t>
            </w:r>
          </w:p>
        </w:tc>
        <w:tc>
          <w:tcPr>
            <w:tcW w:type="dxa" w:w="2493"/>
            <w:vAlign w:val="center"/>
          </w:tcPr>
          <w:p>
            <w:pPr>
              <w:jc w:val="left"/>
            </w:pPr>
            <w:r/>
            <w:r>
              <w:rPr>
                <w:rFonts w:ascii="Microsoft YaHei" w:hAnsi="Microsoft YaHei" w:eastAsia="Microsoft YaHei"/>
                <w:b w:val="0"/>
                <w:sz w:val="19"/>
              </w:rPr>
              <w:t>申请类别</w:t>
            </w:r>
          </w:p>
        </w:tc>
        <w:tc>
          <w:tcPr>
            <w:tcW w:type="dxa" w:w="2493"/>
            <w:vAlign w:val="center"/>
          </w:tcPr>
          <w:p>
            <w:pPr>
              <w:jc w:val="left"/>
            </w:pPr>
            <w:r/>
            <w:r>
              <w:rPr>
                <w:rFonts w:ascii="Microsoft YaHei" w:hAnsi="Microsoft YaHei" w:eastAsia="Microsoft YaHei"/>
                <w:b w:val="0"/>
                <w:sz w:val="19"/>
              </w:rPr>
              <w:t>青年科学基金项目</w:t>
            </w:r>
          </w:p>
        </w:tc>
      </w:tr>
      <w:tr>
        <w:tc>
          <w:tcPr>
            <w:tcW w:type="dxa" w:w="2493"/>
            <w:vAlign w:val="center"/>
            <w:shd w:fill="F3F5F7"/>
          </w:tcPr>
          <w:p>
            <w:pPr>
              <w:jc w:val="center"/>
            </w:pPr>
            <w:r/>
            <w:r>
              <w:rPr>
                <w:rFonts w:ascii="Microsoft YaHei" w:hAnsi="Microsoft YaHei" w:eastAsia="Microsoft YaHei"/>
                <w:b/>
                <w:color w:val="253B85"/>
                <w:sz w:val="19"/>
              </w:rPr>
              <w:t>研究方向</w:t>
            </w:r>
          </w:p>
        </w:tc>
        <w:tc>
          <w:tcPr>
            <w:tcW w:type="dxa" w:w="2493"/>
            <w:vAlign w:val="center"/>
          </w:tcPr>
          <w:p>
            <w:pPr>
              <w:jc w:val="left"/>
            </w:pPr>
            <w:r/>
            <w:r>
              <w:rPr>
                <w:rFonts w:ascii="Microsoft YaHei" w:hAnsi="Microsoft YaHei" w:eastAsia="Microsoft YaHei"/>
                <w:b w:val="0"/>
                <w:sz w:val="19"/>
              </w:rPr>
              <w:t>二维材料、缺陷工程、钠离子电池</w:t>
            </w:r>
          </w:p>
        </w:tc>
        <w:tc>
          <w:tcPr>
            <w:tcW w:type="dxa" w:w="2493"/>
            <w:vAlign w:val="center"/>
          </w:tcPr>
          <w:p>
            <w:pPr>
              <w:jc w:val="left"/>
            </w:pPr>
            <w:r/>
            <w:r>
              <w:rPr>
                <w:rFonts w:ascii="Microsoft YaHei" w:hAnsi="Microsoft YaHei" w:eastAsia="Microsoft YaHei"/>
                <w:b w:val="0"/>
                <w:sz w:val="19"/>
              </w:rPr>
              <w:t>执行周期</w:t>
            </w:r>
          </w:p>
        </w:tc>
        <w:tc>
          <w:tcPr>
            <w:tcW w:type="dxa" w:w="2493"/>
            <w:vAlign w:val="center"/>
          </w:tcPr>
          <w:p>
            <w:pPr>
              <w:jc w:val="left"/>
            </w:pPr>
            <w:r/>
            <w:r>
              <w:rPr>
                <w:rFonts w:ascii="Microsoft YaHei" w:hAnsi="Microsoft YaHei" w:eastAsia="Microsoft YaHei"/>
                <w:b w:val="0"/>
                <w:sz w:val="19"/>
              </w:rPr>
              <w:t>2027.01-2029.12</w:t>
            </w:r>
          </w:p>
        </w:tc>
      </w:tr>
      <w:tr>
        <w:tc>
          <w:tcPr>
            <w:tcW w:type="dxa" w:w="2493"/>
            <w:vAlign w:val="center"/>
            <w:shd w:fill="F3F5F7"/>
          </w:tcPr>
          <w:p>
            <w:pPr>
              <w:jc w:val="center"/>
            </w:pPr>
            <w:r/>
            <w:r>
              <w:rPr>
                <w:rFonts w:ascii="Microsoft YaHei" w:hAnsi="Microsoft YaHei" w:eastAsia="Microsoft YaHei"/>
                <w:b/>
                <w:color w:val="253B85"/>
                <w:sz w:val="19"/>
              </w:rPr>
              <w:t>关键词</w:t>
            </w:r>
          </w:p>
        </w:tc>
        <w:tc>
          <w:tcPr>
            <w:tcW w:type="dxa" w:w="2493"/>
            <w:vAlign w:val="center"/>
          </w:tcPr>
          <w:p>
            <w:pPr>
              <w:jc w:val="left"/>
            </w:pPr>
            <w:r/>
            <w:r>
              <w:rPr>
                <w:rFonts w:ascii="Microsoft YaHei" w:hAnsi="Microsoft YaHei" w:eastAsia="Microsoft YaHei"/>
                <w:b w:val="0"/>
                <w:sz w:val="19"/>
              </w:rPr>
              <w:t>二维层状材料；硫空位；界面储钠；原位表征</w:t>
            </w:r>
          </w:p>
        </w:tc>
        <w:tc>
          <w:tcPr>
            <w:tcW w:type="dxa" w:w="2493"/>
            <w:vAlign w:val="center"/>
          </w:tcPr>
          <w:p>
            <w:pPr>
              <w:jc w:val="left"/>
            </w:pPr>
            <w:r/>
            <w:r>
              <w:rPr>
                <w:rFonts w:ascii="Microsoft YaHei" w:hAnsi="Microsoft YaHei" w:eastAsia="Microsoft YaHei"/>
                <w:b w:val="0"/>
                <w:sz w:val="19"/>
              </w:rPr>
              <w:t>经费申请</w:t>
            </w:r>
          </w:p>
        </w:tc>
        <w:tc>
          <w:tcPr>
            <w:tcW w:type="dxa" w:w="2493"/>
            <w:vAlign w:val="center"/>
          </w:tcPr>
          <w:p>
            <w:pPr>
              <w:jc w:val="left"/>
            </w:pPr>
            <w:r/>
            <w:r>
              <w:rPr>
                <w:rFonts w:ascii="Microsoft YaHei" w:hAnsi="Microsoft YaHei" w:eastAsia="Microsoft YaHei"/>
                <w:b w:val="0"/>
                <w:sz w:val="19"/>
              </w:rPr>
              <w:t>30万元（示例）</w:t>
            </w:r>
          </w:p>
        </w:tc>
      </w:tr>
    </w:tbl>
    <w:p/>
    <w:p>
      <w:pPr>
        <w:spacing w:before="240" w:after="100"/>
      </w:pPr>
      <w:r>
        <w:rPr>
          <w:rFonts w:ascii="Microsoft YaHei" w:hAnsi="Microsoft YaHei" w:eastAsia="Microsoft YaHei"/>
          <w:b/>
          <w:color w:val="253B85"/>
          <w:sz w:val="30"/>
        </w:rPr>
        <w:t>一、项目摘要</w:t>
      </w:r>
    </w:p>
    <w:p>
      <w:pPr>
        <w:spacing w:after="100" w:line="276" w:lineRule="auto"/>
      </w:pPr>
      <w:r>
        <w:rPr>
          <w:rFonts w:ascii="Microsoft YaHei" w:hAnsi="Microsoft YaHei" w:eastAsia="Microsoft YaHei"/>
          <w:b w:val="0"/>
          <w:sz w:val="21"/>
        </w:rPr>
        <w:t>本项目面向低成本大规模储能中钠离子电池负极材料容量低、倍率性能不足和循环稳定性差的问题，拟以二维层状过渡金属硫化物为研究对象，发展可控缺陷构筑与界面稳定化策略，阐明缺陷类型、层间距调控和电解液界面反应对钠离子存储行为的影响机制。</w:t>
      </w:r>
    </w:p>
    <w:p>
      <w:pPr>
        <w:spacing w:after="100" w:line="276" w:lineRule="auto"/>
      </w:pPr>
      <w:r>
        <w:rPr>
          <w:rFonts w:ascii="Microsoft YaHei" w:hAnsi="Microsoft YaHei" w:eastAsia="Microsoft YaHei"/>
          <w:b w:val="0"/>
          <w:sz w:val="21"/>
        </w:rPr>
        <w:t>项目将结合化学气相转化、低温硫化、等离子体处理和原位/准原位表征，构建硫空位、异质原子掺杂和导电碳界面协同调控的二维材料体系，建立结构演化与电化学性能之间的定量关联。</w:t>
      </w:r>
    </w:p>
    <w:p>
      <w:pPr>
        <w:spacing w:before="240" w:after="100"/>
      </w:pPr>
      <w:r>
        <w:rPr>
          <w:rFonts w:ascii="Microsoft YaHei" w:hAnsi="Microsoft YaHei" w:eastAsia="Microsoft YaHei"/>
          <w:b/>
          <w:color w:val="253B85"/>
          <w:sz w:val="30"/>
        </w:rPr>
        <w:t>二、立项依据与研究意义</w:t>
      </w:r>
    </w:p>
    <w:p>
      <w:pPr>
        <w:spacing w:after="100" w:line="276" w:lineRule="auto"/>
      </w:pPr>
      <w:r>
        <w:rPr>
          <w:rFonts w:ascii="Microsoft YaHei" w:hAnsi="Microsoft YaHei" w:eastAsia="Microsoft YaHei"/>
          <w:b w:val="0"/>
          <w:sz w:val="21"/>
        </w:rPr>
        <w:t>钠资源储量丰富、成本低，钠离子电池被认为是面向大规模储能的重要技术路线。然而钠离子半径较大，嵌入/脱出过程中易引发层状材料结构畸变、体积膨胀和界面副反应，导致容量快速衰减。</w:t>
      </w:r>
    </w:p>
    <w:p>
      <w:pPr>
        <w:spacing w:after="100" w:line="276" w:lineRule="auto"/>
      </w:pPr>
      <w:r>
        <w:rPr>
          <w:rFonts w:ascii="Microsoft YaHei" w:hAnsi="Microsoft YaHei" w:eastAsia="Microsoft YaHei"/>
          <w:b w:val="0"/>
          <w:sz w:val="21"/>
        </w:rPr>
        <w:t>二维层状材料具有开放传输通道、可调层间距和丰富表面活性位点，是提升储钠动力学的潜在平台。但目前缺陷工程多停留在经验调控，缺陷浓度、局域电子结构与界面膜形成之间的作用规律尚不清晰，制约了材料理性设计。</w:t>
      </w:r>
    </w:p>
    <w:p>
      <w:pPr>
        <w:spacing w:before="240" w:after="100"/>
      </w:pPr>
      <w:r>
        <w:rPr>
          <w:rFonts w:ascii="Microsoft YaHei" w:hAnsi="Microsoft YaHei" w:eastAsia="Microsoft YaHei"/>
          <w:b/>
          <w:color w:val="253B85"/>
          <w:sz w:val="30"/>
        </w:rPr>
        <w:t>三、拟解决的关键科学问题</w:t>
      </w:r>
    </w:p>
    <w:p>
      <w:pPr>
        <w:spacing w:after="100" w:line="276" w:lineRule="auto"/>
      </w:pPr>
      <w:r>
        <w:rPr>
          <w:rFonts w:ascii="Microsoft YaHei" w:hAnsi="Microsoft YaHei" w:eastAsia="Microsoft YaHei"/>
          <w:b w:val="0"/>
          <w:sz w:val="21"/>
        </w:rPr>
        <w:t>科学问题一是缺陷活性与结构稳定性之间的矛盾。硫空位、边缘位点和异质原子掺杂能够提高二维材料的反应活性和钠离子吸附能力，但过高的缺陷浓度会诱发局部结构坍塌、不可逆副反应和循环过程中的活性位点失效。本项目拟建立缺陷浓度、局域电子结构和层状骨架稳定性之间的设计窗口。</w:t>
      </w:r>
    </w:p>
    <w:p>
      <w:pPr>
        <w:spacing w:after="100" w:line="276" w:lineRule="auto"/>
      </w:pPr>
      <w:r>
        <w:rPr>
          <w:rFonts w:ascii="Microsoft YaHei" w:hAnsi="Microsoft YaHei" w:eastAsia="Microsoft YaHei"/>
          <w:b w:val="0"/>
          <w:sz w:val="21"/>
        </w:rPr>
        <w:t>科学问题二是真实储钠位点和动态相变路径不清。钠离子嵌入/脱出过程中，二维层状硫化物可能同时发生层间距变化、相结构转变、表面赝电容反应和界面膜演化，常规充放电曲线难以区分各过程贡献。本项目拟结合原位XRD、原位拉曼和准原位XPS，追踪电化学过程中的结构演化。</w:t>
      </w:r>
    </w:p>
    <w:p>
      <w:pPr>
        <w:spacing w:after="100" w:line="276" w:lineRule="auto"/>
      </w:pPr>
      <w:r>
        <w:rPr>
          <w:rFonts w:ascii="Microsoft YaHei" w:hAnsi="Microsoft YaHei" w:eastAsia="Microsoft YaHei"/>
          <w:b w:val="0"/>
          <w:sz w:val="21"/>
        </w:rPr>
        <w:t>科学问题三是高比表面积二维材料带来的界面副反应。二维片层暴露了丰富活性表面，有利于提高动力学，但也会加剧电解液分解和SEI膜不稳定，影响首圈效率和长循环寿命。本项目拟通过导电碳包覆和人工界面层构筑，调控稳定SEI膜形成。</w:t>
      </w:r>
    </w:p>
    <w:p>
      <w:pPr>
        <w:spacing w:before="240" w:after="100"/>
      </w:pPr>
      <w:r>
        <w:rPr>
          <w:rFonts w:ascii="Microsoft YaHei" w:hAnsi="Microsoft YaHei" w:eastAsia="Microsoft YaHei"/>
          <w:b/>
          <w:color w:val="253B85"/>
          <w:sz w:val="30"/>
        </w:rPr>
        <w:t>四、研究内容与技术路线</w:t>
      </w:r>
    </w:p>
    <w:p>
      <w:pPr>
        <w:spacing w:before="100" w:after="60"/>
      </w:pPr>
      <w:r>
        <w:rPr>
          <w:rFonts w:ascii="Microsoft YaHei" w:hAnsi="Microsoft YaHei" w:eastAsia="Microsoft YaHei"/>
          <w:b/>
          <w:color w:val="C00000"/>
          <w:sz w:val="22"/>
        </w:rPr>
        <w:t>研究内容1：缺陷可控二维材料制备</w:t>
      </w:r>
    </w:p>
    <w:p>
      <w:pPr>
        <w:spacing w:after="100" w:line="276" w:lineRule="auto"/>
      </w:pPr>
      <w:r>
        <w:rPr>
          <w:rFonts w:ascii="Microsoft YaHei" w:hAnsi="Microsoft YaHei" w:eastAsia="Microsoft YaHei"/>
          <w:b w:val="0"/>
          <w:sz w:val="21"/>
        </w:rPr>
        <w:t>以MoS2、VS2等二维层状过渡金属硫化物为模型体系，通过化学气相转化、低温硫化和等离子体处理调控硫空位浓度、层间距和片层厚度。重点建立反应温度、硫源活度、处理时间与缺陷浓度之间的对应关系，形成可重复的二维缺陷材料库。</w:t>
      </w:r>
    </w:p>
    <w:p>
      <w:pPr>
        <w:spacing w:before="100" w:after="60"/>
      </w:pPr>
      <w:r>
        <w:rPr>
          <w:rFonts w:ascii="Microsoft YaHei" w:hAnsi="Microsoft YaHei" w:eastAsia="Microsoft YaHei"/>
          <w:b/>
          <w:color w:val="C00000"/>
          <w:sz w:val="22"/>
        </w:rPr>
        <w:t>研究内容2：储钠机制原位解析</w:t>
      </w:r>
    </w:p>
    <w:p>
      <w:pPr>
        <w:spacing w:after="100" w:line="276" w:lineRule="auto"/>
      </w:pPr>
      <w:r>
        <w:rPr>
          <w:rFonts w:ascii="Microsoft YaHei" w:hAnsi="Microsoft YaHei" w:eastAsia="Microsoft YaHei"/>
          <w:b w:val="0"/>
          <w:sz w:val="21"/>
        </w:rPr>
        <w:t>围绕钠离子嵌入/脱出过程中的相变、界面膜和离子扩散行为，开展原位XRD、原位拉曼、准原位XPS和电化学动力学分析。通过不同缺陷浓度样品的对比，明确主要储钠位点、相结构演化路径和扩散动力学参数。</w:t>
      </w:r>
    </w:p>
    <w:p>
      <w:pPr>
        <w:spacing w:before="100" w:after="60"/>
      </w:pPr>
      <w:r>
        <w:rPr>
          <w:rFonts w:ascii="Microsoft YaHei" w:hAnsi="Microsoft YaHei" w:eastAsia="Microsoft YaHei"/>
          <w:b/>
          <w:color w:val="C00000"/>
          <w:sz w:val="22"/>
        </w:rPr>
        <w:t>研究内容3：界面稳定化与性能提升</w:t>
      </w:r>
    </w:p>
    <w:p>
      <w:pPr>
        <w:spacing w:after="100" w:line="276" w:lineRule="auto"/>
      </w:pPr>
      <w:r>
        <w:rPr>
          <w:rFonts w:ascii="Microsoft YaHei" w:hAnsi="Microsoft YaHei" w:eastAsia="Microsoft YaHei"/>
          <w:b w:val="0"/>
          <w:sz w:val="21"/>
        </w:rPr>
        <w:t>在优化缺陷活性位点的基础上，构筑导电碳包覆和人工界面层，降低电解液副反应并改善电子/离子传输。目标是在保持高活性位点数量的同时提升循环稳定性，实现可逆容量大于350 mAh g-1、500圈循环容量保持率大于80%的二维储钠负极材料。</w:t>
      </w:r>
    </w:p>
    <w:p>
      <w:pPr>
        <w:spacing w:after="100" w:line="276" w:lineRule="auto"/>
      </w:pPr>
      <w:r>
        <w:rPr>
          <w:rFonts w:ascii="Microsoft YaHei" w:hAnsi="Microsoft YaHei" w:eastAsia="Microsoft YaHei"/>
          <w:b w:val="0"/>
          <w:sz w:val="21"/>
        </w:rPr>
        <w:t>总体路线为：二维材料可控制备 → 缺陷/层间结构表征 → 原位机制解析 → 界面稳定化设计 → 电池性能验证。</w:t>
      </w:r>
    </w:p>
    <w:p>
      <w:pPr>
        <w:spacing w:before="240" w:after="100"/>
      </w:pPr>
      <w:r>
        <w:rPr>
          <w:rFonts w:ascii="Microsoft YaHei" w:hAnsi="Microsoft YaHei" w:eastAsia="Microsoft YaHei"/>
          <w:b/>
          <w:color w:val="253B85"/>
          <w:sz w:val="30"/>
        </w:rPr>
        <w:t>五、创新点</w:t>
      </w:r>
    </w:p>
    <w:p>
      <w:pPr>
        <w:spacing w:after="80"/>
        <w:ind w:left="255" w:hanging="142"/>
      </w:pPr>
      <w:r>
        <w:rPr>
          <w:rFonts w:ascii="Microsoft YaHei" w:hAnsi="Microsoft YaHei" w:eastAsia="Microsoft YaHei"/>
          <w:b w:val="0"/>
          <w:sz w:val="21"/>
        </w:rPr>
        <w:t xml:space="preserve">• </w:t>
      </w:r>
      <w:r>
        <w:rPr>
          <w:rFonts w:ascii="Microsoft YaHei" w:hAnsi="Microsoft YaHei" w:eastAsia="Microsoft YaHei"/>
          <w:b w:val="0"/>
          <w:sz w:val="21"/>
        </w:rPr>
        <w:t>提出缺陷浓度与界面副反应协同约束的二维储钠材料设计方法，避免单纯追求高缺陷密度导致材料结构和界面稳定性下降。</w:t>
      </w:r>
    </w:p>
    <w:p>
      <w:pPr>
        <w:spacing w:after="80"/>
        <w:ind w:left="255" w:hanging="142"/>
      </w:pPr>
      <w:r>
        <w:rPr>
          <w:rFonts w:ascii="Microsoft YaHei" w:hAnsi="Microsoft YaHei" w:eastAsia="Microsoft YaHei"/>
          <w:b w:val="0"/>
          <w:sz w:val="21"/>
        </w:rPr>
        <w:t xml:space="preserve">• </w:t>
      </w:r>
      <w:r>
        <w:rPr>
          <w:rFonts w:ascii="Microsoft YaHei" w:hAnsi="Microsoft YaHei" w:eastAsia="Microsoft YaHei"/>
          <w:b w:val="0"/>
          <w:sz w:val="21"/>
        </w:rPr>
        <w:t>建立原位结构演化、局域电子状态和电化学性能之间的关联，明确二维层状材料在钠离子存储过程中的真实活性位点和相变路径。</w:t>
      </w:r>
    </w:p>
    <w:p>
      <w:pPr>
        <w:spacing w:after="80"/>
        <w:ind w:left="255" w:hanging="142"/>
      </w:pPr>
      <w:r>
        <w:rPr>
          <w:rFonts w:ascii="Microsoft YaHei" w:hAnsi="Microsoft YaHei" w:eastAsia="Microsoft YaHei"/>
          <w:b w:val="0"/>
          <w:sz w:val="21"/>
        </w:rPr>
        <w:t xml:space="preserve">• </w:t>
      </w:r>
      <w:r>
        <w:rPr>
          <w:rFonts w:ascii="Microsoft YaHei" w:hAnsi="Microsoft YaHei" w:eastAsia="Microsoft YaHei"/>
          <w:b w:val="0"/>
          <w:sz w:val="21"/>
        </w:rPr>
        <w:t>发展缺陷活性位点与人工界面层协同调控策略，在提高倍率性能的同时改善长循环稳定性。</w:t>
      </w:r>
    </w:p>
    <w:p>
      <w:pPr>
        <w:spacing w:before="240" w:after="100"/>
      </w:pPr>
      <w:r>
        <w:rPr>
          <w:rFonts w:ascii="Microsoft YaHei" w:hAnsi="Microsoft YaHei" w:eastAsia="Microsoft YaHei"/>
          <w:b/>
          <w:color w:val="253B85"/>
          <w:sz w:val="30"/>
        </w:rPr>
        <w:t>六、研究基础与可行性</w:t>
      </w:r>
    </w:p>
    <w:p>
      <w:pPr>
        <w:spacing w:after="100" w:line="276" w:lineRule="auto"/>
      </w:pPr>
      <w:r>
        <w:rPr>
          <w:rFonts w:ascii="Microsoft YaHei" w:hAnsi="Microsoft YaHei" w:eastAsia="Microsoft YaHei"/>
          <w:b w:val="0"/>
          <w:sz w:val="21"/>
        </w:rPr>
        <w:t>申请人长期从事二维能源材料和电化学储能研究，已掌握层状硫化物制备、缺陷表征和钠离子电池测试方法。近五年发表SCI论文7篇，其中第一作者论文4篇；申请发明专利2项。</w:t>
      </w:r>
    </w:p>
    <w:p>
      <w:pPr>
        <w:spacing w:after="100" w:line="276" w:lineRule="auto"/>
      </w:pPr>
      <w:r>
        <w:rPr>
          <w:rFonts w:ascii="Microsoft YaHei" w:hAnsi="Microsoft YaHei" w:eastAsia="Microsoft YaHei"/>
          <w:b w:val="0"/>
          <w:sz w:val="21"/>
        </w:rPr>
        <w:t>在材料制备方面，课题组已建立水热合成、CVD转化、低温硫化和等离子体处理流程，能够获得形貌均一的二维层状硫化物样品，并通过反应条件调节片层厚度和缺陷水平。在结构表征方面，已具备XRD、Raman、XPS、SEM/TEM和BET等测试条件，可对晶体结构、缺陷类型、界面膜组成和比表面积进行系统分析。在电化学测试方面，已搭建扣式电池组装、恒流充放电、CV、EIS和倍率性能测试平台，可支撑储钠性能评价和动力学分析。</w:t>
      </w:r>
    </w:p>
    <w:p>
      <w:pPr>
        <w:spacing w:before="240" w:after="100"/>
      </w:pPr>
      <w:r>
        <w:rPr>
          <w:rFonts w:ascii="Microsoft YaHei" w:hAnsi="Microsoft YaHei" w:eastAsia="Microsoft YaHei"/>
          <w:b/>
          <w:color w:val="253B85"/>
          <w:sz w:val="30"/>
        </w:rPr>
        <w:t>七、年度计划与预期成果</w:t>
      </w:r>
    </w:p>
    <w:p>
      <w:pPr>
        <w:spacing w:after="100" w:line="276" w:lineRule="auto"/>
      </w:pPr>
      <w:r>
        <w:rPr>
          <w:rFonts w:ascii="Microsoft YaHei" w:hAnsi="Microsoft YaHei" w:eastAsia="Microsoft YaHei"/>
          <w:b w:val="0"/>
          <w:sz w:val="21"/>
        </w:rPr>
        <w:t>第1年重点完成二维层状硫化物制备和缺陷调控参数筛选，建立可重复的材料制备流程和缺陷浓度表征方法，形成初步材料库，发表或投稿论文1篇并申请专利1项。</w:t>
      </w:r>
    </w:p>
    <w:p>
      <w:pPr>
        <w:spacing w:after="100" w:line="276" w:lineRule="auto"/>
      </w:pPr>
      <w:r>
        <w:rPr>
          <w:rFonts w:ascii="Microsoft YaHei" w:hAnsi="Microsoft YaHei" w:eastAsia="Microsoft YaHei"/>
          <w:b w:val="0"/>
          <w:sz w:val="21"/>
        </w:rPr>
        <w:t>第2年重点开展原位和准原位机制表征，解析不同缺陷浓度材料在充放电过程中的相变路径、储钠位点和界面膜演化，建立结构演化模型，投稿论文1-2篇。</w:t>
      </w:r>
    </w:p>
    <w:p>
      <w:pPr>
        <w:spacing w:after="100" w:line="276" w:lineRule="auto"/>
      </w:pPr>
      <w:r>
        <w:rPr>
          <w:rFonts w:ascii="Microsoft YaHei" w:hAnsi="Microsoft YaHei" w:eastAsia="Microsoft YaHei"/>
          <w:b w:val="0"/>
          <w:sz w:val="21"/>
        </w:rPr>
        <w:t>第3年重点完成界面稳定化设计和长循环电池验证，优化导电碳包覆、人工界面层和电解液体系，实现高容量长循环负极材料，发表论文2篇并申请专利1项。</w:t>
      </w:r>
    </w:p>
    <w:p>
      <w:pPr>
        <w:spacing w:after="100" w:line="276" w:lineRule="auto"/>
      </w:pPr>
      <w:r>
        <w:rPr>
          <w:rFonts w:ascii="Microsoft YaHei" w:hAnsi="Microsoft YaHei" w:eastAsia="Microsoft YaHei"/>
          <w:b w:val="0"/>
          <w:sz w:val="21"/>
        </w:rPr>
        <w:t>预期发表SCI论文3-4篇，申请发明专利2项，培养研究生2名，形成二维缺陷储钠材料的设计规则和可复现实验流程。</w:t>
      </w:r>
    </w:p>
    <w:p>
      <w:pPr>
        <w:spacing w:before="240" w:after="100"/>
      </w:pPr>
      <w:r>
        <w:rPr>
          <w:rFonts w:ascii="Microsoft YaHei" w:hAnsi="Microsoft YaHei" w:eastAsia="Microsoft YaHei"/>
          <w:b/>
          <w:color w:val="253B85"/>
          <w:sz w:val="30"/>
        </w:rPr>
        <w:t>八、经费预算与风险控制</w:t>
      </w:r>
    </w:p>
    <w:p>
      <w:pPr>
        <w:spacing w:after="100" w:line="276" w:lineRule="auto"/>
      </w:pPr>
      <w:r>
        <w:rPr>
          <w:rFonts w:ascii="Microsoft YaHei" w:hAnsi="Microsoft YaHei" w:eastAsia="Microsoft YaHei"/>
          <w:b w:val="0"/>
          <w:sz w:val="21"/>
        </w:rPr>
        <w:t>本项目经费申请总额为30万元，其中材料与试剂费约10万元，主要用于金属盐、硫源、碳材料、电解液、隔膜和钠片等耗材；测试化验费约8万元，主要用于XPS、TEM、原位XRD、原位拉曼和电化学测试；设备使用维护费约5万元，用于手套箱、电池测试系统、高温炉维护和公共平台机时；差旅、会议、出版及劳务等费用约7万元，用于学术交流、论文出版、研究助理补贴和样品加工。</w:t>
      </w:r>
    </w:p>
    <w:p>
      <w:pPr>
        <w:spacing w:after="100" w:line="276" w:lineRule="auto"/>
      </w:pPr>
      <w:r>
        <w:rPr>
          <w:rFonts w:ascii="Microsoft YaHei" w:hAnsi="Microsoft YaHei" w:eastAsia="Microsoft YaHei"/>
          <w:b w:val="0"/>
          <w:sz w:val="21"/>
        </w:rPr>
        <w:t>项目主要风险包括缺陷浓度难以精确控制、原位表征信号较弱以及循环稳定性不足。针对缺陷浓度波动，将采用化学硫化、等离子体处理和热处理等多种缺陷引入方法交叉验证，并结合XPS/EPR定量反馈；针对原位表征信号弱的问题，将结合准原位拆解、同位素标记和多技术交叉验证；针对循环稳定性不足的问题，将引入碳包覆、人工界面层和电解液添加剂进行界面优化。</w:t>
      </w:r>
    </w:p>
    <w:p>
      <w:pPr>
        <w:spacing w:before="240" w:after="100"/>
      </w:pPr>
      <w:r>
        <w:rPr>
          <w:rFonts w:ascii="Microsoft YaHei" w:hAnsi="Microsoft YaHei" w:eastAsia="Microsoft YaHei"/>
          <w:b/>
          <w:color w:val="253B85"/>
          <w:sz w:val="30"/>
        </w:rPr>
        <w:t>九、依托单位支撑条件</w:t>
      </w:r>
    </w:p>
    <w:p>
      <w:pPr>
        <w:spacing w:after="100" w:line="276" w:lineRule="auto"/>
      </w:pPr>
      <w:r>
        <w:rPr>
          <w:rFonts w:ascii="Microsoft YaHei" w:hAnsi="Microsoft YaHei" w:eastAsia="Microsoft YaHei"/>
          <w:b w:val="0"/>
          <w:sz w:val="21"/>
        </w:rPr>
        <w:t>依托单位建有材料合成、电化学储能和先进表征平台，可提供手套箱、电池测试系统、原位XRD、拉曼光谱、XPS和电子显微镜等条件。学院支持申请人组建储能材料研究小组，并提供研究生招生、公共平台机时和实验空间保障。</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