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Esquema de Presentación — Proyecto Final de Analítica de Datos</w:t>
      </w:r>
    </w:p>
    <w:p>
      <w:pPr>
        <w:jc w:val="center"/>
      </w:pPr>
      <w:r>
        <w:rPr>
          <w:i/>
          <w:sz w:val="24"/>
        </w:rPr>
        <w:t>Análisis de Readmisiones Hospitalarias, Recurrencia y Duración de Estancia en Pacientes Diabéticos</w:t>
      </w:r>
    </w:p>
    <w:p/>
    <w:p>
      <w:pPr>
        <w:jc w:val="center"/>
      </w:pPr>
      <w:r>
        <w:rPr>
          <w:b/>
        </w:rPr>
        <w:t>Universidad Iberoamericana, Ciudad de México</w:t>
        <w:br/>
      </w:r>
      <w:r>
        <w:t>Materia: Analítica de datos | Prof. Rodrigo Cárdenas Domínguez</w:t>
        <w:br/>
      </w:r>
      <w:r>
        <w:t>Hector Raul Becerril Villamil · Elena Carolina Sánchez Araiza</w:t>
        <w:br/>
      </w:r>
      <w:r>
        <w:t>Primavera 2026</w:t>
      </w:r>
    </w:p>
    <w:p/>
    <w:p>
      <w:r>
        <w:rPr>
          <w:i/>
        </w:rPr>
        <w:t>Este documento funciona como storyboard: seis diapositivas tipo consultoría, lo más directas que pudimos. Cada una trae título, bullets cortos para la diapositiva, sugerencia de imagen y un guión breve para que fluya la exposición oral. Total sugerido: 8–10 minutos.</w:t>
      </w:r>
    </w:p>
    <w:p>
      <w:r>
        <w:br w:type="page"/>
      </w:r>
    </w:p>
    <w:p>
      <w:pPr>
        <w:pStyle w:val="Heading1"/>
      </w:pPr>
      <w:r>
        <w:rPr>
          <w:color w:val="1F3A5F"/>
        </w:rPr>
        <w:t>Diapositiva 1 — Portada y contexto del problema</w:t>
      </w:r>
    </w:p>
    <w:p>
      <w:r>
        <w:rPr>
          <w:b/>
        </w:rPr>
        <w:t xml:space="preserve">Título sugerido: </w:t>
      </w:r>
      <w:r>
        <w:t>“Reducir readmisiones diabéticas: lo que los datos nos están diciendo”</w:t>
      </w:r>
    </w:p>
    <w:p>
      <w:r>
        <w:rPr>
          <w:b/>
        </w:rPr>
        <w:t>Bullets (máx. 4):</w:t>
      </w:r>
    </w:p>
    <w:p>
      <w:pPr>
        <w:pStyle w:val="ListBullet"/>
      </w:pPr>
      <w:r>
        <w:t>101,766 admisiones · 130 hospitales de EE.UU. · 1999–2008</w:t>
      </w:r>
    </w:p>
    <w:p>
      <w:pPr>
        <w:pStyle w:val="ListBullet"/>
      </w:pPr>
      <w:r>
        <w:t>Readmisión &lt;30 días impacta costo, calidad y reembolso Medicare</w:t>
      </w:r>
    </w:p>
    <w:p>
      <w:pPr>
        <w:pStyle w:val="ListBullet"/>
      </w:pPr>
      <w:r>
        <w:t>Pregunta: ¿qué pacientes regresan y por qué?</w:t>
      </w:r>
    </w:p>
    <w:p>
      <w:pPr>
        <w:pStyle w:val="ListBullet"/>
      </w:pPr>
      <w:r>
        <w:t>Enfoque: 3 modelos, 3 ángulos distintos</w:t>
      </w:r>
    </w:p>
    <w:p>
      <w:r>
        <w:rPr>
          <w:b/>
        </w:rPr>
        <w:t xml:space="preserve">Imagen sugerida: </w:t>
      </w:r>
      <w:r>
        <w:t>ilustración de hospital o stock de datos clínicos + logo Ibero (arriba-izquierda).</w:t>
      </w:r>
    </w:p>
    <w:p>
      <w:r>
        <w:rPr>
          <w:b/>
        </w:rPr>
        <w:t xml:space="preserve">Guión (≈ 45 s): </w:t>
      </w:r>
    </w:p>
    <w:p>
      <w:r>
        <w:t>Buenos días. Hoy les vamos a contar qué encontramos al analizar cien mil admisiones hospitalarias de pacientes diabéticos en 130 hospitales. El foco está en una cifra que le quita el sueño a los directores financieros: la tasa de readmisión a 30 días, porque Medicare multa a los hospitales que se pasan de cierto umbral. Nuestro reto fue entender quién regresa, por qué y cuánto se quedan cuando llegan.</w:t>
      </w:r>
    </w:p>
    <w:p>
      <w:r>
        <w:br w:type="page"/>
      </w:r>
    </w:p>
    <w:p>
      <w:pPr>
        <w:pStyle w:val="Heading1"/>
      </w:pPr>
      <w:r>
        <w:rPr>
          <w:color w:val="1F3A5F"/>
        </w:rPr>
        <w:t>Diapositiva 2 — Los datos y lo que tuvimos que arreglar</w:t>
      </w:r>
    </w:p>
    <w:p>
      <w:r>
        <w:rPr>
          <w:b/>
        </w:rPr>
        <w:t xml:space="preserve">Título sugerido: </w:t>
      </w:r>
      <w:r>
        <w:t>“Antes de modelar, limpiar: decisiones que cambian el análisis”</w:t>
      </w:r>
    </w:p>
    <w:p>
      <w:r>
        <w:rPr>
          <w:b/>
        </w:rPr>
        <w:t>Bullets:</w:t>
      </w:r>
    </w:p>
    <w:p>
      <w:pPr>
        <w:pStyle w:val="ListBullet"/>
      </w:pPr>
      <w:r>
        <w:t>Descartamos weight: 97% de valores faltantes (imputar sería inventar)</w:t>
      </w:r>
    </w:p>
    <w:p>
      <w:pPr>
        <w:pStyle w:val="ListBullet"/>
      </w:pPr>
      <w:r>
        <w:t>Un registro por paciente → evita dependencia intra-sujeto</w:t>
      </w:r>
    </w:p>
    <w:p>
      <w:pPr>
        <w:pStyle w:val="ListBullet"/>
      </w:pPr>
      <w:r>
        <w:t>Fuera fallecidos/hospicio: no pueden reingresar</w:t>
      </w:r>
    </w:p>
    <w:p>
      <w:pPr>
        <w:pStyle w:val="ListBullet"/>
      </w:pPr>
      <w:r>
        <w:t>Resultado: 69,970 pacientes únicos listos para análisis</w:t>
      </w:r>
    </w:p>
    <w:p>
      <w:r>
        <w:rPr>
          <w:b/>
        </w:rPr>
        <w:t xml:space="preserve">Imagen sugerida: </w:t>
      </w:r>
      <w:r>
        <w:t>diagrama de flujo horizontal (101,766 → 71,515 → 69,970) con íconos.</w:t>
      </w:r>
    </w:p>
    <w:p>
      <w:r>
        <w:rPr>
          <w:b/>
        </w:rPr>
        <w:t xml:space="preserve">Guión (≈ 60 s): </w:t>
      </w:r>
    </w:p>
    <w:p>
      <w:r>
        <w:t>Esta parte no es glamorosa pero es la que define todo lo demás. Nos encontramos tres bombas: una columna de peso que está vacía el 97% del tiempo, pacientes duplicados porque el mismo enfermo ingresa varias veces, y casos terminales que por definición no pueden reingresar. Cada decisión de limpieza está documentada en el notebook. Acabamos con casi setenta mil pacientes únicos — menos de lo que arrancamos, pero datos en los que podemos confiar.</w:t>
      </w:r>
    </w:p>
    <w:p>
      <w:r>
        <w:br w:type="page"/>
      </w:r>
    </w:p>
    <w:p>
      <w:pPr>
        <w:pStyle w:val="Heading1"/>
      </w:pPr>
      <w:r>
        <w:rPr>
          <w:color w:val="1F3A5F"/>
        </w:rPr>
        <w:t>Diapositiva 3 — Exploración: lo que las distribuciones nos avisaron</w:t>
      </w:r>
    </w:p>
    <w:p>
      <w:r>
        <w:rPr>
          <w:b/>
        </w:rPr>
        <w:t xml:space="preserve">Título sugerido: </w:t>
      </w:r>
      <w:r>
        <w:t>“La forma de los datos cuenta una historia”</w:t>
      </w:r>
    </w:p>
    <w:p>
      <w:r>
        <w:rPr>
          <w:b/>
        </w:rPr>
        <w:t>Bullets:</w:t>
      </w:r>
    </w:p>
    <w:p>
      <w:pPr>
        <w:pStyle w:val="ListBullet"/>
      </w:pPr>
      <w:r>
        <w:t>Tasa base de readmisión &lt;30 d: 8.97%</w:t>
      </w:r>
    </w:p>
    <w:p>
      <w:pPr>
        <w:pStyle w:val="ListBullet"/>
      </w:pPr>
      <w:r>
        <w:t>Estancia sesgada a la derecha (skew ≈ 1.18) → no-Normal, pista de Gamma</w:t>
      </w:r>
    </w:p>
    <w:p>
      <w:pPr>
        <w:pStyle w:val="ListBullet"/>
      </w:pPr>
      <w:r>
        <w:t>Ingresos previos con cola larguísima: var/media ≈ 2 (sobredispersión)</w:t>
      </w:r>
    </w:p>
    <w:p>
      <w:pPr>
        <w:pStyle w:val="ListBullet"/>
      </w:pPr>
      <w:r>
        <w:t>Diagnósticos de lesiones y circulatorios concentran reingresos</w:t>
      </w:r>
    </w:p>
    <w:p>
      <w:r>
        <w:rPr>
          <w:b/>
        </w:rPr>
        <w:t xml:space="preserve">Imagen sugerida: </w:t>
      </w:r>
      <w:r>
        <w:t>Fig. 1 del reporte (panel de 3 histogramas: estancia, ingresos previos log-y, readmit).</w:t>
      </w:r>
    </w:p>
    <w:p>
      <w:r>
        <w:rPr>
          <w:b/>
        </w:rPr>
        <w:t xml:space="preserve">Guión (≈ 75 s): </w:t>
      </w:r>
    </w:p>
    <w:p>
      <w:r>
        <w:t>Antes de entrenar nada, miramos las distribuciones. La estancia tiene forma de gamma clarísima — un pico temprano y una cola larga. Los ingresos previos tienen una cola aún más violenta, con varianza dos veces su media, lo que nos adelantó que una Poisson básica se iba a quedar corta. Y los reingresos se distribuyen de forma muy desigual entre categorías diagnósticas: lesiones y circulatorio concentran más de un 10% cada uno, contra 7% en respiratorio. Ese mapa exploratorio nos dio la elección de familia estadística para cada modelo.</w:t>
      </w:r>
    </w:p>
    <w:p>
      <w:r>
        <w:br w:type="page"/>
      </w:r>
    </w:p>
    <w:p>
      <w:pPr>
        <w:pStyle w:val="Heading1"/>
      </w:pPr>
      <w:r>
        <w:rPr>
          <w:color w:val="1F3A5F"/>
        </w:rPr>
        <w:t>Diapositiva 4 — Modelo 1: ¿quién se reingresa en 30 días?</w:t>
      </w:r>
    </w:p>
    <w:p>
      <w:r>
        <w:rPr>
          <w:b/>
        </w:rPr>
        <w:t xml:space="preserve">Título sugerido: </w:t>
      </w:r>
      <w:r>
        <w:t>“Lo más predictivo es lo que ya pasó antes”</w:t>
      </w:r>
    </w:p>
    <w:p>
      <w:r>
        <w:rPr>
          <w:b/>
        </w:rPr>
        <w:t>Bullets:</w:t>
      </w:r>
    </w:p>
    <w:p>
      <w:pPr>
        <w:pStyle w:val="ListBullet"/>
      </w:pPr>
      <w:r>
        <w:t>Regresión logística · AUC test = 0.608</w:t>
      </w:r>
    </w:p>
    <w:p>
      <w:pPr>
        <w:pStyle w:val="ListBullet"/>
      </w:pPr>
      <w:r>
        <w:t>OR más alto: cada ingreso previo multiplica las odds por 1.40</w:t>
      </w:r>
    </w:p>
    <w:p>
      <w:pPr>
        <w:pStyle w:val="ListBullet"/>
      </w:pPr>
      <w:r>
        <w:t>Visitas previas a urgencias: OR = 1.07 por visita</w:t>
      </w:r>
    </w:p>
    <w:p>
      <w:pPr>
        <w:pStyle w:val="ListBullet"/>
      </w:pPr>
      <w:r>
        <w:t>Medicación para diabetes: OR = 1.21 (marca severidad basal)</w:t>
      </w:r>
    </w:p>
    <w:p>
      <w:r>
        <w:rPr>
          <w:b/>
        </w:rPr>
        <w:t xml:space="preserve">Imagen sugerida: </w:t>
      </w:r>
      <w:r>
        <w:t>Fig. 4 del reporte (barras horizontales de OR − 1 por variable) junto a la curva ROC.</w:t>
      </w:r>
    </w:p>
    <w:p>
      <w:r>
        <w:rPr>
          <w:b/>
        </w:rPr>
        <w:t xml:space="preserve">Guión (≈ 75 s): </w:t>
      </w:r>
    </w:p>
    <w:p>
      <w:r>
        <w:t>El modelo logístico no es milagroso —AUC de 0.61— y eso hay que decirlo con honestidad: sin datos de laboratorio puntuales es difícil subir más, y la literatura coincide. Pero lo que sí nos dio son palancas clínicas clarísimas. Cada ingreso previo multiplica las odds de reingreso por 1.4. Cada visita a urgencias en el último año, por 1.07. Eso significa que el hospital ya tiene la información para identificar a sus pacientes de alto riesgo antes del alta — no necesita más datos, necesita actuar sobre los que ya tiene.</w:t>
      </w:r>
    </w:p>
    <w:p>
      <w:r>
        <w:br w:type="page"/>
      </w:r>
    </w:p>
    <w:p>
      <w:pPr>
        <w:pStyle w:val="Heading1"/>
      </w:pPr>
      <w:r>
        <w:rPr>
          <w:color w:val="1F3A5F"/>
        </w:rPr>
        <w:t>Diapositiva 5 — Modelos 2 y 3: recurrencia y estancia</w:t>
      </w:r>
    </w:p>
    <w:p>
      <w:r>
        <w:rPr>
          <w:b/>
        </w:rPr>
        <w:t xml:space="preserve">Título sugerido: </w:t>
      </w:r>
      <w:r>
        <w:t>“Poisson falla, Gamma ajusta: elegir bien la distribución importa”</w:t>
      </w:r>
    </w:p>
    <w:p>
      <w:r>
        <w:rPr>
          <w:b/>
        </w:rPr>
        <w:t>Bullets:</w:t>
      </w:r>
    </w:p>
    <w:p>
      <w:pPr>
        <w:pStyle w:val="ListBullet"/>
      </w:pPr>
      <w:r>
        <w:t>Recurrencia: Binomial Negativa supera a Poisson por ΔAIC ≈ 8,500</w:t>
      </w:r>
    </w:p>
    <w:p>
      <w:pPr>
        <w:pStyle w:val="ListBullet"/>
      </w:pPr>
      <w:r>
        <w:t>Urgencias previas: IRR = 1.74 por visita (fuerte y accionable)</w:t>
      </w:r>
    </w:p>
    <w:p>
      <w:pPr>
        <w:pStyle w:val="ListBullet"/>
      </w:pPr>
      <w:r>
        <w:t>Estancia: GLM Gamma log-link, pseudo R² = 0.28</w:t>
      </w:r>
    </w:p>
    <w:p>
      <w:pPr>
        <w:pStyle w:val="ListBullet"/>
      </w:pPr>
      <w:r>
        <w:t>Neoplasmas y diabetes como diag principal alargan estancia 25–30%</w:t>
      </w:r>
    </w:p>
    <w:p>
      <w:r>
        <w:rPr>
          <w:b/>
        </w:rPr>
        <w:t xml:space="preserve">Imagen sugerida: </w:t>
      </w:r>
      <w:r>
        <w:t>tabla comparativa Poisson vs NB (AIC/dispersión) + snippet del QQ plot Gamma.</w:t>
      </w:r>
    </w:p>
    <w:p>
      <w:r>
        <w:rPr>
          <w:b/>
        </w:rPr>
        <w:t xml:space="preserve">Guión (≈ 75 s): </w:t>
      </w:r>
    </w:p>
    <w:p>
      <w:r>
        <w:t>Para los ingresos previos probamos Poisson por default, pero la sobredispersión nos mandaba un mensaje claro — la binomial negativa redujo el AIC en más de ocho mil puntos. Ya con el modelo bueno, cada visita previa a urgencias multiplica la tasa esperada de ingresos por 1.74. Eso es oro para planificación. Para la estancia usamos una Gamma con enlace logarítmico, que es literalmente lo que las distribuciones nos estaban pidiendo. El modelo identifica que los pacientes con neoplasmas o complicaciones diabéticas se quedan entre 25 y 30% más tiempo — lo que impacta directamente la planeación de camas.</w:t>
      </w:r>
    </w:p>
    <w:p>
      <w:r>
        <w:br w:type="page"/>
      </w:r>
    </w:p>
    <w:p>
      <w:pPr>
        <w:pStyle w:val="Heading1"/>
      </w:pPr>
      <w:r>
        <w:rPr>
          <w:color w:val="1F3A5F"/>
        </w:rPr>
        <w:t>Diapositiva 6 — Recomendaciones y siguiente paso</w:t>
      </w:r>
    </w:p>
    <w:p>
      <w:r>
        <w:rPr>
          <w:b/>
        </w:rPr>
        <w:t xml:space="preserve">Título sugerido: </w:t>
      </w:r>
      <w:r>
        <w:t>“Tres movimientos que la dirección puede tomar el lunes”</w:t>
      </w:r>
    </w:p>
    <w:p>
      <w:r>
        <w:rPr>
          <w:b/>
        </w:rPr>
        <w:t>Bullets:</w:t>
      </w:r>
    </w:p>
    <w:p>
      <w:pPr>
        <w:pStyle w:val="ListBullet"/>
      </w:pPr>
      <w:r>
        <w:t>1. Piloto de transición de cuidados para pacientes con ≥1 ingreso previo y ≥1 visita a urgencias</w:t>
      </w:r>
    </w:p>
    <w:p>
      <w:pPr>
        <w:pStyle w:val="ListBullet"/>
      </w:pPr>
      <w:r>
        <w:t>2. Auditar registro de especialidad médica (la categoría “Desconocido” tiene doble tasa de ingresos)</w:t>
      </w:r>
    </w:p>
    <w:p>
      <w:pPr>
        <w:pStyle w:val="ListBullet"/>
      </w:pPr>
      <w:r>
        <w:t>3. Incorporar perfil diagnóstico en el modelo de planeación de camas</w:t>
      </w:r>
    </w:p>
    <w:p>
      <w:pPr>
        <w:pStyle w:val="ListBullet"/>
      </w:pPr>
      <w:r>
        <w:t>Limitación honesta: sin datos de laboratorio detallados, el AUC queda en 0.61</w:t>
      </w:r>
    </w:p>
    <w:p>
      <w:r>
        <w:rPr>
          <w:b/>
        </w:rPr>
        <w:t xml:space="preserve">Imagen sugerida: </w:t>
      </w:r>
      <w:r>
        <w:t>tres íconos grandes (teléfono de seguimiento / checklist / cama hospitalaria) + cierre visual.</w:t>
      </w:r>
    </w:p>
    <w:p>
      <w:r>
        <w:rPr>
          <w:b/>
        </w:rPr>
        <w:t xml:space="preserve">Guión (≈ 60 s): </w:t>
      </w:r>
    </w:p>
    <w:p>
      <w:r>
        <w:t>Tres recomendaciones, ordenadas de más a menos accionables. Primero: un piloto de llamada de seguimiento a 72 horas y cita ambulatoria a 7 días para los pacientes que los modelos señalan como alto riesgo. La literatura sugiere reducciones de hasta 25% con esta intervención. Segundo: auditar por qué la mitad de los pacientes no tiene especialidad médica registrada — suena a problema de flujo de datos más que clínico. Y tercero: usar el modelo de estancia para afinar planeación de camas. Gracias, quedamos para preguntas.</w:t>
      </w:r>
    </w:p>
    <w:p>
      <w:r>
        <w:br w:type="page"/>
      </w:r>
    </w:p>
    <w:p>
      <w:pPr>
        <w:pStyle w:val="Heading1"/>
      </w:pPr>
      <w:r>
        <w:rPr>
          <w:color w:val="1F3A5F"/>
        </w:rPr>
        <w:t>Notas prácticas de presentación</w:t>
      </w:r>
    </w:p>
    <w:p>
      <w:pPr>
        <w:pStyle w:val="ListBullet"/>
      </w:pPr>
      <w:r>
        <w:t>Duración objetivo: 8 a 10 minutos (incluye preguntas)</w:t>
      </w:r>
    </w:p>
    <w:p>
      <w:pPr>
        <w:pStyle w:val="ListBullet"/>
      </w:pPr>
      <w:r>
        <w:t>Palette sugerida: azul #3b6aa0 (datos), rojo #b03838 (riesgo), verde #6a9a4f (control)</w:t>
      </w:r>
    </w:p>
    <w:p>
      <w:pPr>
        <w:pStyle w:val="ListBullet"/>
      </w:pPr>
      <w:r>
        <w:t>Todas las gráficas del reporte están en /entregables/figuras/ y pueden pegarse directo</w:t>
      </w:r>
    </w:p>
    <w:p>
      <w:pPr>
        <w:pStyle w:val="ListBullet"/>
      </w:pPr>
      <w:r>
        <w:t>Si se pregunta por el AUC: reconocer la limitación y pivotear hacia los OR interpretables</w:t>
      </w:r>
    </w:p>
    <w:p>
      <w:pPr>
        <w:pStyle w:val="ListBullet"/>
      </w:pPr>
      <w:r>
        <w:t>Tener preparada respuesta a: “¿por qué no Random Forest?” → interpretabilidad clínica &gt; marginal de AUC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