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TFC Endpoint Management Policy</w:t>
      </w:r>
    </w:p>
    <w:p>
      <w:r>
        <w:t>Policy ID: TFC IT 01 | Version: 2.0 | Status: Proposed for management approval</w:t>
      </w:r>
    </w:p>
    <w:p>
      <w:r>
        <w:t>Policy owner: IT Manager | Approver: Executive Management</w:t>
        <w:br/>
        <w:t>Effective date: To be set upon approval | Review: At least annually</w:t>
      </w:r>
    </w:p>
    <w:p>
      <w:pPr>
        <w:pStyle w:val="Heading2"/>
      </w:pPr>
      <w:r>
        <w:t>1 Purpose</w:t>
      </w:r>
    </w:p>
    <w:p>
      <w:r>
        <w:t>TFC will manage endpoint devices throughout their life cycle to protect payment information, employee records, customer information, and restaurant operations. This policy states the commitments TFC will make. Supporting standards and procedures will explain how those commitments are carried out.</w:t>
      </w:r>
    </w:p>
    <w:p>
      <w:pPr>
        <w:pStyle w:val="Heading2"/>
      </w:pPr>
      <w:r>
        <w:t>2 Scope</w:t>
      </w:r>
    </w:p>
    <w:p>
      <w:r>
        <w:t>This policy covers devices that connect to TFC business networks or access TFC applications or information, regardless of ownership or location. It includes company devices and approved personal, partner, supplier, and contractor devices. Guest devices are limited to the isolated guest network and are subject to guest access terms.</w:t>
      </w:r>
    </w:p>
    <w:p>
      <w:pPr>
        <w:pStyle w:val="Heading2"/>
      </w:pPr>
      <w:r>
        <w:t>3 Roles and Responsibilities</w:t>
      </w:r>
    </w:p>
    <w:p>
      <w:r>
        <w:t>Responsibilities belong to positions and groups, rather than named individuals. People assigned to the following positions must read and acknowledge this policy when taking the role and after material revisions. The IT Manager will maintain the acknowledgment record.</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E7EBEF"/>
          </w:tcPr>
          <w:p>
            <w:pPr>
              <w:spacing w:after="80" w:before="80"/>
            </w:pPr>
            <w:r>
              <w:rPr>
                <w:b/>
                <w:sz w:val="20"/>
              </w:rPr>
              <w:t>Position or group</w:t>
            </w:r>
          </w:p>
        </w:tc>
        <w:tc>
          <w:tcPr>
            <w:tcW w:type="dxa" w:w="5040"/>
            <w:tcBorders>
              <w:top w:val="single" w:sz="4" w:color="D9D9D9"/>
              <w:left w:val="single" w:sz="4" w:color="D9D9D9"/>
              <w:bottom w:val="single" w:sz="4" w:color="D9D9D9"/>
              <w:right w:val="single" w:sz="4" w:color="D9D9D9"/>
            </w:tcBorders>
            <w:shd w:fill="E7EBEF"/>
          </w:tcPr>
          <w:p>
            <w:pPr>
              <w:spacing w:after="80" w:before="80"/>
            </w:pPr>
            <w:r>
              <w:rPr>
                <w:b/>
                <w:sz w:val="20"/>
              </w:rPr>
              <w:t>Accountability</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Executive Management</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Approve the policy and resources, oversee significant risks, and approve risk exceptions with the IT Manager.</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IT Manager</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Own the policy, maintain supporting standards, approve endpoint access, oversee compliance, and coordinate incident response.</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IT staff and service providers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Implement device management, protection, updates, monitoring, recovery, and secure retirement under IT Manager oversight.</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Restaurant and department managers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Identify business access needs, safeguard local equipment, report personnel or device changes, and coordinate maintenance.</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Compliance lead</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Determine applicable obligations, coordinate assessments, maintain evidence, and advise on vendor and notification requirements.</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HR and vendor relationship owners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20"/>
              </w:rPr>
              <w:t>Ensure required acceptable use acknowledgments and contract terms are completed before access; coordinate access removal and corrective action.</w:t>
            </w:r>
          </w:p>
        </w:tc>
      </w:tr>
    </w:tbl>
    <w:p>
      <w:r>
        <w:t>Users, partners, and contractors must follow applicable acceptable use rules and report lost devices or suspected security problems. Their individual obligations will be communicated through the Acceptable Use Policy and access agreements.</w:t>
      </w:r>
    </w:p>
    <w:p>
      <w:pPr>
        <w:pStyle w:val="Heading1"/>
        <w:pageBreakBefore/>
      </w:pPr>
      <w:r>
        <w:t>Endpoint Management Requirements</w:t>
      </w:r>
    </w:p>
    <w:p>
      <w:pPr>
        <w:pStyle w:val="Heading2"/>
      </w:pPr>
      <w:r>
        <w:t>4 Device Categories and Ownership</w:t>
      </w:r>
    </w:p>
    <w:p>
      <w:r>
        <w:t>IT will maintain an inventory of approved devices and software, including ownership, business purpose, location, support status, and the information accessed. The inventory will be updated as devices are acquired, changed, or retired. Controls will reflect device risk and payment-security scope.</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shd w:fill="E7EBEF"/>
          </w:tcPr>
          <w:p>
            <w:pPr>
              <w:spacing w:after="80" w:before="80"/>
            </w:pPr>
            <w:r>
              <w:rPr>
                <w:b/>
                <w:sz w:val="20"/>
              </w:rPr>
              <w:t>Category</w:t>
            </w:r>
          </w:p>
        </w:tc>
        <w:tc>
          <w:tcPr>
            <w:tcW w:type="dxa" w:w="3360"/>
            <w:tcBorders>
              <w:top w:val="single" w:sz="4" w:color="D9D9D9"/>
              <w:left w:val="single" w:sz="4" w:color="D9D9D9"/>
              <w:bottom w:val="single" w:sz="4" w:color="D9D9D9"/>
              <w:right w:val="single" w:sz="4" w:color="D9D9D9"/>
            </w:tcBorders>
            <w:shd w:fill="E7EBEF"/>
          </w:tcPr>
          <w:p>
            <w:pPr>
              <w:spacing w:after="80" w:before="80"/>
            </w:pPr>
            <w:r>
              <w:rPr>
                <w:b/>
                <w:sz w:val="20"/>
              </w:rPr>
              <w:t>Examples</w:t>
            </w:r>
          </w:p>
        </w:tc>
        <w:tc>
          <w:tcPr>
            <w:tcW w:type="dxa" w:w="3360"/>
            <w:tcBorders>
              <w:top w:val="single" w:sz="4" w:color="D9D9D9"/>
              <w:left w:val="single" w:sz="4" w:color="D9D9D9"/>
              <w:bottom w:val="single" w:sz="4" w:color="D9D9D9"/>
              <w:right w:val="single" w:sz="4" w:color="D9D9D9"/>
            </w:tcBorders>
            <w:shd w:fill="E7EBEF"/>
          </w:tcPr>
          <w:p>
            <w:pPr>
              <w:spacing w:after="80" w:before="80"/>
            </w:pPr>
            <w:r>
              <w:rPr>
                <w:b/>
                <w:sz w:val="20"/>
              </w:rPr>
              <w:t>Required approach</w:t>
            </w:r>
          </w:p>
        </w:tc>
      </w:tr>
      <w:tr>
        <w:trPr>
          <w:cantSplit/>
        </w:trPr>
        <w:tc>
          <w:tcPr>
            <w:tcW w:type="dxa" w:w="3360"/>
            <w:tcBorders>
              <w:top w:val="single" w:sz="4" w:color="D9D9D9"/>
              <w:left w:val="single" w:sz="4" w:color="D9D9D9"/>
              <w:bottom w:val="single" w:sz="4" w:color="D9D9D9"/>
              <w:right w:val="single" w:sz="4" w:color="D9D9D9"/>
            </w:tcBorders>
          </w:tcPr>
          <w:p>
            <w:pPr>
              <w:spacing w:after="80" w:before="80"/>
            </w:pPr>
            <w:r>
              <w:rPr>
                <w:b w:val="0"/>
                <w:sz w:val="20"/>
              </w:rPr>
              <w:t>Payment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POS terminals and card readers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Restricted applications, payment-network separation, and protection against tampering.</w:t>
            </w:r>
          </w:p>
        </w:tc>
      </w:tr>
      <w:tr>
        <w:trPr>
          <w:cantSplit/>
        </w:trPr>
        <w:tc>
          <w:tcPr>
            <w:tcW w:type="dxa" w:w="3360"/>
            <w:tcBorders>
              <w:top w:val="single" w:sz="4" w:color="D9D9D9"/>
              <w:left w:val="single" w:sz="4" w:color="D9D9D9"/>
              <w:bottom w:val="single" w:sz="4" w:color="D9D9D9"/>
              <w:right w:val="single" w:sz="4" w:color="D9D9D9"/>
            </w:tcBorders>
          </w:tcPr>
          <w:p>
            <w:pPr>
              <w:spacing w:after="80" w:before="80"/>
            </w:pPr>
            <w:r>
              <w:rPr>
                <w:b w:val="0"/>
                <w:sz w:val="20"/>
              </w:rPr>
              <w:t>Office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Desktops and laptops used for payroll, inventory, and email</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Managed configuration, access restrictions, and protection of business data.</w:t>
            </w:r>
          </w:p>
        </w:tc>
      </w:tr>
      <w:tr>
        <w:trPr>
          <w:cantSplit/>
        </w:trPr>
        <w:tc>
          <w:tcPr>
            <w:tcW w:type="dxa" w:w="3360"/>
            <w:tcBorders>
              <w:top w:val="single" w:sz="4" w:color="D9D9D9"/>
              <w:left w:val="single" w:sz="4" w:color="D9D9D9"/>
              <w:bottom w:val="single" w:sz="4" w:color="D9D9D9"/>
              <w:right w:val="single" w:sz="4" w:color="D9D9D9"/>
            </w:tcBorders>
          </w:tcPr>
          <w:p>
            <w:pPr>
              <w:spacing w:after="80" w:before="80"/>
            </w:pPr>
            <w:r>
              <w:rPr>
                <w:b w:val="0"/>
                <w:sz w:val="20"/>
              </w:rPr>
              <w:t>Company mobile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Phones, tablets, and handheld ordering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Central management and protection against loss or unauthorized access.</w:t>
            </w:r>
          </w:p>
        </w:tc>
      </w:tr>
      <w:tr>
        <w:trPr>
          <w:cantSplit/>
        </w:trPr>
        <w:tc>
          <w:tcPr>
            <w:tcW w:type="dxa" w:w="3360"/>
            <w:tcBorders>
              <w:top w:val="single" w:sz="4" w:color="D9D9D9"/>
              <w:left w:val="single" w:sz="4" w:color="D9D9D9"/>
              <w:bottom w:val="single" w:sz="4" w:color="D9D9D9"/>
              <w:right w:val="single" w:sz="4" w:color="D9D9D9"/>
            </w:tcBorders>
          </w:tcPr>
          <w:p>
            <w:pPr>
              <w:spacing w:after="80" w:before="80"/>
            </w:pPr>
            <w:r>
              <w:rPr>
                <w:b w:val="0"/>
                <w:sz w:val="20"/>
              </w:rPr>
              <w:t>Customer facing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Ordering kiosks and loyalty tablets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Restricted operating mode and separation from unrelated systems.</w:t>
            </w:r>
          </w:p>
        </w:tc>
      </w:tr>
      <w:tr>
        <w:trPr>
          <w:cantSplit/>
        </w:trPr>
        <w:tc>
          <w:tcPr>
            <w:tcW w:type="dxa" w:w="3360"/>
            <w:tcBorders>
              <w:top w:val="single" w:sz="4" w:color="D9D9D9"/>
              <w:left w:val="single" w:sz="4" w:color="D9D9D9"/>
              <w:bottom w:val="single" w:sz="4" w:color="D9D9D9"/>
              <w:right w:val="single" w:sz="4" w:color="D9D9D9"/>
            </w:tcBorders>
          </w:tcPr>
          <w:p>
            <w:pPr>
              <w:spacing w:after="80" w:before="80"/>
            </w:pPr>
            <w:r>
              <w:rPr>
                <w:b w:val="0"/>
                <w:sz w:val="20"/>
              </w:rPr>
              <w:t>IoT and specialized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Cameras, thermostats, sensors, and printers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Restricted connectivity and supported firmware.</w:t>
            </w:r>
          </w:p>
        </w:tc>
      </w:tr>
      <w:tr>
        <w:trPr>
          <w:cantSplit/>
        </w:trPr>
        <w:tc>
          <w:tcPr>
            <w:tcW w:type="dxa" w:w="3360"/>
            <w:tcBorders>
              <w:top w:val="single" w:sz="4" w:color="D9D9D9"/>
              <w:left w:val="single" w:sz="4" w:color="D9D9D9"/>
              <w:bottom w:val="single" w:sz="4" w:color="D9D9D9"/>
              <w:right w:val="single" w:sz="4" w:color="D9D9D9"/>
            </w:tcBorders>
          </w:tcPr>
          <w:p>
            <w:pPr>
              <w:spacing w:after="80" w:before="80"/>
            </w:pPr>
            <w:r>
              <w:rPr>
                <w:b w:val="0"/>
                <w:sz w:val="20"/>
              </w:rPr>
              <w:t>Personal and third party devices</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Approved employee, partner, supplier, or contractor equipment</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20"/>
              </w:rPr>
              <w:t>Approval and security checks before limited business access.</w:t>
            </w:r>
          </w:p>
        </w:tc>
      </w:tr>
    </w:tbl>
    <w:p>
      <w:r>
        <w:t>Ownership does not remove a device from scope. Devices that serve multiple purposes must meet the strictest applicable requirements.</w:t>
      </w:r>
    </w:p>
    <w:p>
      <w:pPr>
        <w:pStyle w:val="Heading2"/>
      </w:pPr>
      <w:r>
        <w:t>5 Access and Secure Configuration</w:t>
      </w:r>
    </w:p>
    <w:p>
      <w:r>
        <w:t>TFC will permit business access only from authorized devices and accounts. IT will apply approved security configurations and grant access based on job duties and business need. Administrative access will be separately controlled. Strong authentication, including MFA where required by risk or compliance obligations, will protect privileged and remote access.</w:t>
      </w:r>
    </w:p>
    <w:p>
      <w:r>
        <w:t>IT will separate payment, office, customer-facing, IoT, and guest environments as appropriate and permit only approved communication between them. Sensitive information will be protected through approved encryption, storage, and access controls.</w:t>
      </w:r>
    </w:p>
    <w:p>
      <w:pPr>
        <w:pStyle w:val="Heading2"/>
      </w:pPr>
      <w:r>
        <w:t>6 Maintenance and Endpoint Protection</w:t>
      </w:r>
    </w:p>
    <w:p>
      <w:r>
        <w:t>TFC will keep operating systems, applications, and firmware supported and updated according to risk and applicable obligations. The IT Manager will maintain a patching standard covering deadlines, testing, emergency changes, verification, and exceptions. Maintenance will be coordinated with restaurant operations without delaying required security action.</w:t>
      </w:r>
    </w:p>
    <w:p>
      <w:r>
        <w:t>IT will provide centrally managed malware protection and endpoint detection and response on supported devices. Where an agent cannot be installed, IT will document suitable alternative safeguards. Unsupported devices will be replaced, isolated, or covered by an approved temporary exception.</w:t>
      </w:r>
    </w:p>
    <w:p>
      <w:pPr>
        <w:pStyle w:val="Heading1"/>
        <w:pageBreakBefore/>
      </w:pPr>
      <w:r>
        <w:t>Access Response and Governance</w:t>
      </w:r>
    </w:p>
    <w:p>
      <w:pPr>
        <w:pStyle w:val="Heading2"/>
      </w:pPr>
      <w:r>
        <w:t>7 Remote Access and Personal Devices</w:t>
      </w:r>
    </w:p>
    <w:p>
      <w:r>
        <w:t>Remote access will use an approved secure connection, strong authentication, limited permissions, and appropriate monitoring. Third-party access will have a business sponsor, an authorized purpose, and an expiration or review requirement. IT will remove access when the need ends.</w:t>
      </w:r>
    </w:p>
    <w:p>
      <w:r>
        <w:t>Personal devices may use isolated guest Wi-Fi. Access to approved business applications requires IT authorization and compliance with the personal-device standard. Personal devices may not access payment systems or locally store payment or payroll information. Monitoring, enrollment, and removal of company data must be explained before business access is granted.</w:t>
      </w:r>
    </w:p>
    <w:p>
      <w:pPr>
        <w:pStyle w:val="Heading2"/>
      </w:pPr>
      <w:r>
        <w:t>8 Monitoring Incident Response and Recovery</w:t>
      </w:r>
    </w:p>
    <w:p>
      <w:r>
        <w:t>IT will monitor endpoint security, maintain protected logs, and investigate suspicious activity under the monitoring standard. Log retention and review requirements will meet payment-security, privacy, and contractual obligations. Monitoring will be limited to authorized business and security purposes.</w:t>
      </w:r>
    </w:p>
    <w:p>
      <w:r>
        <w:t>IT may restrict or isolate devices that present a security risk. The IT Manager will coordinate investigation, evidence preservation, recovery, and corrective actions under the Incident Response Plan. The compliance lead will coordinate notification decisions with Executive Management and appropriate advisers. Restaurant managers will use approved continuity arrangements during outages.</w:t>
      </w:r>
    </w:p>
    <w:p>
      <w:r>
        <w:t>IT will maintain protected backups and verify recovery capability according to business needs. Restaurant managers will safeguard local equipment and arrange payment-device inspections. IT will remove access and securely erase or dispose of devices at retirement.</w:t>
      </w:r>
    </w:p>
    <w:p>
      <w:pPr>
        <w:pStyle w:val="Heading2"/>
      </w:pPr>
      <w:r>
        <w:t>9 Communication and Acceptable Use</w:t>
      </w:r>
    </w:p>
    <w:p>
      <w:r>
        <w:t>HR, department managers, and vendor relationship owners will ensure users, partners, and contractors receive the requirements relevant to their access. The Acceptable Use Policy must be acknowledged before business-network access is granted. Contracts or access agreements must also communicate applicable third-party obligations. These groups do not need to read every technical requirement in this policy to understand their own responsibilities.</w:t>
      </w:r>
    </w:p>
    <w:p>
      <w:pPr>
        <w:pStyle w:val="Heading2"/>
      </w:pPr>
      <w:r>
        <w:t>10 Compliance and Proportionate Enforcement</w:t>
      </w:r>
    </w:p>
    <w:p>
      <w:r>
        <w:t>TFC will meet applicable PCI DSS, privacy, and contractual obligations. The compliance lead will determine scope and required validation. The IT Manager will report material control gaps to Executive Management and oversee correction.</w:t>
      </w:r>
    </w:p>
    <w:p>
      <w:r>
        <w:t>An unauthorized or noncompliant device may be disconnected until IT completes a review. Accidental or first-time violations will normally be addressed through correction, clarification, or training. HR and the relevant manager will determine any further action based on intent, severity, repetition, and established personnel rules. Third-party issues will be handled through the relationship owner and contract. This policy does not require automatic dismissal for connecting an unauthorized device.</w:t>
      </w:r>
    </w:p>
    <w:p>
      <w:pPr>
        <w:pStyle w:val="Heading2"/>
      </w:pPr>
      <w:r>
        <w:t>11 Exceptions Review and Supporting Documents</w:t>
      </w:r>
    </w:p>
    <w:p>
      <w:r>
        <w:t>Exceptions require documented approval by the IT Manager and Executive Management, a responsible position, alternative safeguards, and an expiration or review date. An exception cannot waive an external obligation. The IT Manager will review this policy at least annually and after significant changes or incidents.</w:t>
      </w:r>
    </w:p>
    <w:p>
      <w:r>
        <w:t>Supporting documents: Acceptable Use Policy; Endpoint Configuration Standard; Patch Management Standard; Personal Device and Remote Access Standard; Monitoring and Log Retention Standard; Incident Response Plan; Backup and Recovery Procedure; Device Retirement Procedure.</w:t>
      </w:r>
    </w:p>
    <w:p>
      <w:pPr>
        <w:pStyle w:val="Heading1"/>
        <w:pageBreakBefore/>
      </w:pPr>
      <w:r>
        <w:t>Recommendations and Reference Context</w:t>
      </w:r>
    </w:p>
    <w:p>
      <w:r>
        <w:t>This section explains the recommended improvements to the draft. It supports the class submission and is separate from the policy that management would approve.</w:t>
      </w:r>
    </w:p>
    <w:p>
      <w:pPr>
        <w:pStyle w:val="Heading2"/>
      </w:pPr>
      <w:r>
        <w:t>Recommended Improvements</w:t>
      </w:r>
    </w:p>
    <w:p>
      <w:pPr>
        <w:pStyle w:val="ListBullet"/>
      </w:pPr>
      <w:r>
        <w:t>Use position titles throughout the policy. Remove the requirement to assign personal names inside the policy, and keep current assignments and acknowledgment records separately. This avoids rewriting the policy after promotions or departures.</w:t>
      </w:r>
    </w:p>
    <w:p>
      <w:pPr>
        <w:pStyle w:val="ListBullet"/>
      </w:pPr>
      <w:r>
        <w:t>Keep the policy focused on company commitments. Move exact patch deadlines, lock timers, inspection steps, backup schedules, and inventory fields into standards or procedures that the IT Manager maintains.</w:t>
      </w:r>
    </w:p>
    <w:p>
      <w:pPr>
        <w:pStyle w:val="ListBullet"/>
      </w:pPr>
      <w:r>
        <w:t>Keep responsibilities near the beginning. State group duties simply, and make sure accountable positions read and acknowledge the policy.</w:t>
      </w:r>
    </w:p>
    <w:p>
      <w:pPr>
        <w:pStyle w:val="ListBullet"/>
      </w:pPr>
      <w:r>
        <w:t>Use the Acceptable Use Policy to communicate everyday rules to users, partners, and contractors. Require acknowledgment before business access and use contract terms where appropriate. Their devices still remain in endpoint-policy scope.</w:t>
      </w:r>
    </w:p>
    <w:p>
      <w:pPr>
        <w:pStyle w:val="ListBullet"/>
      </w:pPr>
      <w:r>
        <w:t>Apply proportionate enforcement. Disconnecting an unknown device protects the network; it should not automatically decide an employment outcome. Separate technical containment from HR or contractual action.</w:t>
      </w:r>
    </w:p>
    <w:p>
      <w:pPr>
        <w:pStyle w:val="ListBullet"/>
      </w:pPr>
      <w:r>
        <w:t>Obtain management approval before adoption. Management must agree to the resources, responsibilities, restrictions, and exception process. This remains a proposed policy until that approval is given.</w:t>
      </w:r>
    </w:p>
    <w:p>
      <w:pPr>
        <w:pStyle w:val="Heading2"/>
      </w:pPr>
      <w:r>
        <w:t>IBM Video Context</w:t>
      </w:r>
    </w:p>
    <w:p>
      <w:r>
        <w:t>Assigned video: IBM Technology, Cybersecurity Architecture: Endpoints Are the IT Front Door — Guard Them. https://www.youtube.com/watch?v=Njqid_JpqTs</w:t>
      </w:r>
    </w:p>
    <w:p>
      <w:r>
        <w:t>The video is included as the assigned endpoint-security context. Its transcript was not accessible during this revision, so no specific statement or quotation is attributed to it. IBM’s written unified endpoint management overview supports managing and protecting different device types consistently. For TFC, that supports keeping device ownership, visibility, and security oversight within one policy while tailoring controls to risk.</w:t>
      </w:r>
    </w:p>
    <w:p>
      <w:pPr>
        <w:pStyle w:val="Heading2"/>
      </w:pPr>
      <w:r>
        <w:t>Industry Format and References</w:t>
      </w:r>
    </w:p>
    <w:p>
      <w:r>
        <w:t>The revised policy uses purpose, scope, responsibilities, requirements, enforcement, exceptions, and review sections. It draws on the policy and acceptable-use resources below and adapts them to the TFC scenario. It does not claim that TFC has already adopted these commitments.</w:t>
      </w:r>
    </w:p>
    <w:p>
      <w:r>
        <w:t>IBM. What is Unified Endpoint Management. https://www.ibm.com/think/topics/uem</w:t>
      </w:r>
    </w:p>
    <w:p>
      <w:r>
        <w:t>SANS Institute. Cybersecurity Policies and Standards. https://www.sans.org/information-security-policy</w:t>
      </w:r>
    </w:p>
    <w:p>
      <w:r>
        <w:t>SANS Institute. Acceptable Use Standard. https://www.sans.org/information-security-policy/acceptable-use-standard</w:t>
      </w:r>
    </w:p>
    <w:p>
      <w:r>
        <w:t>PCI Security Standards Council. PCI DSS Requirements and Testing Procedures, Version 4.0.1. https://www.middlebury.edu/sites/default/files/2025-01/PCI-DSS-v4_0_1.pdf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TFC Endpoint Management Policy | Proposed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