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cluster</w:t>
      </w:r>
      <w:r>
        <w:t xml:space="preserve"> </w:t>
      </w:r>
      <w:r>
        <w:t xml:space="preserve">randomized</w:t>
      </w:r>
      <w:r>
        <w:t xml:space="preserve"> </w:t>
      </w:r>
      <w:r>
        <w:t xml:space="preserve">control</w:t>
      </w:r>
      <w:r>
        <w:t xml:space="preserve"> </w:t>
      </w:r>
      <w:r>
        <w:t xml:space="preserve">trials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0184e95e37f68b3c2e7cd60aaa4da242be80b8d"/>
    <w:p>
      <w:pPr>
        <w:pStyle w:val="Heading2"/>
      </w:pPr>
      <w:r>
        <w:rPr>
          <w:bCs/>
          <w:b/>
        </w:rPr>
        <w:t xml:space="preserve">Elementary School Project-Based Learning Program</w:t>
      </w:r>
    </w:p>
    <w:p>
      <w:pPr>
        <w:pStyle w:val="FirstParagraph"/>
      </w:pPr>
      <w:r>
        <w:t xml:space="preserve">Over the past five years, Dr. Wanda Smith and colleagues have been</w:t>
      </w:r>
      <w:r>
        <w:t xml:space="preserve"> </w:t>
      </w:r>
      <w:r>
        <w:t xml:space="preserve">working closely with Detroit public schools to develop an innovative,</w:t>
      </w:r>
      <w:r>
        <w:t xml:space="preserve"> </w:t>
      </w:r>
      <w:r>
        <w:t xml:space="preserve">hands-on science program for elementary school teachers and their</w:t>
      </w:r>
      <w:r>
        <w:t xml:space="preserve"> </w:t>
      </w:r>
      <w:r>
        <w:t xml:space="preserve">students. During this time, Dr. Smith has worked closely with teachers</w:t>
      </w:r>
      <w:r>
        <w:t xml:space="preserve"> </w:t>
      </w:r>
      <w:r>
        <w:t xml:space="preserve">in three elementary schools to develop and refine a professional</w:t>
      </w:r>
      <w:r>
        <w:t xml:space="preserve"> </w:t>
      </w:r>
      <w:r>
        <w:t xml:space="preserve">development program and science units focused on environmental science</w:t>
      </w:r>
      <w:r>
        <w:t xml:space="preserve"> </w:t>
      </w:r>
      <w:r>
        <w:t xml:space="preserve">and biology with children in grades 3-5. These units are hands-on and</w:t>
      </w:r>
      <w:r>
        <w:t xml:space="preserve"> </w:t>
      </w:r>
      <w:r>
        <w:t xml:space="preserve">project-based and focus not only on scientific knowledge but also on</w:t>
      </w:r>
      <w:r>
        <w:t xml:space="preserve"> </w:t>
      </w:r>
      <w:r>
        <w:t xml:space="preserve">centering students as scientists and observers in their communities.</w:t>
      </w:r>
      <w:r>
        <w:t xml:space="preserve"> </w:t>
      </w:r>
      <w:r>
        <w:t xml:space="preserve">Over time, the team has developed five science units, associated</w:t>
      </w:r>
      <w:r>
        <w:t xml:space="preserve"> </w:t>
      </w:r>
      <w:r>
        <w:t xml:space="preserve">activities, and teaching guidelines. Teachers are deeply engaged in this</w:t>
      </w:r>
      <w:r>
        <w:t xml:space="preserve"> </w:t>
      </w:r>
      <w:r>
        <w:t xml:space="preserve">work and observations in the classrooms suggest that students are,</w:t>
      </w:r>
      <w:r>
        <w:t xml:space="preserve"> </w:t>
      </w:r>
      <w:r>
        <w:t xml:space="preserve">indeed, making connections between science and their lives. Student</w:t>
      </w:r>
      <w:r>
        <w:t xml:space="preserve"> </w:t>
      </w:r>
      <w:r>
        <w:t xml:space="preserve">knowledge of science seems to have increased, as does student</w:t>
      </w:r>
      <w:r>
        <w:t xml:space="preserve"> </w:t>
      </w:r>
      <w:r>
        <w:t xml:space="preserve">motivation.</w:t>
      </w:r>
    </w:p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clustered-random-assignment"/>
    <w:p>
      <w:pPr>
        <w:pStyle w:val="Heading2"/>
      </w:pPr>
      <w:r>
        <w:t xml:space="preserve">Clustered Random Assignment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motivation. Researchers enroll schools in the</w:t>
      </w:r>
      <w:r>
        <w:t xml:space="preserve"> </w:t>
      </w:r>
      <w:r>
        <w:t xml:space="preserve">study during the summer and a portion of schools are randomized into the</w:t>
      </w:r>
      <w:r>
        <w:t xml:space="preserve"> </w:t>
      </w:r>
      <w:r>
        <w:t xml:space="preserve">program while the balance of schools are employed as control clusters.</w:t>
      </w:r>
      <w:r>
        <w:t xml:space="preserve"> </w:t>
      </w:r>
      <w:r>
        <w:t xml:space="preserve">Students who are enrolled into the study have their science learning</w:t>
      </w:r>
      <w:r>
        <w:t xml:space="preserve"> </w:t>
      </w:r>
      <w:r>
        <w:t xml:space="preserve">motivation measured with a well known validated scale. A set of schools</w:t>
      </w:r>
      <w:r>
        <w:t xml:space="preserve"> </w:t>
      </w:r>
      <w:r>
        <w:t xml:space="preserve">are recruited for the study from a variety of districts through a</w:t>
      </w:r>
      <w:r>
        <w:t xml:space="preserve"> </w:t>
      </w:r>
      <w:r>
        <w:t xml:space="preserve">professional development conference for state principals and district</w:t>
      </w:r>
      <w:r>
        <w:t xml:space="preserve"> </w:t>
      </w:r>
      <w:r>
        <w:t xml:space="preserve">membership is not considered in the design. For planning purposes,</w:t>
      </w:r>
      <w:r>
        <w:t xml:space="preserve"> </w:t>
      </w:r>
      <w:r>
        <w:t xml:space="preserve">researchers use a school-level intraclass correlation of .05 based on a</w:t>
      </w:r>
      <w:r>
        <w:t xml:space="preserve"> </w:t>
      </w:r>
      <w:r>
        <w:t xml:space="preserve">plan to match schools.</w:t>
      </w:r>
    </w:p>
    <w:p>
      <w:pPr>
        <w:pStyle w:val="BodyText"/>
      </w:pPr>
      <w:r>
        <w:t xml:space="preserve">The analysis will employ a two-level hierarchical linear model (students</w:t>
      </w:r>
      <w:r>
        <w:t xml:space="preserve"> </w:t>
      </w:r>
      <w:r>
        <w:t xml:space="preserve">nested within schools) with a random intercept to compare the averages</w:t>
      </w:r>
      <w:r>
        <w:t xml:space="preserve"> </w:t>
      </w:r>
      <w:r>
        <w:t xml:space="preserve">of the treatment and control students.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Clustered Random Assignment</w:t>
      </w:r>
      <w:r>
        <w:t xml:space="preserve"> </w:t>
      </w:r>
      <w:r>
        <w:t xml:space="preserve">study in</w:t>
      </w:r>
      <w:r>
        <w:t xml:space="preserve"> </w:t>
      </w:r>
      <w:r>
        <w:t xml:space="preserve">which 6 schools are in the treatment group and 6 schools are in the</w:t>
      </w:r>
      <w:r>
        <w:t xml:space="preserve"> </w:t>
      </w:r>
      <w:r>
        <w:t xml:space="preserve">control group, in each of which 20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bookmarkEnd w:id="23"/>
    <w:bookmarkStart w:id="24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The total sample in Question 1 is 240. A member of the study team claims</w:t>
      </w:r>
      <w:r>
        <w:t xml:space="preserve"> </w:t>
      </w:r>
      <w:r>
        <w:t xml:space="preserve">that a better study would use 5 schools in treatment and 5 schools in</w:t>
      </w:r>
      <w:r>
        <w:t xml:space="preserve"> </w:t>
      </w:r>
      <w:r>
        <w:t xml:space="preserve">control and 50 students in each school for a total sample of 500,</w:t>
      </w:r>
      <w:r>
        <w:t xml:space="preserve"> </w:t>
      </w:r>
      <w:r>
        <w:t xml:space="preserve">arguing that doubling the sample would vastly increase the sensitivity.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Clustered Random Assignment</w:t>
      </w:r>
      <w:r>
        <w:t xml:space="preserve"> </w:t>
      </w:r>
      <w:r>
        <w:t xml:space="preserve">study in</w:t>
      </w:r>
      <w:r>
        <w:t xml:space="preserve"> </w:t>
      </w:r>
      <w:r>
        <w:t xml:space="preserve">which 5 schools are in the treatment group and 5 schools are in the</w:t>
      </w:r>
      <w:r>
        <w:t xml:space="preserve"> </w:t>
      </w:r>
      <w:r>
        <w:t xml:space="preserve">control group, in each of which 50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p>
      <w:pPr>
        <w:pStyle w:val="BodyText"/>
      </w:pPr>
      <w:r>
        <w:t xml:space="preserve">Is this design much more sensitive?</w:t>
      </w:r>
    </w:p>
    <w:bookmarkEnd w:id="24"/>
    <w:bookmarkStart w:id="25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Another researcher claims that instead of doubling the sample, the same</w:t>
      </w:r>
      <w:r>
        <w:t xml:space="preserve"> </w:t>
      </w:r>
      <w:r>
        <w:t xml:space="preserve">resources can be used to pre-test the students in each school. Earlier</w:t>
      </w:r>
      <w:r>
        <w:t xml:space="preserve"> </w:t>
      </w:r>
      <w:r>
        <w:t xml:space="preserve">analyses of the motivation instrument show that correlation between</w:t>
      </w:r>
      <w:r>
        <w:t xml:space="preserve"> </w:t>
      </w:r>
      <w:r>
        <w:t xml:space="preserve">surveys is about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.9</m:t>
        </m:r>
      </m:oMath>
      <w:r>
        <w:t xml:space="preserve"> </w:t>
      </w:r>
      <w:r>
        <w:t xml:space="preserve">at the student level (for an R-square value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.81</m:t>
        </m:r>
      </m:oMath>
      <w:r>
        <w:t xml:space="preserve">) and about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.3</m:t>
        </m:r>
      </m:oMath>
      <w:r>
        <w:t xml:space="preserve"> </w:t>
      </w:r>
      <w:r>
        <w:t xml:space="preserve">at the school level (for an</w:t>
      </w:r>
      <w:r>
        <w:t xml:space="preserve"> </w:t>
      </w:r>
      <w:r>
        <w:t xml:space="preserve">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.09</m:t>
        </m:r>
      </m:oMath>
      <w:r>
        <w:t xml:space="preserve">).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Clustered Random Assignment</w:t>
      </w:r>
      <w:r>
        <w:t xml:space="preserve"> </w:t>
      </w:r>
      <w:r>
        <w:t xml:space="preserve">study in</w:t>
      </w:r>
      <w:r>
        <w:t xml:space="preserve"> </w:t>
      </w:r>
      <w:r>
        <w:t xml:space="preserve">which 6 schools are in the treatment group and 6 schools are in the</w:t>
      </w:r>
      <w:r>
        <w:t xml:space="preserve"> </w:t>
      </w:r>
      <w:r>
        <w:t xml:space="preserve">control group, in each of which 20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p>
      <w:pPr>
        <w:pStyle w:val="BodyText"/>
      </w:pPr>
      <w:r>
        <w:t xml:space="preserve">Assuming that the strategy for Question 2 is costs the same amount as</w:t>
      </w:r>
      <w:r>
        <w:t xml:space="preserve"> </w:t>
      </w:r>
      <w:r>
        <w:t xml:space="preserve">this strategy, which produces the more sensitive study?</w:t>
      </w:r>
    </w:p>
    <w:bookmarkEnd w:id="25"/>
    <w:bookmarkStart w:id="26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Another researcher claims that instead of using a pretest, the same</w:t>
      </w:r>
      <w:r>
        <w:t xml:space="preserve"> </w:t>
      </w:r>
      <w:r>
        <w:t xml:space="preserve">resources can be used to gather data in more comparison schools. Doing</w:t>
      </w:r>
      <w:r>
        <w:t xml:space="preserve"> </w:t>
      </w:r>
      <w:r>
        <w:t xml:space="preserve">so may increase the ICC to .1, but could yield 12 comparison schools in</w:t>
      </w:r>
      <w:r>
        <w:t xml:space="preserve"> </w:t>
      </w:r>
      <w:r>
        <w:t xml:space="preserve">total.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Clustered Random Assignment</w:t>
      </w:r>
      <w:r>
        <w:t xml:space="preserve"> </w:t>
      </w:r>
      <w:r>
        <w:t xml:space="preserve">study in</w:t>
      </w:r>
      <w:r>
        <w:t xml:space="preserve"> </w:t>
      </w:r>
      <w:r>
        <w:t xml:space="preserve">which 6 schools are in the treatment group and 12 schools are in the</w:t>
      </w:r>
      <w:r>
        <w:t xml:space="preserve"> </w:t>
      </w:r>
      <w:r>
        <w:t xml:space="preserve">control group, in each of which 20 students are surveyed for the</w:t>
      </w:r>
      <w:r>
        <w:t xml:space="preserve"> </w:t>
      </w:r>
      <w:r>
        <w:t xml:space="preserve">computation of the motivation scale, but with an ICC of .1, when power</w:t>
      </w:r>
      <w:r>
        <w:t xml:space="preserve"> </w:t>
      </w:r>
      <w:r>
        <w:t xml:space="preserve">is .8 for a test with a significance level of .05.</w:t>
      </w:r>
    </w:p>
    <w:p>
      <w:pPr>
        <w:pStyle w:val="BodyText"/>
      </w:pPr>
      <w:r>
        <w:t xml:space="preserve">Do you think this is a good idea?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Barron,B. J., Schwartz, D. L., Vye, N. J., Moore, A., Petrosino, A.,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Zech, L., &amp; Bransford, J. D. (1998). Doing with understanding: Lessons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research on problem-and project-based learning. </w:t>
        </w:r>
        <w:r>
          <w:rPr>
            <w:rStyle w:val="Hyperlink"/>
            <w:iCs/>
            <w:i/>
          </w:rPr>
          <w:t xml:space="preserve">Journal of the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learning sciences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7</w:t>
        </w:r>
        <w:r>
          <w:rPr>
            <w:rStyle w:val="Hyperlink"/>
          </w:rPr>
          <w:t xml:space="preserve">(3-4),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271-311.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-jstor-org.turing.library.northwestern.edu/stable/pdf/1466789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-jstor-org.turing.library.northwestern.edu/stable/pdf/146678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cluster randomized control trials</dc:title>
  <dc:creator/>
  <cp:keywords/>
  <dcterms:created xsi:type="dcterms:W3CDTF">2022-07-08T17:02:02Z</dcterms:created>
  <dcterms:modified xsi:type="dcterms:W3CDTF">2022-07-08T17:02:02Z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