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for</w:t>
      </w:r>
      <w:r>
        <w:t xml:space="preserve"> </w:t>
      </w:r>
      <w:r>
        <w:t xml:space="preserve">non-equivalent</w:t>
      </w:r>
      <w:r>
        <w:t xml:space="preserve"> </w:t>
      </w:r>
      <w:r>
        <w:t xml:space="preserve">control</w:t>
      </w:r>
      <w:r>
        <w:t xml:space="preserve"> </w:t>
      </w:r>
      <w:r>
        <w:t xml:space="preserve">groups</w:t>
      </w:r>
    </w:p>
    <w:bookmarkStart w:id="21" w:name="case-study"/>
    <w:p>
      <w:pPr>
        <w:pStyle w:val="Heading1"/>
      </w:pPr>
      <w:r>
        <w:t xml:space="preserve">Case Study</w:t>
      </w:r>
    </w:p>
    <w:bookmarkStart w:id="20" w:name="X1a5c8f279c856bbee8db2dd2ccb01f1ea02c940"/>
    <w:p>
      <w:pPr>
        <w:pStyle w:val="Heading2"/>
      </w:pPr>
      <w:r>
        <w:rPr>
          <w:bCs/>
          <w:b/>
        </w:rPr>
        <w:t xml:space="preserve">High School After-School Robotics Program</w:t>
      </w:r>
    </w:p>
    <w:p>
      <w:pPr>
        <w:pStyle w:val="FirstParagraph"/>
      </w:pPr>
      <w:r>
        <w:t xml:space="preserve">Dr. Carlos – a computer scientist – and his students have been running an after school outreach program focused on robotics at a nearby high school in Atlanta. This high school predominately serves Black students – which are underrepresented in computer science – and the students come from both middle-class and low-SES families. In order to be admitted to the program, which is free, students had to apply and be recommended by a teacher.</w:t>
      </w:r>
    </w:p>
    <w:p>
      <w:pPr>
        <w:pStyle w:val="BodyText"/>
      </w:pPr>
      <w:r>
        <w:t xml:space="preserve">Once admitted, students in the program meet once a week for 2 hours for 16 weeks. During the lessons, they learn to program and build robots to complete tasks and, at the end of the program, they take part in a mini</w:t>
      </w:r>
      <w:r>
        <w:t xml:space="preserve"> </w:t>
      </w:r>
      <w:r>
        <w:t xml:space="preserve">‘</w:t>
      </w:r>
      <w:r>
        <w:t xml:space="preserve">competition</w:t>
      </w:r>
      <w:r>
        <w:t xml:space="preserve">’</w:t>
      </w:r>
      <w:r>
        <w:t xml:space="preserve">. The research team has been excited to see how the students have responded to the program, including how this has affected their interest in computer science in general, as well as in studying a STEM related field in college. Teachers have reported that students in the program are more engaged in their science classes.</w:t>
      </w:r>
    </w:p>
    <w:bookmarkEnd w:id="20"/>
    <w:bookmarkEnd w:id="21"/>
    <w:bookmarkStart w:id="24" w:name="proposed-evaluation-design"/>
    <w:p>
      <w:pPr>
        <w:pStyle w:val="Heading1"/>
      </w:pPr>
      <w:r>
        <w:t xml:space="preserve">Proposed Evaluation Design</w:t>
      </w:r>
    </w:p>
    <w:bookmarkStart w:id="22" w:name="individual-self-selection"/>
    <w:p>
      <w:pPr>
        <w:pStyle w:val="Heading2"/>
      </w:pPr>
      <w:r>
        <w:t xml:space="preserve">Individual Self-Selection</w:t>
      </w:r>
    </w:p>
    <w:p>
      <w:pPr>
        <w:pStyle w:val="FirstParagraph"/>
      </w:pPr>
      <w:r>
        <w:t xml:space="preserve">Suppose researchers wish to evaluate the effectiveness of a similar program on student science motivation. Researchers post flyers throughout the schools advertising the program and asking for any interested student to sign up. After a period of time, 28 students who sign up are compared to the rest of the 72 students in the school who did not sign up using standardized state test scores for science.</w:t>
      </w:r>
    </w:p>
    <w:p>
      <w:pPr>
        <w:pStyle w:val="BodyText"/>
      </w:pPr>
      <w:r>
        <w:t xml:space="preserve">This</w:t>
      </w:r>
      <w:r>
        <w:t xml:space="preserve"> </w:t>
      </w:r>
      <w:r>
        <w:rPr>
          <w:rStyle w:val="VerbatimChar"/>
        </w:rPr>
        <w:t xml:space="preserve">science</w:t>
      </w:r>
      <w:r>
        <w:t xml:space="preserve"> </w:t>
      </w:r>
      <w:r>
        <w:t xml:space="preserve">test’s scores ranged from 40 to 78 and had a pooled standard deviation of 6.758. The mean of the treatment group was 65.357 and was 56.472 for the comparison group. Data on each student’s previous year’s</w:t>
      </w:r>
      <w:r>
        <w:t xml:space="preserve"> </w:t>
      </w:r>
      <w:r>
        <w:rPr>
          <w:rStyle w:val="VerbatimChar"/>
        </w:rPr>
        <w:t xml:space="preserve">math</w:t>
      </w:r>
      <w:r>
        <w:t xml:space="preserve"> </w:t>
      </w:r>
      <w:r>
        <w:t xml:space="preserve">test, whether they are member of a</w:t>
      </w:r>
      <w:r>
        <w:t xml:space="preserve"> </w:t>
      </w:r>
      <w:r>
        <w:rPr>
          <w:rStyle w:val="VerbatimChar"/>
        </w:rPr>
        <w:t xml:space="preserve">nonwhite</w:t>
      </w:r>
      <w:r>
        <w:t xml:space="preserve"> </w:t>
      </w:r>
      <w:r>
        <w:t xml:space="preserve">minority group, and have low</w:t>
      </w:r>
      <w:r>
        <w:t xml:space="preserve"> </w:t>
      </w:r>
      <w:r>
        <w:rPr>
          <w:rStyle w:val="VerbatimChar"/>
        </w:rPr>
        <w:t xml:space="preserve">ses</w:t>
      </w:r>
      <w:r>
        <w:t xml:space="preserve"> </w:t>
      </w:r>
      <w:r>
        <w:t xml:space="preserve">are also available.</w:t>
      </w:r>
    </w:p>
    <w:bookmarkEnd w:id="22"/>
    <w:bookmarkStart w:id="23" w:name="summary-statistics"/>
    <w:p>
      <w:pPr>
        <w:pStyle w:val="Heading2"/>
      </w:pPr>
      <w:r>
        <w:t xml:space="preserve">Summary Statistics</w:t>
      </w:r>
    </w:p>
    <w:p>
      <w:pPr>
        <w:pStyle w:val="FirstParagraph"/>
      </w:pPr>
      <w:r>
        <w:t xml:space="preserve">Below are the means of these variables</w:t>
      </w:r>
    </w:p>
    <w:p>
      <w:pPr>
        <w:pStyle w:val="TableCaption"/>
      </w:pPr>
      <w:r>
        <w:t xml:space="preserve">Means of observed variables by treatment group</w:t>
      </w:r>
    </w:p>
    <w:tbl>
      <w:tblPr>
        <w:tblStyle w:val="Table"/>
        <w:tblW w:type="auto" w:w="0"/>
        <w:tblLook w:firstRow="1" w:lastRow="0" w:firstColumn="0" w:lastColumn="0" w:noHBand="0" w:noVBand="0" w:val="0020"/>
        <w:tblCaption w:val="Means of observed variables by treatment group"/>
      </w:tblPr>
      <w:tblGrid>
        <w:gridCol w:w="1980"/>
        <w:gridCol w:w="1980"/>
        <w:gridCol w:w="1980"/>
        <w:gridCol w:w="1980"/>
      </w:tblGrid>
      <w:tr>
        <w:trPr>
          <w:tblHeader w:val="true"/>
        </w:trPr>
        <w:tc>
          <w:tcPr/>
          <w:p>
            <w:pPr>
              <w:pStyle w:val="Compact"/>
            </w:pPr>
          </w:p>
        </w:tc>
        <w:tc>
          <w:tcPr/>
          <w:p>
            <w:pPr>
              <w:pStyle w:val="Compact"/>
              <w:jc w:val="right"/>
            </w:pPr>
            <w:r>
              <w:t xml:space="preserve">All</w:t>
            </w:r>
          </w:p>
        </w:tc>
        <w:tc>
          <w:tcPr/>
          <w:p>
            <w:pPr>
              <w:pStyle w:val="Compact"/>
              <w:jc w:val="right"/>
            </w:pPr>
            <w:r>
              <w:t xml:space="preserve">Treatment</w:t>
            </w:r>
          </w:p>
        </w:tc>
        <w:tc>
          <w:tcPr/>
          <w:p>
            <w:pPr>
              <w:pStyle w:val="Compact"/>
              <w:jc w:val="right"/>
            </w:pPr>
            <w:r>
              <w:t xml:space="preserve">Comparison</w:t>
            </w:r>
          </w:p>
        </w:tc>
      </w:tr>
      <w:tr>
        <w:tc>
          <w:tcPr/>
          <w:p>
            <w:pPr>
              <w:pStyle w:val="Compact"/>
              <w:jc w:val="left"/>
            </w:pPr>
            <w:r>
              <w:t xml:space="preserve">nonwhite</w:t>
            </w:r>
          </w:p>
        </w:tc>
        <w:tc>
          <w:tcPr/>
          <w:p>
            <w:pPr>
              <w:pStyle w:val="Compact"/>
              <w:jc w:val="right"/>
            </w:pPr>
            <w:r>
              <w:t xml:space="preserve">0.14</w:t>
            </w:r>
          </w:p>
        </w:tc>
        <w:tc>
          <w:tcPr/>
          <w:p>
            <w:pPr>
              <w:pStyle w:val="Compact"/>
              <w:jc w:val="right"/>
            </w:pPr>
            <w:r>
              <w:t xml:space="preserve">0.107</w:t>
            </w:r>
          </w:p>
        </w:tc>
        <w:tc>
          <w:tcPr/>
          <w:p>
            <w:pPr>
              <w:pStyle w:val="Compact"/>
              <w:jc w:val="right"/>
            </w:pPr>
            <w:r>
              <w:t xml:space="preserve">0.153</w:t>
            </w:r>
          </w:p>
        </w:tc>
      </w:tr>
      <w:tr>
        <w:tc>
          <w:tcPr/>
          <w:p>
            <w:pPr>
              <w:pStyle w:val="Compact"/>
              <w:jc w:val="left"/>
            </w:pPr>
            <w:r>
              <w:t xml:space="preserve">ses</w:t>
            </w:r>
          </w:p>
        </w:tc>
        <w:tc>
          <w:tcPr/>
          <w:p>
            <w:pPr>
              <w:pStyle w:val="Compact"/>
              <w:jc w:val="right"/>
            </w:pPr>
            <w:r>
              <w:t xml:space="preserve">0.13</w:t>
            </w:r>
          </w:p>
        </w:tc>
        <w:tc>
          <w:tcPr/>
          <w:p>
            <w:pPr>
              <w:pStyle w:val="Compact"/>
              <w:jc w:val="right"/>
            </w:pPr>
            <w:r>
              <w:t xml:space="preserve">0.107</w:t>
            </w:r>
          </w:p>
        </w:tc>
        <w:tc>
          <w:tcPr/>
          <w:p>
            <w:pPr>
              <w:pStyle w:val="Compact"/>
              <w:jc w:val="right"/>
            </w:pPr>
            <w:r>
              <w:t xml:space="preserve">0.139</w:t>
            </w:r>
          </w:p>
        </w:tc>
      </w:tr>
      <w:tr>
        <w:tc>
          <w:tcPr/>
          <w:p>
            <w:pPr>
              <w:pStyle w:val="Compact"/>
              <w:jc w:val="left"/>
            </w:pPr>
            <w:r>
              <w:t xml:space="preserve">math</w:t>
            </w:r>
          </w:p>
        </w:tc>
        <w:tc>
          <w:tcPr/>
          <w:p>
            <w:pPr>
              <w:pStyle w:val="Compact"/>
              <w:jc w:val="right"/>
            </w:pPr>
            <w:r>
              <w:t xml:space="preserve">54.29</w:t>
            </w:r>
          </w:p>
        </w:tc>
        <w:tc>
          <w:tcPr/>
          <w:p>
            <w:pPr>
              <w:pStyle w:val="Compact"/>
              <w:jc w:val="right"/>
            </w:pPr>
            <w:r>
              <w:t xml:space="preserve">59.000</w:t>
            </w:r>
          </w:p>
        </w:tc>
        <w:tc>
          <w:tcPr/>
          <w:p>
            <w:pPr>
              <w:pStyle w:val="Compact"/>
              <w:jc w:val="right"/>
            </w:pPr>
            <w:r>
              <w:t xml:space="preserve">52.458</w:t>
            </w:r>
          </w:p>
        </w:tc>
      </w:tr>
      <w:tr>
        <w:tc>
          <w:tcPr/>
          <w:p>
            <w:pPr>
              <w:pStyle w:val="Compact"/>
              <w:jc w:val="left"/>
            </w:pPr>
            <w:r>
              <w:t xml:space="preserve">science</w:t>
            </w:r>
          </w:p>
        </w:tc>
        <w:tc>
          <w:tcPr/>
          <w:p>
            <w:pPr>
              <w:pStyle w:val="Compact"/>
              <w:jc w:val="right"/>
            </w:pPr>
            <w:r>
              <w:t xml:space="preserve">58.96</w:t>
            </w:r>
          </w:p>
        </w:tc>
        <w:tc>
          <w:tcPr/>
          <w:p>
            <w:pPr>
              <w:pStyle w:val="Compact"/>
              <w:jc w:val="right"/>
            </w:pPr>
            <w:r>
              <w:t xml:space="preserve">65.357</w:t>
            </w:r>
          </w:p>
        </w:tc>
        <w:tc>
          <w:tcPr/>
          <w:p>
            <w:pPr>
              <w:pStyle w:val="Compact"/>
              <w:jc w:val="right"/>
            </w:pPr>
            <w:r>
              <w:t xml:space="preserve">56.472</w:t>
            </w:r>
          </w:p>
        </w:tc>
      </w:tr>
      <w:tr>
        <w:tc>
          <w:tcPr/>
          <w:p>
            <w:pPr>
              <w:pStyle w:val="Compact"/>
              <w:jc w:val="left"/>
            </w:pPr>
            <w:r>
              <w:t xml:space="preserve">treat</w:t>
            </w:r>
          </w:p>
        </w:tc>
        <w:tc>
          <w:tcPr/>
          <w:p>
            <w:pPr>
              <w:pStyle w:val="Compact"/>
              <w:jc w:val="right"/>
            </w:pPr>
            <w:r>
              <w:t xml:space="preserve">0.28</w:t>
            </w:r>
          </w:p>
        </w:tc>
        <w:tc>
          <w:tcPr/>
          <w:p>
            <w:pPr>
              <w:pStyle w:val="Compact"/>
              <w:jc w:val="right"/>
            </w:pPr>
            <w:r>
              <w:t xml:space="preserve">1.000</w:t>
            </w:r>
          </w:p>
        </w:tc>
        <w:tc>
          <w:tcPr/>
          <w:p>
            <w:pPr>
              <w:pStyle w:val="Compact"/>
              <w:jc w:val="right"/>
            </w:pPr>
            <w:r>
              <w:t xml:space="preserve">0.000</w:t>
            </w:r>
          </w:p>
        </w:tc>
      </w:tr>
    </w:tbl>
    <w:p>
      <w:pPr>
        <w:pStyle w:val="BodyText"/>
      </w:pPr>
      <w:r>
        <w:t xml:space="preserve">Below are the standard deviations of the test scores</w:t>
      </w:r>
    </w:p>
    <w:p>
      <w:pPr>
        <w:pStyle w:val="TableCaption"/>
      </w:pPr>
      <w:r>
        <w:t xml:space="preserve">Standard deviations of observed variables by treatment group</w:t>
      </w:r>
    </w:p>
    <w:tbl>
      <w:tblPr>
        <w:tblStyle w:val="Table"/>
        <w:tblW w:type="auto" w:w="0"/>
        <w:tblLook w:firstRow="1" w:lastRow="0" w:firstColumn="0" w:lastColumn="0" w:noHBand="0" w:noVBand="0" w:val="0020"/>
        <w:tblCaption w:val="Standard deviations of observed variables by treatment group"/>
      </w:tblPr>
      <w:tblGrid>
        <w:gridCol w:w="1980"/>
        <w:gridCol w:w="1980"/>
        <w:gridCol w:w="1980"/>
        <w:gridCol w:w="1980"/>
      </w:tblGrid>
      <w:tr>
        <w:trPr>
          <w:tblHeader w:val="true"/>
        </w:trPr>
        <w:tc>
          <w:tcPr/>
          <w:p>
            <w:pPr>
              <w:pStyle w:val="Compact"/>
            </w:pPr>
          </w:p>
        </w:tc>
        <w:tc>
          <w:tcPr/>
          <w:p>
            <w:pPr>
              <w:pStyle w:val="Compact"/>
              <w:jc w:val="right"/>
            </w:pPr>
            <w:r>
              <w:t xml:space="preserve">All</w:t>
            </w:r>
          </w:p>
        </w:tc>
        <w:tc>
          <w:tcPr/>
          <w:p>
            <w:pPr>
              <w:pStyle w:val="Compact"/>
              <w:jc w:val="right"/>
            </w:pPr>
            <w:r>
              <w:t xml:space="preserve">Treatment</w:t>
            </w:r>
          </w:p>
        </w:tc>
        <w:tc>
          <w:tcPr/>
          <w:p>
            <w:pPr>
              <w:pStyle w:val="Compact"/>
              <w:jc w:val="right"/>
            </w:pPr>
            <w:r>
              <w:t xml:space="preserve">Comparison</w:t>
            </w:r>
          </w:p>
        </w:tc>
      </w:tr>
      <w:tr>
        <w:tc>
          <w:tcPr/>
          <w:p>
            <w:pPr>
              <w:pStyle w:val="Compact"/>
              <w:jc w:val="left"/>
            </w:pPr>
            <w:r>
              <w:t xml:space="preserve">math</w:t>
            </w:r>
          </w:p>
        </w:tc>
        <w:tc>
          <w:tcPr/>
          <w:p>
            <w:pPr>
              <w:pStyle w:val="Compact"/>
              <w:jc w:val="right"/>
            </w:pPr>
            <w:r>
              <w:t xml:space="preserve">5.900</w:t>
            </w:r>
          </w:p>
        </w:tc>
        <w:tc>
          <w:tcPr/>
          <w:p>
            <w:pPr>
              <w:pStyle w:val="Compact"/>
              <w:jc w:val="right"/>
            </w:pPr>
            <w:r>
              <w:t xml:space="preserve">5.178</w:t>
            </w:r>
          </w:p>
        </w:tc>
        <w:tc>
          <w:tcPr/>
          <w:p>
            <w:pPr>
              <w:pStyle w:val="Compact"/>
              <w:jc w:val="right"/>
            </w:pPr>
            <w:r>
              <w:t xml:space="preserve">5.118</w:t>
            </w:r>
          </w:p>
        </w:tc>
      </w:tr>
      <w:tr>
        <w:tc>
          <w:tcPr/>
          <w:p>
            <w:pPr>
              <w:pStyle w:val="Compact"/>
              <w:jc w:val="left"/>
            </w:pPr>
            <w:r>
              <w:t xml:space="preserve">science</w:t>
            </w:r>
          </w:p>
        </w:tc>
        <w:tc>
          <w:tcPr/>
          <w:p>
            <w:pPr>
              <w:pStyle w:val="Compact"/>
              <w:jc w:val="right"/>
            </w:pPr>
            <w:r>
              <w:t xml:space="preserve">7.773</w:t>
            </w:r>
          </w:p>
        </w:tc>
        <w:tc>
          <w:tcPr/>
          <w:p>
            <w:pPr>
              <w:pStyle w:val="Compact"/>
              <w:jc w:val="right"/>
            </w:pPr>
            <w:r>
              <w:t xml:space="preserve">6.160</w:t>
            </w:r>
          </w:p>
        </w:tc>
        <w:tc>
          <w:tcPr/>
          <w:p>
            <w:pPr>
              <w:pStyle w:val="Compact"/>
              <w:jc w:val="right"/>
            </w:pPr>
            <w:r>
              <w:t xml:space="preserve">6.885</w:t>
            </w:r>
          </w:p>
        </w:tc>
      </w:tr>
    </w:tbl>
    <w:p>
      <w:pPr>
        <w:pStyle w:val="BodyText"/>
      </w:pPr>
      <w:r>
        <w:t xml:space="preserve">The final results are based on a simple regression model which modeled the end of year science test as a function of exposure to the program (</w:t>
      </w:r>
      <w:r>
        <w:rPr>
          <w:rStyle w:val="VerbatimChar"/>
        </w:rPr>
        <w:t xml:space="preserve">treat</w:t>
      </w:r>
      <w:r>
        <w:t xml:space="preserve">) and the other covariates.</w:t>
      </w:r>
    </w:p>
    <w:p>
      <w:pPr>
        <w:pStyle w:val="TableCaption"/>
      </w:pPr>
      <w:r>
        <w:t xml:space="preserve">Regression coefficients predicting standardized science scores (with covariates)</w:t>
      </w:r>
    </w:p>
    <w:tbl>
      <w:tblPr>
        <w:tblStyle w:val="Table"/>
        <w:tblW w:type="auto" w:w="0"/>
        <w:tblLook w:firstRow="1" w:lastRow="0" w:firstColumn="0" w:lastColumn="0" w:noHBand="0" w:noVBand="0" w:val="0020"/>
        <w:tblCaption w:val="Regression coefficients predicting standardized science scores (with covariates)"/>
      </w:tblPr>
      <w:tblGrid>
        <w:gridCol w:w="1584"/>
        <w:gridCol w:w="1584"/>
        <w:gridCol w:w="1584"/>
        <w:gridCol w:w="1584"/>
        <w:gridCol w:w="1584"/>
      </w:tblGrid>
      <w:tr>
        <w:trPr>
          <w:tblHeader w:val="true"/>
        </w:trPr>
        <w:tc>
          <w:tcPr/>
          <w:p>
            <w:pPr>
              <w:pStyle w:val="Compact"/>
            </w:pP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t value</w:t>
            </w:r>
          </w:p>
        </w:tc>
        <w:tc>
          <w:tcPr/>
          <w:p>
            <w:pPr>
              <w:pStyle w:val="Compact"/>
              <w:jc w:val="right"/>
            </w:pPr>
            <w:r>
              <w:t xml:space="preserve">Pr(&gt;|t|)</w:t>
            </w:r>
          </w:p>
        </w:tc>
      </w:tr>
      <w:tr>
        <w:tc>
          <w:tcPr/>
          <w:p>
            <w:pPr>
              <w:pStyle w:val="Compact"/>
              <w:jc w:val="left"/>
            </w:pPr>
            <w:r>
              <w:t xml:space="preserve">(Intercept)</w:t>
            </w:r>
          </w:p>
        </w:tc>
        <w:tc>
          <w:tcPr/>
          <w:p>
            <w:pPr>
              <w:pStyle w:val="Compact"/>
              <w:jc w:val="right"/>
            </w:pPr>
            <w:r>
              <w:t xml:space="preserve">4.579</w:t>
            </w:r>
          </w:p>
        </w:tc>
        <w:tc>
          <w:tcPr/>
          <w:p>
            <w:pPr>
              <w:pStyle w:val="Compact"/>
              <w:jc w:val="right"/>
            </w:pPr>
            <w:r>
              <w:t xml:space="preserve">4.839</w:t>
            </w:r>
          </w:p>
        </w:tc>
        <w:tc>
          <w:tcPr/>
          <w:p>
            <w:pPr>
              <w:pStyle w:val="Compact"/>
              <w:jc w:val="right"/>
            </w:pPr>
            <w:r>
              <w:t xml:space="preserve">0.946</w:t>
            </w:r>
          </w:p>
        </w:tc>
        <w:tc>
          <w:tcPr/>
          <w:p>
            <w:pPr>
              <w:pStyle w:val="Compact"/>
              <w:jc w:val="right"/>
            </w:pPr>
            <w:r>
              <w:t xml:space="preserve">0.346</w:t>
            </w:r>
          </w:p>
        </w:tc>
      </w:tr>
      <w:tr>
        <w:tc>
          <w:tcPr/>
          <w:p>
            <w:pPr>
              <w:pStyle w:val="Compact"/>
              <w:jc w:val="left"/>
            </w:pPr>
            <w:r>
              <w:t xml:space="preserve">treat</w:t>
            </w:r>
          </w:p>
        </w:tc>
        <w:tc>
          <w:tcPr/>
          <w:p>
            <w:pPr>
              <w:pStyle w:val="Compact"/>
              <w:jc w:val="right"/>
            </w:pPr>
            <w:r>
              <w:t xml:space="preserve">2.450</w:t>
            </w:r>
          </w:p>
        </w:tc>
        <w:tc>
          <w:tcPr/>
          <w:p>
            <w:pPr>
              <w:pStyle w:val="Compact"/>
              <w:jc w:val="right"/>
            </w:pPr>
            <w:r>
              <w:t xml:space="preserve">1.154</w:t>
            </w:r>
          </w:p>
        </w:tc>
        <w:tc>
          <w:tcPr/>
          <w:p>
            <w:pPr>
              <w:pStyle w:val="Compact"/>
              <w:jc w:val="right"/>
            </w:pPr>
            <w:r>
              <w:t xml:space="preserve">2.123</w:t>
            </w:r>
          </w:p>
        </w:tc>
        <w:tc>
          <w:tcPr/>
          <w:p>
            <w:pPr>
              <w:pStyle w:val="Compact"/>
              <w:jc w:val="right"/>
            </w:pPr>
            <w:r>
              <w:t xml:space="preserve">0.036</w:t>
            </w:r>
          </w:p>
        </w:tc>
      </w:tr>
      <w:tr>
        <w:tc>
          <w:tcPr/>
          <w:p>
            <w:pPr>
              <w:pStyle w:val="Compact"/>
              <w:jc w:val="left"/>
            </w:pPr>
            <w:r>
              <w:t xml:space="preserve">math</w:t>
            </w:r>
          </w:p>
        </w:tc>
        <w:tc>
          <w:tcPr/>
          <w:p>
            <w:pPr>
              <w:pStyle w:val="Compact"/>
              <w:jc w:val="right"/>
            </w:pPr>
            <w:r>
              <w:t xml:space="preserve">0.987</w:t>
            </w:r>
          </w:p>
        </w:tc>
        <w:tc>
          <w:tcPr/>
          <w:p>
            <w:pPr>
              <w:pStyle w:val="Compact"/>
              <w:jc w:val="right"/>
            </w:pPr>
            <w:r>
              <w:t xml:space="preserve">0.090</w:t>
            </w:r>
          </w:p>
        </w:tc>
        <w:tc>
          <w:tcPr/>
          <w:p>
            <w:pPr>
              <w:pStyle w:val="Compact"/>
              <w:jc w:val="right"/>
            </w:pPr>
            <w:r>
              <w:t xml:space="preserve">10.918</w:t>
            </w:r>
          </w:p>
        </w:tc>
        <w:tc>
          <w:tcPr/>
          <w:p>
            <w:pPr>
              <w:pStyle w:val="Compact"/>
              <w:jc w:val="right"/>
            </w:pPr>
            <w:r>
              <w:t xml:space="preserve">0.000</w:t>
            </w:r>
          </w:p>
        </w:tc>
      </w:tr>
      <w:tr>
        <w:tc>
          <w:tcPr/>
          <w:p>
            <w:pPr>
              <w:pStyle w:val="Compact"/>
              <w:jc w:val="left"/>
            </w:pPr>
            <w:r>
              <w:t xml:space="preserve">ses</w:t>
            </w:r>
          </w:p>
        </w:tc>
        <w:tc>
          <w:tcPr/>
          <w:p>
            <w:pPr>
              <w:pStyle w:val="Compact"/>
              <w:jc w:val="right"/>
            </w:pPr>
            <w:r>
              <w:t xml:space="preserve">0.556</w:t>
            </w:r>
          </w:p>
        </w:tc>
        <w:tc>
          <w:tcPr/>
          <w:p>
            <w:pPr>
              <w:pStyle w:val="Compact"/>
              <w:jc w:val="right"/>
            </w:pPr>
            <w:r>
              <w:t xml:space="preserve">1.355</w:t>
            </w:r>
          </w:p>
        </w:tc>
        <w:tc>
          <w:tcPr/>
          <w:p>
            <w:pPr>
              <w:pStyle w:val="Compact"/>
              <w:jc w:val="right"/>
            </w:pPr>
            <w:r>
              <w:t xml:space="preserve">0.410</w:t>
            </w:r>
          </w:p>
        </w:tc>
        <w:tc>
          <w:tcPr/>
          <w:p>
            <w:pPr>
              <w:pStyle w:val="Compact"/>
              <w:jc w:val="right"/>
            </w:pPr>
            <w:r>
              <w:t xml:space="preserve">0.683</w:t>
            </w:r>
          </w:p>
        </w:tc>
      </w:tr>
      <w:tr>
        <w:tc>
          <w:tcPr/>
          <w:p>
            <w:pPr>
              <w:pStyle w:val="Compact"/>
              <w:jc w:val="left"/>
            </w:pPr>
            <w:r>
              <w:t xml:space="preserve">nonwhite</w:t>
            </w:r>
          </w:p>
        </w:tc>
        <w:tc>
          <w:tcPr/>
          <w:p>
            <w:pPr>
              <w:pStyle w:val="Compact"/>
              <w:jc w:val="right"/>
            </w:pPr>
            <w:r>
              <w:t xml:space="preserve">0.146</w:t>
            </w:r>
          </w:p>
        </w:tc>
        <w:tc>
          <w:tcPr/>
          <w:p>
            <w:pPr>
              <w:pStyle w:val="Compact"/>
              <w:jc w:val="right"/>
            </w:pPr>
            <w:r>
              <w:t xml:space="preserve">1.316</w:t>
            </w:r>
          </w:p>
        </w:tc>
        <w:tc>
          <w:tcPr/>
          <w:p>
            <w:pPr>
              <w:pStyle w:val="Compact"/>
              <w:jc w:val="right"/>
            </w:pPr>
            <w:r>
              <w:t xml:space="preserve">0.111</w:t>
            </w:r>
          </w:p>
        </w:tc>
        <w:tc>
          <w:tcPr/>
          <w:p>
            <w:pPr>
              <w:pStyle w:val="Compact"/>
              <w:jc w:val="right"/>
            </w:pPr>
            <w:r>
              <w:t xml:space="preserve">0.912</w:t>
            </w:r>
          </w:p>
        </w:tc>
      </w:tr>
    </w:tbl>
    <w:p>
      <w:pPr>
        <w:pStyle w:val="BodyText"/>
      </w:pPr>
      <w:r>
        <w:t xml:space="preserve">A model without the covariates was also presented</w:t>
      </w:r>
    </w:p>
    <w:p>
      <w:pPr>
        <w:pStyle w:val="TableCaption"/>
      </w:pPr>
      <w:r>
        <w:t xml:space="preserve">Regression coefficients predicting standardized science scores (without covariates)</w:t>
      </w:r>
    </w:p>
    <w:tbl>
      <w:tblPr>
        <w:tblStyle w:val="Table"/>
        <w:tblW w:type="auto" w:w="0"/>
        <w:tblLook w:firstRow="1" w:lastRow="0" w:firstColumn="0" w:lastColumn="0" w:noHBand="0" w:noVBand="0" w:val="0020"/>
        <w:tblCaption w:val="Regression coefficients predicting standardized science scores (without covariates)"/>
      </w:tblPr>
      <w:tblGrid>
        <w:gridCol w:w="1584"/>
        <w:gridCol w:w="1584"/>
        <w:gridCol w:w="1584"/>
        <w:gridCol w:w="1584"/>
        <w:gridCol w:w="1584"/>
      </w:tblGrid>
      <w:tr>
        <w:trPr>
          <w:tblHeader w:val="true"/>
        </w:trPr>
        <w:tc>
          <w:tcPr/>
          <w:p>
            <w:pPr>
              <w:pStyle w:val="Compact"/>
            </w:pP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t value</w:t>
            </w:r>
          </w:p>
        </w:tc>
        <w:tc>
          <w:tcPr/>
          <w:p>
            <w:pPr>
              <w:pStyle w:val="Compact"/>
              <w:jc w:val="right"/>
            </w:pPr>
            <w:r>
              <w:t xml:space="preserve">Pr(&gt;|t|)</w:t>
            </w:r>
          </w:p>
        </w:tc>
      </w:tr>
      <w:tr>
        <w:tc>
          <w:tcPr/>
          <w:p>
            <w:pPr>
              <w:pStyle w:val="Compact"/>
              <w:jc w:val="left"/>
            </w:pPr>
            <w:r>
              <w:t xml:space="preserve">(Intercept)</w:t>
            </w:r>
          </w:p>
        </w:tc>
        <w:tc>
          <w:tcPr/>
          <w:p>
            <w:pPr>
              <w:pStyle w:val="Compact"/>
              <w:jc w:val="right"/>
            </w:pPr>
            <w:r>
              <w:t xml:space="preserve">56.472</w:t>
            </w:r>
          </w:p>
        </w:tc>
        <w:tc>
          <w:tcPr/>
          <w:p>
            <w:pPr>
              <w:pStyle w:val="Compact"/>
              <w:jc w:val="right"/>
            </w:pPr>
            <w:r>
              <w:t xml:space="preserve">0.789</w:t>
            </w:r>
          </w:p>
        </w:tc>
        <w:tc>
          <w:tcPr/>
          <w:p>
            <w:pPr>
              <w:pStyle w:val="Compact"/>
              <w:jc w:val="right"/>
            </w:pPr>
            <w:r>
              <w:t xml:space="preserve">71.592</w:t>
            </w:r>
          </w:p>
        </w:tc>
        <w:tc>
          <w:tcPr/>
          <w:p>
            <w:pPr>
              <w:pStyle w:val="Compact"/>
              <w:jc w:val="right"/>
            </w:pPr>
            <w:r>
              <w:t xml:space="preserve">0</w:t>
            </w:r>
          </w:p>
        </w:tc>
      </w:tr>
      <w:tr>
        <w:tc>
          <w:tcPr/>
          <w:p>
            <w:pPr>
              <w:pStyle w:val="Compact"/>
              <w:jc w:val="left"/>
            </w:pPr>
            <w:r>
              <w:t xml:space="preserve">treat</w:t>
            </w:r>
          </w:p>
        </w:tc>
        <w:tc>
          <w:tcPr/>
          <w:p>
            <w:pPr>
              <w:pStyle w:val="Compact"/>
              <w:jc w:val="right"/>
            </w:pPr>
            <w:r>
              <w:t xml:space="preserve">8.885</w:t>
            </w:r>
          </w:p>
        </w:tc>
        <w:tc>
          <w:tcPr/>
          <w:p>
            <w:pPr>
              <w:pStyle w:val="Compact"/>
              <w:jc w:val="right"/>
            </w:pPr>
            <w:r>
              <w:t xml:space="preserve">1.491</w:t>
            </w:r>
          </w:p>
        </w:tc>
        <w:tc>
          <w:tcPr/>
          <w:p>
            <w:pPr>
              <w:pStyle w:val="Compact"/>
              <w:jc w:val="right"/>
            </w:pPr>
            <w:r>
              <w:t xml:space="preserve">5.960</w:t>
            </w:r>
          </w:p>
        </w:tc>
        <w:tc>
          <w:tcPr/>
          <w:p>
            <w:pPr>
              <w:pStyle w:val="Compact"/>
              <w:jc w:val="right"/>
            </w:pPr>
            <w:r>
              <w:t xml:space="preserve">0</w:t>
            </w:r>
          </w:p>
        </w:tc>
      </w:tr>
    </w:tbl>
    <w:bookmarkEnd w:id="23"/>
    <w:bookmarkEnd w:id="24"/>
    <w:bookmarkStart w:id="35" w:name="question"/>
    <w:p>
      <w:pPr>
        <w:pStyle w:val="Heading1"/>
      </w:pPr>
      <w:r>
        <w:t xml:space="preserve">Question</w:t>
      </w:r>
    </w:p>
    <w:p>
      <w:pPr>
        <w:pStyle w:val="FirstParagraph"/>
      </w:pPr>
      <w:r>
        <w:t xml:space="preserve">Based on the information above and below, decide whether you think the program has a causal impact on science scores. At the end of our discussion, your lab leader will inform you of the actual treatment impact that was programmed into these data.</w:t>
      </w:r>
    </w:p>
    <w:bookmarkStart w:id="34" w:name="other-resources"/>
    <w:p>
      <w:pPr>
        <w:pStyle w:val="Heading2"/>
      </w:pPr>
      <w:r>
        <w:t xml:space="preserve">Other resources</w:t>
      </w:r>
    </w:p>
    <w:p>
      <w:pPr>
        <w:pStyle w:val="FirstParagraph"/>
      </w:pPr>
      <w:r>
        <w:t xml:space="preserve">The following charts may provide some clues</w:t>
      </w:r>
    </w:p>
    <w:p>
      <w:pPr>
        <w:pStyle w:val="BodyText"/>
      </w:pPr>
      <w:r>
        <w:drawing>
          <wp:inline>
            <wp:extent cx="5334000" cy="4800600"/>
            <wp:effectExtent b="0" l="0" r="0" t="0"/>
            <wp:docPr descr="" title="" id="26" name="Picture"/>
            <a:graphic>
              <a:graphicData uri="http://schemas.openxmlformats.org/drawingml/2006/picture">
                <pic:pic>
                  <pic:nvPicPr>
                    <pic:cNvPr descr="lab5_files/figure-docx/unnamed-chunk-5-1.png" id="27" name="Picture"/>
                    <pic:cNvPicPr>
                      <a:picLocks noChangeArrowheads="1" noChangeAspect="1"/>
                    </pic:cNvPicPr>
                  </pic:nvPicPr>
                  <pic:blipFill>
                    <a:blip r:embed="rId25"/>
                    <a:stretch>
                      <a:fillRect/>
                    </a:stretch>
                  </pic:blipFill>
                  <pic:spPr bwMode="auto">
                    <a:xfrm>
                      <a:off x="0" y="0"/>
                      <a:ext cx="5334000" cy="4800600"/>
                    </a:xfrm>
                    <a:prstGeom prst="rect">
                      <a:avLst/>
                    </a:prstGeom>
                    <a:noFill/>
                    <a:ln w="9525">
                      <a:noFill/>
                      <a:headEnd/>
                      <a:tailEnd/>
                    </a:ln>
                  </pic:spPr>
                </pic:pic>
              </a:graphicData>
            </a:graphic>
          </wp:inline>
        </w:drawing>
      </w:r>
    </w:p>
    <w:p>
      <w:pPr>
        <w:pStyle w:val="BodyText"/>
      </w:pPr>
      <w:r>
        <w:drawing>
          <wp:inline>
            <wp:extent cx="5334000" cy="3733800"/>
            <wp:effectExtent b="0" l="0" r="0" t="0"/>
            <wp:docPr descr="" title="" id="29" name="Picture"/>
            <a:graphic>
              <a:graphicData uri="http://schemas.openxmlformats.org/drawingml/2006/picture">
                <pic:pic>
                  <pic:nvPicPr>
                    <pic:cNvPr descr="lab5_files/figure-docx/unnamed-chunk-6-1.png" id="30" name="Picture"/>
                    <pic:cNvPicPr>
                      <a:picLocks noChangeArrowheads="1" noChangeAspect="1"/>
                    </pic:cNvPicPr>
                  </pic:nvPicPr>
                  <pic:blipFill>
                    <a:blip r:embed="rId28"/>
                    <a:stretch>
                      <a:fillRect/>
                    </a:stretch>
                  </pic:blipFill>
                  <pic:spPr bwMode="auto">
                    <a:xfrm>
                      <a:off x="0" y="0"/>
                      <a:ext cx="5334000" cy="3733800"/>
                    </a:xfrm>
                    <a:prstGeom prst="rect">
                      <a:avLst/>
                    </a:prstGeom>
                    <a:noFill/>
                    <a:ln w="9525">
                      <a:noFill/>
                      <a:headEnd/>
                      <a:tailEnd/>
                    </a:ln>
                  </pic:spPr>
                </pic:pic>
              </a:graphicData>
            </a:graphic>
          </wp:inline>
        </w:drawing>
      </w:r>
      <w:r>
        <w:t xml:space="preserve"> </w:t>
      </w:r>
      <w:r>
        <w:drawing>
          <wp:inline>
            <wp:extent cx="5334000" cy="3733800"/>
            <wp:effectExtent b="0" l="0" r="0" t="0"/>
            <wp:docPr descr="" title="" id="32" name="Picture"/>
            <a:graphic>
              <a:graphicData uri="http://schemas.openxmlformats.org/drawingml/2006/picture">
                <pic:pic>
                  <pic:nvPicPr>
                    <pic:cNvPr descr="lab5_files/figure-docx/unnamed-chunk-7-1.png" id="33" name="Picture"/>
                    <pic:cNvPicPr>
                      <a:picLocks noChangeArrowheads="1" noChangeAspect="1"/>
                    </pic:cNvPicPr>
                  </pic:nvPicPr>
                  <pic:blipFill>
                    <a:blip r:embed="rId31"/>
                    <a:stretch>
                      <a:fillRect/>
                    </a:stretch>
                  </pic:blipFill>
                  <pic:spPr bwMode="auto">
                    <a:xfrm>
                      <a:off x="0" y="0"/>
                      <a:ext cx="5334000" cy="3733800"/>
                    </a:xfrm>
                    <a:prstGeom prst="rect">
                      <a:avLst/>
                    </a:prstGeom>
                    <a:noFill/>
                    <a:ln w="9525">
                      <a:noFill/>
                      <a:headEnd/>
                      <a:tailEnd/>
                    </a:ln>
                  </pic:spPr>
                </pic:pic>
              </a:graphicData>
            </a:graphic>
          </wp:inline>
        </w:drawing>
      </w:r>
    </w:p>
    <w:bookmarkEnd w:id="34"/>
    <w:bookmarkEnd w:id="35"/>
    <w:bookmarkStart w:id="37" w:name="references"/>
    <w:p>
      <w:pPr>
        <w:pStyle w:val="Heading1"/>
      </w:pPr>
      <w:r>
        <w:t xml:space="preserve">References</w:t>
      </w:r>
    </w:p>
    <w:p>
      <w:pPr>
        <w:pStyle w:val="FirstParagraph"/>
      </w:pPr>
      <w:hyperlink r:id="rId36">
        <w:r>
          <w:rPr>
            <w:rStyle w:val="Hyperlink"/>
          </w:rPr>
          <w:t xml:space="preserve">Barker, B. S., &amp; Ansorge, J. (2007). Robotics as means to increase</w:t>
        </w:r>
        <w:r>
          <w:rPr>
            <w:rStyle w:val="Hyperlink"/>
          </w:rPr>
          <w:t xml:space="preserve"> </w:t>
        </w:r>
        <w:r>
          <w:rPr>
            <w:rStyle w:val="Hyperlink"/>
          </w:rPr>
          <w:t xml:space="preserve">achievement scores in an informal learning environment. </w:t>
        </w:r>
        <w:r>
          <w:rPr>
            <w:rStyle w:val="Hyperlink"/>
            <w:iCs/>
            <w:i/>
          </w:rPr>
          <w:t xml:space="preserve">Journal of</w:t>
        </w:r>
        <w:r>
          <w:rPr>
            <w:rStyle w:val="Hyperlink"/>
            <w:iCs/>
            <w:i/>
          </w:rPr>
          <w:t xml:space="preserve"> </w:t>
        </w:r>
        <w:r>
          <w:rPr>
            <w:rStyle w:val="Hyperlink"/>
            <w:iCs/>
            <w:i/>
          </w:rPr>
          <w:t xml:space="preserve">research on technology in education</w:t>
        </w:r>
        <w:r>
          <w:rPr>
            <w:rStyle w:val="Hyperlink"/>
          </w:rPr>
          <w:t xml:space="preserve">, </w:t>
        </w:r>
        <w:r>
          <w:rPr>
            <w:rStyle w:val="Hyperlink"/>
            <w:iCs/>
            <w:i/>
          </w:rPr>
          <w:t xml:space="preserve">39</w:t>
        </w:r>
        <w:r>
          <w:rPr>
            <w:rStyle w:val="Hyperlink"/>
          </w:rPr>
          <w:t xml:space="preserve">(3),</w:t>
        </w:r>
        <w:r>
          <w:rPr>
            <w:rStyle w:val="Hyperlink"/>
          </w:rPr>
          <w:t xml:space="preserve"> </w:t>
        </w:r>
        <w:r>
          <w:rPr>
            <w:rStyle w:val="Hyperlink"/>
          </w:rPr>
          <w:t xml:space="preserve">229-243.</w:t>
        </w:r>
      </w:hyperlink>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36" Target="http://web.b.ebscohost.com.turing.library.northwestern.edu/ehost/pdfviewer/pdfviewer?vid=1&amp;sid=71d566ac-b312-45f8-a4d1-00b37f0e57c7%40sessionmgr103" TargetMode="External" /></Relationships>
</file>

<file path=word/_rels/footnotes.xml.rels><?xml version="1.0" encoding="UTF-8"?><Relationships xmlns="http://schemas.openxmlformats.org/package/2006/relationships"><Relationship Type="http://schemas.openxmlformats.org/officeDocument/2006/relationships/hyperlink" Id="rId36" Target="http://web.b.ebscohost.com.turing.library.northwestern.edu/ehost/pdfviewer/pdfviewer?vid=1&amp;sid=71d566ac-b312-45f8-a4d1-00b37f0e57c7%40sessionmgr1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for non-equivalent control groups</dc:title>
  <dc:creator/>
  <cp:keywords/>
  <dcterms:created xsi:type="dcterms:W3CDTF">2022-07-08T17:02:06Z</dcterms:created>
  <dcterms:modified xsi:type="dcterms:W3CDTF">2022-07-08T17:02:06Z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