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non-equivalent</w:t>
      </w:r>
      <w:r>
        <w:t xml:space="preserve"> </w:t>
      </w:r>
      <w:r>
        <w:t xml:space="preserve">control</w:t>
      </w:r>
      <w:r>
        <w:t xml:space="preserve"> </w:t>
      </w:r>
      <w:r>
        <w:t xml:space="preserve">group</w:t>
      </w:r>
      <w:r>
        <w:t xml:space="preserve"> </w:t>
      </w:r>
      <w:r>
        <w:t xml:space="preserve">cluster</w:t>
      </w:r>
      <w:r>
        <w:t xml:space="preserve"> </w:t>
      </w:r>
      <w:r>
        <w:t xml:space="preserve">matching</w:t>
      </w:r>
    </w:p>
    <w:bookmarkStart w:id="20" w:name="important-note"/>
    <w:p>
      <w:pPr>
        <w:pStyle w:val="Heading2"/>
      </w:pPr>
      <w:r>
        <w:t xml:space="preserve">Important Note</w:t>
      </w:r>
    </w:p>
    <w:p>
      <w:pPr>
        <w:pStyle w:val="FirstParagraph"/>
      </w:pPr>
      <w:r>
        <w:t xml:space="preserve">Matching is a very complex task. The purpose of this lab is to give</w:t>
      </w:r>
      <w:r>
        <w:t xml:space="preserve"> </w:t>
      </w:r>
      <w:r>
        <w:t xml:space="preserve">everyone a feel for what is ultimately done with computer algorithms.</w:t>
      </w:r>
      <w:r>
        <w:t xml:space="preserve"> </w:t>
      </w:r>
      <w:r>
        <w:t xml:space="preserve">The hope is that you can explore these topics during this lab. We</w:t>
      </w:r>
      <w:r>
        <w:t xml:space="preserve"> </w:t>
      </w:r>
      <w:r>
        <w:t xml:space="preserve">encourage you to not feel frustrated if a perfect solution is</w:t>
      </w:r>
      <w:r>
        <w:t xml:space="preserve"> </w:t>
      </w:r>
      <w:r>
        <w:t xml:space="preserve">unattainable: it rarely is!</w:t>
      </w:r>
    </w:p>
    <w:bookmarkEnd w:id="20"/>
    <w:bookmarkStart w:id="22" w:name="case-study"/>
    <w:p>
      <w:pPr>
        <w:pStyle w:val="Heading1"/>
      </w:pPr>
      <w:r>
        <w:t xml:space="preserve">Case Study</w:t>
      </w:r>
    </w:p>
    <w:bookmarkStart w:id="21" w:name="X0184e95e37f68b3c2e7cd60aaa4da242be80b8d"/>
    <w:p>
      <w:pPr>
        <w:pStyle w:val="Heading2"/>
      </w:pPr>
      <w:r>
        <w:rPr>
          <w:bCs/>
          <w:b/>
        </w:rPr>
        <w:t xml:space="preserve">Elementary School Project-Based Learning Program</w:t>
      </w:r>
    </w:p>
    <w:p>
      <w:pPr>
        <w:pStyle w:val="FirstParagraph"/>
      </w:pPr>
      <w:r>
        <w:t xml:space="preserve">Over the past five years, Dr. Wanda Smith and colleagues have been</w:t>
      </w:r>
      <w:r>
        <w:t xml:space="preserve"> </w:t>
      </w:r>
      <w:r>
        <w:t xml:space="preserve">working closely with Detroit public schools to develop an innovative,</w:t>
      </w:r>
      <w:r>
        <w:t xml:space="preserve"> </w:t>
      </w:r>
      <w:r>
        <w:t xml:space="preserve">hands-on science program for elementary school teachers and their</w:t>
      </w:r>
      <w:r>
        <w:t xml:space="preserve"> </w:t>
      </w:r>
      <w:r>
        <w:t xml:space="preserve">students. During this time, Dr. Smith has worked closely with teachers</w:t>
      </w:r>
      <w:r>
        <w:t xml:space="preserve"> </w:t>
      </w:r>
      <w:r>
        <w:t xml:space="preserve">in three elementary schools to develop and refine a professional</w:t>
      </w:r>
      <w:r>
        <w:t xml:space="preserve"> </w:t>
      </w:r>
      <w:r>
        <w:t xml:space="preserve">development program and science units focused on environmental science</w:t>
      </w:r>
      <w:r>
        <w:t xml:space="preserve"> </w:t>
      </w:r>
      <w:r>
        <w:t xml:space="preserve">and biology with children in grades 3-5. These units are hands-on and</w:t>
      </w:r>
      <w:r>
        <w:t xml:space="preserve"> </w:t>
      </w:r>
      <w:r>
        <w:t xml:space="preserve">project-based and focus not only on scientific knowledge but also on</w:t>
      </w:r>
      <w:r>
        <w:t xml:space="preserve"> </w:t>
      </w:r>
      <w:r>
        <w:t xml:space="preserve">centering students as scientists and observers in their communities.</w:t>
      </w:r>
      <w:r>
        <w:t xml:space="preserve"> </w:t>
      </w:r>
      <w:r>
        <w:t xml:space="preserve">Over time, the team has developed five science units, associated</w:t>
      </w:r>
      <w:r>
        <w:t xml:space="preserve"> </w:t>
      </w:r>
      <w:r>
        <w:t xml:space="preserve">activities, and teaching guidelines. Teachers are deeply engaged in this</w:t>
      </w:r>
      <w:r>
        <w:t xml:space="preserve"> </w:t>
      </w:r>
      <w:r>
        <w:t xml:space="preserve">work and observations in the classrooms suggest that students are,</w:t>
      </w:r>
      <w:r>
        <w:t xml:space="preserve"> </w:t>
      </w:r>
      <w:r>
        <w:t xml:space="preserve">indeed, making connections between science and their lives. Student</w:t>
      </w:r>
      <w:r>
        <w:t xml:space="preserve"> </w:t>
      </w:r>
      <w:r>
        <w:t xml:space="preserve">knowledge of science seems to have increased, as does student</w:t>
      </w:r>
      <w:r>
        <w:t xml:space="preserve"> </w:t>
      </w:r>
      <w:r>
        <w:t xml:space="preserve">motivation.</w:t>
      </w:r>
    </w:p>
    <w:bookmarkEnd w:id="21"/>
    <w:bookmarkEnd w:id="22"/>
    <w:bookmarkStart w:id="33" w:name="plausible-evaluation-design"/>
    <w:p>
      <w:pPr>
        <w:pStyle w:val="Heading1"/>
      </w:pPr>
      <w:r>
        <w:t xml:space="preserve">Plausible Evaluation Design</w:t>
      </w:r>
    </w:p>
    <w:bookmarkStart w:id="23" w:name="matching-entire-clusters-schools"/>
    <w:p>
      <w:pPr>
        <w:pStyle w:val="Heading2"/>
      </w:pPr>
      <w:r>
        <w:t xml:space="preserve">Matching Entire Clusters (Schools)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motivation. Researchers enrolled schools in</w:t>
      </w:r>
      <w:r>
        <w:t xml:space="preserve"> </w:t>
      </w:r>
      <w:r>
        <w:t xml:space="preserve">the program during the summer to serve as treatment schools and now need</w:t>
      </w:r>
      <w:r>
        <w:t xml:space="preserve"> </w:t>
      </w:r>
      <w:r>
        <w:t xml:space="preserve">to examine the rest of schools in the state to find equivalent matches.</w:t>
      </w:r>
      <w:r>
        <w:t xml:space="preserve"> </w:t>
      </w:r>
      <w:r>
        <w:t xml:space="preserve">School average of a state test scaled to have a mean of 50 and standard</w:t>
      </w:r>
      <w:r>
        <w:t xml:space="preserve"> </w:t>
      </w:r>
      <w:r>
        <w:t xml:space="preserve">deviation of 10.</w:t>
      </w:r>
    </w:p>
    <w:bookmarkEnd w:id="23"/>
    <w:bookmarkStart w:id="29" w:name="X9215826bdc589443a1907577af8c64ed66bc788"/>
    <w:p>
      <w:pPr>
        <w:pStyle w:val="Heading2"/>
      </w:pPr>
      <w:r>
        <w:t xml:space="preserve">Scenario A: Seemingly Unrelated Treatment Assignment</w:t>
      </w:r>
    </w:p>
    <w:p>
      <w:pPr>
        <w:pStyle w:val="FirstParagraph"/>
      </w:pPr>
      <w:r>
        <w:t xml:space="preserve">In the</w:t>
      </w:r>
      <w:r>
        <w:t xml:space="preserve"> </w:t>
      </w:r>
      <w:hyperlink r:id="rId24">
        <w:r>
          <w:rPr>
            <w:rStyle w:val="Hyperlink"/>
          </w:rPr>
          <w:t xml:space="preserve">planner tool</w:t>
        </w:r>
      </w:hyperlink>
      <w:r>
        <w:t xml:space="preserve">, select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QED Selection</w:t>
      </w:r>
      <w:r>
        <w:t xml:space="preserve"> </w:t>
      </w:r>
      <w:r>
        <w:t xml:space="preserve">tab and pick the</w:t>
      </w:r>
      <w:r>
        <w:t xml:space="preserve"> </w:t>
      </w:r>
      <w:r>
        <w:t xml:space="preserve">“</w:t>
      </w:r>
      <w:r>
        <w:t xml:space="preserve">random selection</w:t>
      </w:r>
      <w:r>
        <w:t xml:space="preserve">”</w:t>
      </w:r>
      <w:r>
        <w:t xml:space="preserve"> </w:t>
      </w:r>
      <w:r>
        <w:t xml:space="preserve">scenario. In</w:t>
      </w:r>
      <w:r>
        <w:t xml:space="preserve"> </w:t>
      </w:r>
      <w:r>
        <w:t xml:space="preserve">this scenario, the state has</w:t>
      </w:r>
      <w:r>
        <w:t xml:space="preserve"> </w:t>
      </w:r>
      <w:r>
        <w:t xml:space="preserve">83 schools and</w:t>
      </w:r>
      <w:r>
        <w:t xml:space="preserve"> </w:t>
      </w:r>
      <w:r>
        <w:t xml:space="preserve">7 of them are in your</w:t>
      </w:r>
      <w:r>
        <w:t xml:space="preserve"> </w:t>
      </w:r>
      <w:r>
        <w:t xml:space="preserve">program. A random selection of</w:t>
      </w:r>
      <w:r>
        <w:t xml:space="preserve"> </w:t>
      </w:r>
      <w:r>
        <w:t xml:space="preserve">7 comparison schools has</w:t>
      </w:r>
      <w:r>
        <w:t xml:space="preserve"> </w:t>
      </w:r>
      <w:r>
        <w:t xml:space="preserve">been made for you.</w:t>
      </w:r>
    </w:p>
    <w:p>
      <w:pPr>
        <w:pStyle w:val="BodyText"/>
      </w:pPr>
      <w:r>
        <w:t xml:space="preserve">Examine the</w:t>
      </w:r>
      <w:r>
        <w:t xml:space="preserve"> </w:t>
      </w:r>
      <w:r>
        <w:t xml:space="preserve">“</w:t>
      </w:r>
      <w:r>
        <w:t xml:space="preserve">Balance Statistics between Treatment and Control</w:t>
      </w:r>
      <w:r>
        <w:t xml:space="preserve">”</w:t>
      </w:r>
      <w:r>
        <w:t xml:space="preserve"> </w:t>
      </w:r>
      <w:r>
        <w:t xml:space="preserve">table.</w:t>
      </w:r>
      <w:r>
        <w:t xml:space="preserve"> </w:t>
      </w:r>
      <w:r>
        <w:t xml:space="preserve">The columns for</w:t>
      </w:r>
      <w:r>
        <w:t xml:space="preserve"> </w:t>
      </w:r>
      <w:r>
        <w:rPr>
          <w:rStyle w:val="VerbatimChar"/>
        </w:rPr>
        <w:t xml:space="preserve">nonwhite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</w:t>
      </w:r>
      <w:r>
        <w:t xml:space="preserve"> </w:t>
      </w:r>
      <w:r>
        <w:t xml:space="preserve">columns represent the balance in</w:t>
      </w:r>
      <w:r>
        <w:t xml:space="preserve"> </w:t>
      </w:r>
      <w:r>
        <w:t xml:space="preserve">standard deviation units for student level indicators of being a student</w:t>
      </w:r>
      <w:r>
        <w:t xml:space="preserve"> </w:t>
      </w:r>
      <w:r>
        <w:t xml:space="preserve">of color and having a lower socioeconomic status. The</w:t>
      </w:r>
      <w:r>
        <w:t xml:space="preserve"> </w:t>
      </w:r>
      <w:r>
        <w:rPr>
          <w:rStyle w:val="VerbatimChar"/>
        </w:rPr>
        <w:t xml:space="preserve">pretest</w:t>
      </w:r>
      <w:r>
        <w:t xml:space="preserve"> </w:t>
      </w:r>
      <w:r>
        <w:t xml:space="preserve">is also</w:t>
      </w:r>
      <w:r>
        <w:t xml:space="preserve"> </w:t>
      </w:r>
      <w:r>
        <w:t xml:space="preserve">a balance statistic, but for a test score covariate. The</w:t>
      </w:r>
      <w:r>
        <w:t xml:space="preserve"> </w:t>
      </w:r>
      <w:r>
        <w:rPr>
          <w:rStyle w:val="VerbatimChar"/>
        </w:rPr>
        <w:t xml:space="preserve">urban</w:t>
      </w:r>
      <w:r>
        <w:t xml:space="preserve"> </w:t>
      </w:r>
      <w:r>
        <w:t xml:space="preserve">column</w:t>
      </w:r>
      <w:r>
        <w:t xml:space="preserve"> </w:t>
      </w:r>
      <w:r>
        <w:t xml:space="preserve">is another balance statistic, but this is a school-level variable.</w:t>
      </w:r>
    </w:p>
    <w:p>
      <w:pPr>
        <w:pStyle w:val="BodyText"/>
      </w:pPr>
      <w:r>
        <w:t xml:space="preserve">The table under</w:t>
      </w:r>
      <w:r>
        <w:t xml:space="preserve"> </w:t>
      </w:r>
      <w:r>
        <w:t xml:space="preserve">“</w:t>
      </w:r>
      <w:r>
        <w:t xml:space="preserve">Means across Students by Treatment and Control</w:t>
      </w:r>
      <w:r>
        <w:t xml:space="preserve">”</w:t>
      </w:r>
      <w:r>
        <w:t xml:space="preserve"> </w:t>
      </w:r>
      <w:r>
        <w:t xml:space="preserve">give</w:t>
      </w:r>
      <w:r>
        <w:t xml:space="preserve"> </w:t>
      </w:r>
      <w:r>
        <w:t xml:space="preserve">averages (proportions for</w:t>
      </w:r>
      <w:r>
        <w:t xml:space="preserve"> </w:t>
      </w:r>
      <w:r>
        <w:rPr>
          <w:rStyle w:val="VerbatimChar"/>
        </w:rPr>
        <w:t xml:space="preserve">nonwhite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urban</w:t>
      </w:r>
      <w:r>
        <w:t xml:space="preserve">, and the mean</w:t>
      </w:r>
      <w:r>
        <w:t xml:space="preserve"> </w:t>
      </w:r>
      <w:r>
        <w:rPr>
          <w:rStyle w:val="VerbatimChar"/>
        </w:rPr>
        <w:t xml:space="preserve">pretest</w:t>
      </w:r>
      <w:r>
        <w:t xml:space="preserve"> </w:t>
      </w:r>
      <w:r>
        <w:t xml:space="preserve">score for a scale that ranges from 0 to 100 with a mean of</w:t>
      </w:r>
      <w:r>
        <w:t xml:space="preserve"> </w:t>
      </w:r>
      <w:r>
        <w:t xml:space="preserve">50).</w:t>
      </w:r>
    </w:p>
    <w:p>
      <w:pPr>
        <w:pStyle w:val="BodyText"/>
      </w:pPr>
      <w:r>
        <w:t xml:space="preserve">Under</w:t>
      </w:r>
      <w:r>
        <w:t xml:space="preserve"> </w:t>
      </w:r>
      <w:r>
        <w:t xml:space="preserve">“</w:t>
      </w:r>
      <w:r>
        <w:t xml:space="preserve">Select Schools</w:t>
      </w:r>
      <w:r>
        <w:t xml:space="preserve">”</w:t>
      </w:r>
      <w:r>
        <w:t xml:space="preserve"> </w:t>
      </w:r>
      <w:r>
        <w:t xml:space="preserve">you find two fields that allow you to add or</w:t>
      </w:r>
      <w:r>
        <w:t xml:space="preserve"> </w:t>
      </w:r>
      <w:r>
        <w:t xml:space="preserve">remove schools from the comparison and treatment group. The</w:t>
      </w:r>
      <w:r>
        <w:t xml:space="preserve"> </w:t>
      </w:r>
      <w:r>
        <w:t xml:space="preserve">“</w:t>
      </w:r>
      <w:r>
        <w:t xml:space="preserve">Explore</w:t>
      </w:r>
      <w:r>
        <w:t xml:space="preserve">”</w:t>
      </w:r>
      <w:r>
        <w:t xml:space="preserve"> </w:t>
      </w:r>
      <w:r>
        <w:t xml:space="preserve">tabs allow you to examine the means of each school and sort on columns</w:t>
      </w:r>
      <w:r>
        <w:t xml:space="preserve"> </w:t>
      </w:r>
      <w:r>
        <w:t xml:space="preserve">(such as the Mahalanobis Distance of the possible comparison schools.</w:t>
      </w:r>
    </w:p>
    <w:bookmarkStart w:id="25" w:name="question-a-1"/>
    <w:p>
      <w:pPr>
        <w:pStyle w:val="Heading3"/>
      </w:pPr>
      <w:r>
        <w:t xml:space="preserve">Question A-1</w:t>
      </w:r>
    </w:p>
    <w:p>
      <w:pPr>
        <w:pStyle w:val="FirstParagraph"/>
      </w:pPr>
      <w:r>
        <w:t xml:space="preserve">Note the column</w:t>
      </w:r>
      <w:r>
        <w:t xml:space="preserve"> </w:t>
      </w:r>
      <w:r>
        <w:rPr>
          <w:rStyle w:val="VerbatimChar"/>
        </w:rPr>
        <w:t xml:space="preserve">Mahalanobis Distance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Balance Statistics</w:t>
      </w:r>
      <w:r>
        <w:t xml:space="preserve">”</w:t>
      </w:r>
      <w:r>
        <w:t xml:space="preserve"> </w:t>
      </w:r>
      <w:r>
        <w:t xml:space="preserve">table, it currently reads</w:t>
      </w:r>
      <w:r>
        <w:t xml:space="preserve"> </w:t>
      </w:r>
      <w:r>
        <w:rPr>
          <w:rStyle w:val="VerbatimChar"/>
        </w:rPr>
        <w:t xml:space="preserve">2.02</w:t>
      </w:r>
      <w:r>
        <w:t xml:space="preserve">. Next, under</w:t>
      </w:r>
      <w:r>
        <w:t xml:space="preserve"> </w:t>
      </w:r>
      <w:r>
        <w:t xml:space="preserve">“</w:t>
      </w:r>
      <w:r>
        <w:t xml:space="preserve">Comparison Schools</w:t>
      </w:r>
      <w:r>
        <w:t xml:space="preserve">”</w:t>
      </w:r>
      <w:r>
        <w:t xml:space="preserve">, sort</w:t>
      </w:r>
      <w:r>
        <w:t xml:space="preserve"> </w:t>
      </w:r>
      <w:r>
        <w:t xml:space="preserve">the comparison pool by the</w:t>
      </w:r>
      <w:r>
        <w:t xml:space="preserve"> </w:t>
      </w:r>
      <w:r>
        <w:rPr>
          <w:rStyle w:val="VerbatimChar"/>
        </w:rPr>
        <w:t xml:space="preserve">Mahalanobis Distance</w:t>
      </w:r>
      <w:r>
        <w:t xml:space="preserve"> </w:t>
      </w:r>
      <w:r>
        <w:t xml:space="preserve">column. You will see</w:t>
      </w:r>
      <w:r>
        <w:t xml:space="preserve"> </w:t>
      </w:r>
      <w:r>
        <w:t xml:space="preserve">that school</w:t>
      </w:r>
      <w:r>
        <w:t xml:space="preserve"> </w:t>
      </w:r>
      <w:r>
        <w:rPr>
          <w:rStyle w:val="VerbatimChar"/>
        </w:rPr>
        <w:t xml:space="preserve">281</w:t>
      </w:r>
      <w:r>
        <w:t xml:space="preserve"> </w:t>
      </w:r>
      <w:r>
        <w:t xml:space="preserve">has a large distance metric. Under</w:t>
      </w:r>
      <w:r>
        <w:t xml:space="preserve"> </w:t>
      </w:r>
      <w:r>
        <w:t xml:space="preserve">“</w:t>
      </w:r>
      <w:r>
        <w:t xml:space="preserve">Select Schools,</w:t>
      </w:r>
      <w:r>
        <w:t xml:space="preserve">”</w:t>
      </w:r>
      <w:r>
        <w:t xml:space="preserve"> </w:t>
      </w:r>
      <w:r>
        <w:t xml:space="preserve">add school 281 to the comparison pool. Check the</w:t>
      </w:r>
      <w:r>
        <w:t xml:space="preserve"> </w:t>
      </w:r>
      <w:r>
        <w:t xml:space="preserve">“</w:t>
      </w:r>
      <w:r>
        <w:t xml:space="preserve">Balance Statistics</w:t>
      </w:r>
      <w:r>
        <w:t xml:space="preserve">”</w:t>
      </w:r>
      <w:r>
        <w:t xml:space="preserve"> </w:t>
      </w:r>
      <w:r>
        <w:t xml:space="preserve">table, what happened?</w:t>
      </w:r>
    </w:p>
    <w:bookmarkEnd w:id="25"/>
    <w:bookmarkStart w:id="26" w:name="question-a-2"/>
    <w:p>
      <w:pPr>
        <w:pStyle w:val="Heading3"/>
      </w:pPr>
      <w:r>
        <w:t xml:space="preserve">Question A-2</w:t>
      </w:r>
    </w:p>
    <w:p>
      <w:pPr>
        <w:pStyle w:val="FirstParagraph"/>
      </w:pPr>
      <w:r>
        <w:t xml:space="preserve">Remove school</w:t>
      </w:r>
      <w:r>
        <w:t xml:space="preserve"> </w:t>
      </w:r>
      <w:r>
        <w:rPr>
          <w:rStyle w:val="VerbatimChar"/>
        </w:rPr>
        <w:t xml:space="preserve">281</w:t>
      </w:r>
      <w:r>
        <w:t xml:space="preserve"> </w:t>
      </w:r>
      <w:r>
        <w:t xml:space="preserve">from your comparison selection. Your selections</w:t>
      </w:r>
      <w:r>
        <w:t xml:space="preserve"> </w:t>
      </w:r>
      <w:r>
        <w:t xml:space="preserve">should now read 288, 307, 259, 239, 328, 311, 354. Schools</w:t>
      </w:r>
      <w:r>
        <w:t xml:space="preserve"> </w:t>
      </w:r>
      <w:r>
        <w:rPr>
          <w:rStyle w:val="VerbatimChar"/>
        </w:rPr>
        <w:t xml:space="preserve">354</w:t>
      </w:r>
      <w:r>
        <w:t xml:space="preserve"> </w:t>
      </w:r>
      <w:r>
        <w:rPr>
          <w:rStyle w:val="VerbatimChar"/>
        </w:rPr>
        <w:t xml:space="preserve">307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239</w:t>
      </w:r>
      <w:r>
        <w:t xml:space="preserve"> </w:t>
      </w:r>
      <w:r>
        <w:t xml:space="preserve">seem to have high distances. Remove one or two of them</w:t>
      </w:r>
      <w:r>
        <w:t xml:space="preserve"> </w:t>
      </w:r>
      <w:r>
        <w:t xml:space="preserve">from the comparison list, what do you notice about the balance</w:t>
      </w:r>
      <w:r>
        <w:t xml:space="preserve"> </w:t>
      </w:r>
      <w:r>
        <w:t xml:space="preserve">statistics?</w:t>
      </w:r>
    </w:p>
    <w:bookmarkEnd w:id="26"/>
    <w:bookmarkStart w:id="27" w:name="question-a-3"/>
    <w:p>
      <w:pPr>
        <w:pStyle w:val="Heading3"/>
      </w:pPr>
      <w:r>
        <w:t xml:space="preserve">Question A-3</w:t>
      </w:r>
    </w:p>
    <w:p>
      <w:pPr>
        <w:pStyle w:val="FirstParagraph"/>
      </w:pPr>
      <w:r>
        <w:t xml:space="preserve">Next, remove all schools from the comparison list. Using the</w:t>
      </w:r>
      <w:r>
        <w:t xml:space="preserve"> </w:t>
      </w:r>
      <w:r>
        <w:t xml:space="preserve">“</w:t>
      </w:r>
      <w:r>
        <w:t xml:space="preserve">Comparison</w:t>
      </w:r>
      <w:r>
        <w:t xml:space="preserve"> </w:t>
      </w:r>
      <w:r>
        <w:t xml:space="preserve">Schools</w:t>
      </w:r>
      <w:r>
        <w:t xml:space="preserve">”</w:t>
      </w:r>
      <w:r>
        <w:t xml:space="preserve"> </w:t>
      </w:r>
      <w:r>
        <w:t xml:space="preserve">table, sort on</w:t>
      </w:r>
      <w:r>
        <w:t xml:space="preserve"> </w:t>
      </w:r>
      <w:r>
        <w:rPr>
          <w:rStyle w:val="VerbatimChar"/>
        </w:rPr>
        <w:t xml:space="preserve">Mahalanobis Distance</w:t>
      </w:r>
      <w:r>
        <w:t xml:space="preserve">. Adjust the table to show</w:t>
      </w:r>
      <w:r>
        <w:t xml:space="preserve"> </w:t>
      </w:r>
      <w:r>
        <w:t xml:space="preserve">10 entries. What do you notice in the urban column? Select these schools</w:t>
      </w:r>
      <w:r>
        <w:t xml:space="preserve"> </w:t>
      </w:r>
      <w:r>
        <w:t xml:space="preserve">10 schools. Examine the</w:t>
      </w:r>
      <w:r>
        <w:t xml:space="preserve"> </w:t>
      </w:r>
      <w:r>
        <w:t xml:space="preserve">“</w:t>
      </w:r>
      <w:r>
        <w:t xml:space="preserve">Balance Statistics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Means across Students</w:t>
      </w:r>
      <w:r>
        <w:t xml:space="preserve"> </w:t>
      </w:r>
      <w:r>
        <w:t xml:space="preserve">by Treatment and Control</w:t>
      </w:r>
      <w:r>
        <w:t xml:space="preserve">”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What would you do?</w:t>
      </w:r>
    </w:p>
    <w:bookmarkEnd w:id="27"/>
    <w:bookmarkStart w:id="28" w:name="question-a-4"/>
    <w:p>
      <w:pPr>
        <w:pStyle w:val="Heading3"/>
      </w:pPr>
      <w:r>
        <w:t xml:space="preserve">Question A-4</w:t>
      </w:r>
    </w:p>
    <w:p>
      <w:pPr>
        <w:pStyle w:val="FirstParagraph"/>
      </w:pPr>
      <w:r>
        <w:t xml:space="preserve">After thinking about what you would do, use the tool to come up with a</w:t>
      </w:r>
      <w:r>
        <w:t xml:space="preserve"> </w:t>
      </w:r>
      <w:r>
        <w:t xml:space="preserve">good set of 10 comparison schools. If stuck, see if you can find a</w:t>
      </w:r>
      <w:r>
        <w:t xml:space="preserve"> </w:t>
      </w:r>
      <w:r>
        <w:t xml:space="preserve">treatment school or two to remove.</w:t>
      </w:r>
    </w:p>
    <w:bookmarkEnd w:id="28"/>
    <w:bookmarkEnd w:id="29"/>
    <w:bookmarkStart w:id="32" w:name="X9cad8215894c57f4a3af3fa948d64ea6be66ad2"/>
    <w:p>
      <w:pPr>
        <w:pStyle w:val="Heading2"/>
      </w:pPr>
      <w:r>
        <w:t xml:space="preserve">Scenario B: Treatment Assignment Related to Average Pretest</w:t>
      </w:r>
    </w:p>
    <w:p>
      <w:pPr>
        <w:pStyle w:val="FirstParagraph"/>
      </w:pPr>
      <w:r>
        <w:t xml:space="preserve">In the</w:t>
      </w:r>
      <w:r>
        <w:t xml:space="preserve"> </w:t>
      </w:r>
      <w:hyperlink r:id="rId24">
        <w:r>
          <w:rPr>
            <w:rStyle w:val="Hyperlink"/>
          </w:rPr>
          <w:t xml:space="preserve">planner tool</w:t>
        </w:r>
      </w:hyperlink>
      <w:r>
        <w:t xml:space="preserve">, select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QED Selection</w:t>
      </w:r>
      <w:r>
        <w:t xml:space="preserve"> </w:t>
      </w:r>
      <w:r>
        <w:t xml:space="preserve">tab and pick the</w:t>
      </w:r>
      <w:r>
        <w:t xml:space="preserve"> </w:t>
      </w:r>
      <w:r>
        <w:t xml:space="preserve">“</w:t>
      </w:r>
      <w:r>
        <w:t xml:space="preserve">Systematic Selection</w:t>
      </w:r>
      <w:r>
        <w:t xml:space="preserve">”</w:t>
      </w:r>
      <w:r>
        <w:t xml:space="preserve"> </w:t>
      </w:r>
      <w:r>
        <w:t xml:space="preserve">scenario. In</w:t>
      </w:r>
      <w:r>
        <w:t xml:space="preserve"> </w:t>
      </w:r>
      <w:r>
        <w:t xml:space="preserve">this scenario, the state has</w:t>
      </w:r>
      <w:r>
        <w:t xml:space="preserve"> </w:t>
      </w:r>
      <w:r>
        <w:t xml:space="preserve">91 schools and</w:t>
      </w:r>
      <w:r>
        <w:t xml:space="preserve"> </w:t>
      </w:r>
      <w:r>
        <w:t xml:space="preserve">8 of them are in your</w:t>
      </w:r>
      <w:r>
        <w:t xml:space="preserve"> </w:t>
      </w:r>
      <w:r>
        <w:t xml:space="preserve">program. A random selection of</w:t>
      </w:r>
      <w:r>
        <w:t xml:space="preserve"> </w:t>
      </w:r>
      <w:r>
        <w:t xml:space="preserve">6 comparison schools has</w:t>
      </w:r>
      <w:r>
        <w:t xml:space="preserve"> </w:t>
      </w:r>
      <w:r>
        <w:t xml:space="preserve">been made for you.</w:t>
      </w:r>
    </w:p>
    <w:p>
      <w:pPr>
        <w:pStyle w:val="BodyText"/>
      </w:pPr>
      <w:r>
        <w:t xml:space="preserve">The tools are the same, except these data have be rigged so that the</w:t>
      </w:r>
      <w:r>
        <w:t xml:space="preserve"> </w:t>
      </w:r>
      <w:r>
        <w:t xml:space="preserve">likelihood of schools being part of the program is positively related to</w:t>
      </w:r>
      <w:r>
        <w:t xml:space="preserve"> </w:t>
      </w:r>
      <w:r>
        <w:t xml:space="preserve">the average student scores.</w:t>
      </w:r>
    </w:p>
    <w:bookmarkStart w:id="30" w:name="question-b"/>
    <w:p>
      <w:pPr>
        <w:pStyle w:val="Heading3"/>
      </w:pPr>
      <w:r>
        <w:t xml:space="preserve">Question B</w:t>
      </w:r>
    </w:p>
    <w:p>
      <w:pPr>
        <w:pStyle w:val="FirstParagraph"/>
      </w:pPr>
      <w:r>
        <w:t xml:space="preserve">Using the metrics available to you, and knowing the selection</w:t>
      </w:r>
      <w:r>
        <w:t xml:space="preserve"> </w:t>
      </w:r>
      <w:r>
        <w:t xml:space="preserve">relationship with test score averages, attempt to build a sample.</w:t>
      </w:r>
    </w:p>
    <w:bookmarkEnd w:id="30"/>
    <w:bookmarkStart w:id="31" w:name="bonus"/>
    <w:p>
      <w:pPr>
        <w:pStyle w:val="Heading3"/>
      </w:pPr>
      <w:r>
        <w:t xml:space="preserve">Bonus</w:t>
      </w:r>
    </w:p>
    <w:p>
      <w:pPr>
        <w:pStyle w:val="FirstParagraph"/>
      </w:pPr>
      <w:r>
        <w:t xml:space="preserve">Revisit your solutions, but occasionally return to the</w:t>
      </w:r>
      <w:r>
        <w:t xml:space="preserve"> </w:t>
      </w:r>
      <w:r>
        <w:t xml:space="preserve">“</w:t>
      </w:r>
      <w:r>
        <w:t xml:space="preserve">Power and MDES</w:t>
      </w:r>
      <w:r>
        <w:t xml:space="preserve">”</w:t>
      </w:r>
      <w:r>
        <w:t xml:space="preserve"> </w:t>
      </w:r>
      <w:r>
        <w:t xml:space="preserve">tab to see if your designs have adequate sensitivity.</w:t>
      </w:r>
    </w:p>
    <w:bookmarkEnd w:id="31"/>
    <w:bookmarkEnd w:id="32"/>
    <w:bookmarkEnd w:id="33"/>
    <w:bookmarkStart w:id="35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34">
        <w:r>
          <w:rPr>
            <w:rStyle w:val="Hyperlink"/>
          </w:rPr>
          <w:t xml:space="preserve">Barron,B. J., Schwartz, D. L., Vye, N. J., Moore, A., Petrosino, A.,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Zech, L., &amp; Bransford, J. D. (1998). Doing with understanding: Lessons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from research on problem-and project-based learning. </w:t>
        </w:r>
        <w:r>
          <w:rPr>
            <w:rStyle w:val="Hyperlink"/>
            <w:iCs/>
            <w:i/>
          </w:rPr>
          <w:t xml:space="preserve">Journal of the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learning sciences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7</w:t>
        </w:r>
        <w:r>
          <w:rPr>
            <w:rStyle w:val="Hyperlink"/>
          </w:rPr>
          <w:t xml:space="preserve">(3-4),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271-311.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steppcenter.shinyapps.io/Planner/" TargetMode="External" /><Relationship Type="http://schemas.openxmlformats.org/officeDocument/2006/relationships/hyperlink" Id="rId34" Target="https://www-jstor-org.turing.library.northwestern.edu/stable/pdf/1466789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steppcenter.shinyapps.io/Planner/" TargetMode="External" /><Relationship Type="http://schemas.openxmlformats.org/officeDocument/2006/relationships/hyperlink" Id="rId34" Target="https://www-jstor-org.turing.library.northwestern.edu/stable/pdf/146678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non-equivalent control group cluster matching</dc:title>
  <dc:creator/>
  <cp:keywords/>
  <dcterms:created xsi:type="dcterms:W3CDTF">2022-07-08T17:02:09Z</dcterms:created>
  <dcterms:modified xsi:type="dcterms:W3CDTF">2022-07-08T17:02:09Z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