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for</w:t>
      </w:r>
      <w:r>
        <w:t xml:space="preserve"> </w:t>
      </w:r>
      <w:r>
        <w:t xml:space="preserve">difference</w:t>
      </w:r>
      <w:r>
        <w:t xml:space="preserve"> </w:t>
      </w:r>
      <w:r>
        <w:t xml:space="preserve">in</w:t>
      </w:r>
      <w:r>
        <w:t xml:space="preserve"> </w:t>
      </w:r>
      <w:r>
        <w:t xml:space="preserve">difference</w:t>
      </w:r>
      <w:r>
        <w:t xml:space="preserve"> </w:t>
      </w:r>
      <w:r>
        <w:t xml:space="preserve">designs</w:t>
      </w:r>
    </w:p>
    <w:bookmarkStart w:id="21" w:name="case-study"/>
    <w:p>
      <w:pPr>
        <w:pStyle w:val="Heading1"/>
      </w:pPr>
      <w:r>
        <w:t xml:space="preserve">Case Study</w:t>
      </w:r>
    </w:p>
    <w:bookmarkStart w:id="20" w:name="X6558453d25feb5b57c8f6b51980a422d86255df"/>
    <w:p>
      <w:pPr>
        <w:pStyle w:val="Heading2"/>
      </w:pPr>
      <w:r>
        <w:t xml:space="preserve">Museum Science Spatial: A Program for Pre-Schoolers</w:t>
      </w:r>
    </w:p>
    <w:p>
      <w:pPr>
        <w:pStyle w:val="FirstParagraph"/>
      </w:pPr>
      <w:r>
        <w:t xml:space="preserve">A STEM Museum in Florida has had a longstanding partnership with two</w:t>
      </w:r>
      <w:r>
        <w:t xml:space="preserve"> </w:t>
      </w:r>
      <w:r>
        <w:t xml:space="preserve">researchers at a nearby university. Drs. Andrews and Zheng are</w:t>
      </w:r>
      <w:r>
        <w:t xml:space="preserve"> </w:t>
      </w:r>
      <w:r>
        <w:t xml:space="preserve">interested in how informal experiences in museums may encourage families</w:t>
      </w:r>
      <w:r>
        <w:t xml:space="preserve"> </w:t>
      </w:r>
      <w:r>
        <w:t xml:space="preserve">to engage with their children in ways that inspire and support STEM</w:t>
      </w:r>
      <w:r>
        <w:t xml:space="preserve"> </w:t>
      </w:r>
      <w:r>
        <w:t xml:space="preserve">learning at home. This interest has led them to work with the museum</w:t>
      </w:r>
      <w:r>
        <w:t xml:space="preserve"> </w:t>
      </w:r>
      <w:r>
        <w:t xml:space="preserve">staff to design a series of exhibits that foster interactions (while at</w:t>
      </w:r>
      <w:r>
        <w:t xml:space="preserve"> </w:t>
      </w:r>
      <w:r>
        <w:t xml:space="preserve">the museum), while also providing materials to take home, with the hope</w:t>
      </w:r>
      <w:r>
        <w:t xml:space="preserve"> </w:t>
      </w:r>
      <w:r>
        <w:t xml:space="preserve">of continued engagement. Understanding if this program actually improves</w:t>
      </w:r>
      <w:r>
        <w:t xml:space="preserve"> </w:t>
      </w:r>
      <w:r>
        <w:t xml:space="preserve">these connections is important, given the continued cost of these</w:t>
      </w:r>
      <w:r>
        <w:t xml:space="preserve"> </w:t>
      </w:r>
      <w:r>
        <w:t xml:space="preserve">take-home materials. This study focuses on a particular exhibit that</w:t>
      </w:r>
      <w:r>
        <w:t xml:space="preserve"> </w:t>
      </w:r>
      <w:r>
        <w:t xml:space="preserve">focuses on fostering the development of spatial skills through a series</w:t>
      </w:r>
      <w:r>
        <w:t xml:space="preserve"> </w:t>
      </w:r>
      <w:r>
        <w:t xml:space="preserve">of building activities.</w:t>
      </w:r>
    </w:p>
    <w:bookmarkEnd w:id="20"/>
    <w:bookmarkEnd w:id="21"/>
    <w:bookmarkStart w:id="28" w:name="plausible-evaluation-design"/>
    <w:p>
      <w:pPr>
        <w:pStyle w:val="Heading1"/>
      </w:pPr>
      <w:r>
        <w:t xml:space="preserve">Plausible Evaluation Design</w:t>
      </w:r>
    </w:p>
    <w:bookmarkStart w:id="27" w:name="difference-in-difference-analysis"/>
    <w:p>
      <w:pPr>
        <w:pStyle w:val="Heading2"/>
      </w:pPr>
      <w:r>
        <w:t xml:space="preserve">Difference in Difference Analysis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parent interaction with their children at home, measured</w:t>
      </w:r>
      <w:r>
        <w:t xml:space="preserve"> </w:t>
      </w:r>
      <w:r>
        <w:t xml:space="preserve">using a well-established validated scale based on questions answered</w:t>
      </w:r>
      <w:r>
        <w:t xml:space="preserve"> </w:t>
      </w:r>
      <w:r>
        <w:t xml:space="preserve">through an online survey collection system. The design is to recruit</w:t>
      </w:r>
      <w:r>
        <w:t xml:space="preserve"> </w:t>
      </w:r>
      <w:r>
        <w:t xml:space="preserve">families as they enter the museum into the study, as them to fill out a</w:t>
      </w:r>
      <w:r>
        <w:t xml:space="preserve"> </w:t>
      </w:r>
      <w:r>
        <w:t xml:space="preserve">baseline survey, then randomly assign them to attend the additional</w:t>
      </w:r>
      <w:r>
        <w:t xml:space="preserve"> </w:t>
      </w:r>
      <w:r>
        <w:t xml:space="preserve">exhibits and receive the additional take home materials (treatment</w:t>
      </w:r>
      <w:r>
        <w:t xml:space="preserve"> </w:t>
      </w:r>
      <w:r>
        <w:t xml:space="preserve">group) or attend the typical exhibits (control group). After 30 days,</w:t>
      </w:r>
      <w:r>
        <w:t xml:space="preserve"> </w:t>
      </w:r>
      <w:r>
        <w:t xml:space="preserve">all study families take a survey and their answers for the baseline and</w:t>
      </w:r>
      <w:r>
        <w:t xml:space="preserve"> </w:t>
      </w:r>
      <w:r>
        <w:t xml:space="preserve">follow-up surveys are used to compute 2 outcome scores for each family,</w:t>
      </w:r>
      <w:r>
        <w:t xml:space="preserve"> </w:t>
      </w:r>
      <w:r>
        <w:t xml:space="preserve">one for baseline and one for followup.</w:t>
      </w:r>
    </w:p>
    <w:p>
      <w:pPr>
        <w:pStyle w:val="BodyText"/>
      </w:pPr>
      <w:r>
        <w:t xml:space="preserve">For simplicity, assume perfect compliance with random assignment and a</w:t>
      </w:r>
      <w:r>
        <w:t xml:space="preserve"> </w:t>
      </w:r>
      <w:r>
        <w:t xml:space="preserve">perfect response rate.</w:t>
      </w:r>
    </w:p>
    <w:bookmarkStart w:id="23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</w:t>
      </w:r>
      <w:r>
        <w:t xml:space="preserve"> </w:t>
      </w:r>
      <w:r>
        <w:rPr>
          <w:rStyle w:val="VerbatimChar"/>
        </w:rPr>
        <w:t xml:space="preserve">Difference in Differences (DiD)</w:t>
      </w:r>
      <w:r>
        <w:t xml:space="preserve"> </w:t>
      </w:r>
      <w:r>
        <w:t xml:space="preserve">study in which 20 families are</w:t>
      </w:r>
      <w:r>
        <w:t xml:space="preserve"> </w:t>
      </w:r>
      <w:r>
        <w:t xml:space="preserve">assigned to the treatment group and 20 families are assigned the control</w:t>
      </w:r>
      <w:r>
        <w:t xml:space="preserve"> </w:t>
      </w:r>
      <w:r>
        <w:t xml:space="preserve">group when power is .8 for a test with a significance level of .05. For</w:t>
      </w:r>
      <w:r>
        <w:t xml:space="preserve"> </w:t>
      </w:r>
      <w:r>
        <w:t xml:space="preserve">this question, assume 0 correlation between baseline and followup</w:t>
      </w:r>
      <w:r>
        <w:t xml:space="preserve"> </w:t>
      </w:r>
      <w:r>
        <w:t xml:space="preserve">surveys.</w:t>
      </w:r>
    </w:p>
    <w:bookmarkEnd w:id="23"/>
    <w:bookmarkStart w:id="24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A member of the study team claims that a better study would use a higher</w:t>
      </w:r>
      <w:r>
        <w:t xml:space="preserve"> </w:t>
      </w:r>
      <w:r>
        <w:t xml:space="preserve">portion of the study families as treatment. Using the</w:t>
      </w:r>
      <w:r>
        <w:t xml:space="preserve"> </w:t>
      </w:r>
      <w:hyperlink r:id="rId22">
        <w:r>
          <w:rPr>
            <w:rStyle w:val="Hyperlink"/>
          </w:rPr>
          <w:t xml:space="preserve">planner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tool</w:t>
        </w:r>
      </w:hyperlink>
      <w:r>
        <w:t xml:space="preserve">, find the minimum</w:t>
      </w:r>
      <w:r>
        <w:t xml:space="preserve"> </w:t>
      </w:r>
      <w:r>
        <w:t xml:space="preserve">detectable effect for a</w:t>
      </w:r>
      <w:r>
        <w:t xml:space="preserve"> </w:t>
      </w:r>
      <w:r>
        <w:rPr>
          <w:rStyle w:val="VerbatimChar"/>
        </w:rPr>
        <w:t xml:space="preserve">Difference in Differences (DiD)</w:t>
      </w:r>
      <w:r>
        <w:t xml:space="preserve"> </w:t>
      </w:r>
      <w:r>
        <w:t xml:space="preserve">study in which 30 families are assigned to the</w:t>
      </w:r>
      <w:r>
        <w:t xml:space="preserve"> </w:t>
      </w:r>
      <w:r>
        <w:t xml:space="preserve">treatment group and 10 families are assigned the control group when</w:t>
      </w:r>
      <w:r>
        <w:t xml:space="preserve"> </w:t>
      </w:r>
      <w:r>
        <w:t xml:space="preserve">power is .8 for a test with a significance level of .05. For this</w:t>
      </w:r>
      <w:r>
        <w:t xml:space="preserve"> </w:t>
      </w:r>
      <w:r>
        <w:t xml:space="preserve">question, assume 0 correlation between baseline and followup surveys.</w:t>
      </w:r>
    </w:p>
    <w:p>
      <w:pPr>
        <w:pStyle w:val="BodyText"/>
      </w:pPr>
      <w:r>
        <w:t xml:space="preserve">Is this design more sensitive?</w:t>
      </w:r>
    </w:p>
    <w:bookmarkEnd w:id="24"/>
    <w:bookmarkStart w:id="25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There is some concern that the study may not be as sensitive as the</w:t>
      </w:r>
      <w:r>
        <w:t xml:space="preserve"> </w:t>
      </w:r>
      <w:r>
        <w:t xml:space="preserve">researchers need it to be. The</w:t>
      </w:r>
      <w:r>
        <w:t xml:space="preserve"> </w:t>
      </w:r>
      <w:r>
        <w:rPr>
          <w:bCs/>
          <w:b/>
        </w:rPr>
        <w:t xml:space="preserve">first idea</w:t>
      </w:r>
      <w:r>
        <w:t xml:space="preserve"> </w:t>
      </w:r>
      <w:r>
        <w:t xml:space="preserve">is to use 60 families,</w:t>
      </w:r>
      <w:r>
        <w:t xml:space="preserve"> </w:t>
      </w:r>
      <w:r>
        <w:t xml:space="preserve">with 30 in treatment and 30 in control, and continue to assume that the</w:t>
      </w:r>
      <w:r>
        <w:t xml:space="preserve"> </w:t>
      </w:r>
      <w:r>
        <w:t xml:space="preserve">baselines and followups are not correlated. The</w:t>
      </w:r>
      <w:r>
        <w:t xml:space="preserve"> </w:t>
      </w:r>
      <w:r>
        <w:rPr>
          <w:bCs/>
          <w:b/>
        </w:rPr>
        <w:t xml:space="preserve">second idea</w:t>
      </w:r>
      <w:r>
        <w:t xml:space="preserve"> </w:t>
      </w:r>
      <w:r>
        <w:t xml:space="preserve">is to</w:t>
      </w:r>
      <w:r>
        <w:t xml:space="preserve"> </w:t>
      </w:r>
      <w:r>
        <w:t xml:space="preserve">keep the 40 study members (20 in each group), but assume that the</w:t>
      </w:r>
      <w:r>
        <w:t xml:space="preserve"> </w:t>
      </w:r>
      <w:r>
        <w:t xml:space="preserve">baseline and followups are likely to be correlated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</w:t>
      </w:r>
      <w:r>
        <w:t xml:space="preserve"> </w:t>
      </w:r>
      <w:r>
        <w:rPr>
          <w:rStyle w:val="VerbatimChar"/>
        </w:rPr>
        <w:t xml:space="preserve">Difference in Differences (DiD)</w:t>
      </w:r>
      <w:r>
        <w:t xml:space="preserve"> </w:t>
      </w:r>
      <w:r>
        <w:t xml:space="preserve">study in which 30 families are</w:t>
      </w:r>
      <w:r>
        <w:t xml:space="preserve"> </w:t>
      </w:r>
      <w:r>
        <w:t xml:space="preserve">assigned to the treatment group and 30 families are assigned the control</w:t>
      </w:r>
      <w:r>
        <w:t xml:space="preserve"> </w:t>
      </w:r>
      <w:r>
        <w:t xml:space="preserve">group, assuming no correlation between baseline and followup surveys,</w:t>
      </w:r>
      <w:r>
        <w:t xml:space="preserve"> </w:t>
      </w:r>
      <w:r>
        <w:t xml:space="preserve">when power is .8 for a test with a significance level of .05. This is</w:t>
      </w:r>
      <w:r>
        <w:t xml:space="preserve"> </w:t>
      </w:r>
      <w:r>
        <w:t xml:space="preserve">the sensitivity of the</w:t>
      </w:r>
      <w:r>
        <w:t xml:space="preserve"> </w:t>
      </w:r>
      <w:r>
        <w:rPr>
          <w:bCs/>
          <w:b/>
        </w:rPr>
        <w:t xml:space="preserve">first idea</w:t>
      </w:r>
      <w:r>
        <w:t xml:space="preserve">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again, find the minimum detectable effect for a</w:t>
      </w:r>
      <w:r>
        <w:t xml:space="preserve"> </w:t>
      </w:r>
      <w:r>
        <w:rPr>
          <w:rStyle w:val="VerbatimChar"/>
        </w:rPr>
        <w:t xml:space="preserve">Difference in Differences (DiD)</w:t>
      </w:r>
      <w:r>
        <w:t xml:space="preserve"> </w:t>
      </w:r>
      <w:r>
        <w:t xml:space="preserve">study in which 20</w:t>
      </w:r>
      <w:r>
        <w:t xml:space="preserve"> </w:t>
      </w:r>
      <w:r>
        <w:t xml:space="preserve">families are assigned to the treatment group and 20 families are</w:t>
      </w:r>
      <w:r>
        <w:t xml:space="preserve"> </w:t>
      </w:r>
      <w:r>
        <w:t xml:space="preserve">assigned the control group, assuming the correlation between baseline</w:t>
      </w:r>
      <w:r>
        <w:t xml:space="preserve"> </w:t>
      </w:r>
      <w:r>
        <w:t xml:space="preserve">and followup is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0.5</m:t>
        </m:r>
      </m:oMath>
      <w:r>
        <w:t xml:space="preserve">, when power is .8 for a test with a</w:t>
      </w:r>
      <w:r>
        <w:t xml:space="preserve"> </w:t>
      </w:r>
      <w:r>
        <w:t xml:space="preserve">significance level of .05. This is the sensitivity of the</w:t>
      </w:r>
      <w:r>
        <w:t xml:space="preserve"> </w:t>
      </w:r>
      <w:r>
        <w:rPr>
          <w:bCs/>
          <w:b/>
        </w:rPr>
        <w:t xml:space="preserve">second</w:t>
      </w:r>
      <w:r>
        <w:rPr>
          <w:bCs/>
          <w:b/>
        </w:rPr>
        <w:t xml:space="preserve"> </w:t>
      </w:r>
      <w:r>
        <w:rPr>
          <w:bCs/>
          <w:b/>
        </w:rPr>
        <w:t xml:space="preserve">idea</w:t>
      </w:r>
      <w:r>
        <w:t xml:space="preserve">.</w:t>
      </w:r>
    </w:p>
    <w:p>
      <w:pPr>
        <w:pStyle w:val="BodyText"/>
      </w:pPr>
      <w:r>
        <w:t xml:space="preserve">Which idea is more sensitive?</w:t>
      </w:r>
    </w:p>
    <w:bookmarkEnd w:id="25"/>
    <w:bookmarkStart w:id="26" w:name="question-4"/>
    <w:p>
      <w:pPr>
        <w:pStyle w:val="Heading3"/>
      </w:pPr>
      <w:r>
        <w:t xml:space="preserve">Question 4</w:t>
      </w:r>
    </w:p>
    <w:p>
      <w:pPr>
        <w:pStyle w:val="FirstParagraph"/>
      </w:pPr>
      <w:r>
        <w:t xml:space="preserve">Questions 1-3 involve the same sample parameters as the lab for Chapter</w:t>
      </w:r>
      <w:r>
        <w:t xml:space="preserve"> </w:t>
      </w:r>
      <w:r>
        <w:t xml:space="preserve">7 (questions A-1 through A-3). Compare the results of this lab to your</w:t>
      </w:r>
      <w:r>
        <w:t xml:space="preserve"> </w:t>
      </w:r>
      <w:r>
        <w:t xml:space="preserve">answers for that first lab.</w:t>
      </w:r>
    </w:p>
    <w:bookmarkEnd w:id="26"/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p>
      <w:pPr>
        <w:pStyle w:val="FirstParagraph"/>
      </w:pPr>
      <w:hyperlink r:id="rId29">
        <w:r>
          <w:rPr>
            <w:rStyle w:val="Hyperlink"/>
          </w:rPr>
          <w:t xml:space="preserve">Marcus, M., Haden, C.A., &amp; Uttal, D.H. (2017) STEM Learning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transfer in a children’s museum and beyond.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Merrill-Palmer Quarterly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63(2):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155-180.</w:t>
        </w:r>
      </w:hyperlink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steppcenter.shinyapps.io/Planner/" TargetMode="External" /><Relationship Type="http://schemas.openxmlformats.org/officeDocument/2006/relationships/hyperlink" Id="rId29" Target="https://www.jstor.org/stable/10.13110/merrpalmquar1982.63.2.015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steppcenter.shinyapps.io/Planner/" TargetMode="External" /><Relationship Type="http://schemas.openxmlformats.org/officeDocument/2006/relationships/hyperlink" Id="rId29" Target="https://www.jstor.org/stable/10.13110/merrpalmquar1982.63.2.015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difference in difference designs</dc:title>
  <dc:creator/>
  <cp:keywords/>
  <dcterms:created xsi:type="dcterms:W3CDTF">2022-07-08T17:02:11Z</dcterms:created>
  <dcterms:modified xsi:type="dcterms:W3CDTF">2022-07-08T17:02:11Z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</Properties>
</file>