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cluster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9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660"/>
        <w:gridCol w:w="7150"/>
      </w:tblGrid>
      <w:tr>
        <w:tc>
          <w:p>
            <w:pPr>
              <w:pStyle w:val="Compact"/>
              <w:jc w:val="left"/>
            </w:pPr>
            <w:r>
              <w:t xml:space="preserve">P</w:t>
            </w:r>
            <w:r>
              <w:t xml:space="preserve"> </w:t>
            </w:r>
            <w:r>
              <w:t xml:space="preserve">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</w:t>
            </w:r>
            <w:r>
              <w:t xml:space="preserve"> </w:t>
            </w:r>
            <w:r>
              <w:t xml:space="preserve">opu</w:t>
            </w:r>
            <w:r>
              <w:t xml:space="preserve"> </w:t>
            </w:r>
            <w:r>
              <w:t xml:space="preserve">lat</w:t>
            </w:r>
            <w:r>
              <w:t xml:space="preserve"> </w:t>
            </w:r>
            <w:r>
              <w:t xml:space="preserve">ion</w:t>
            </w:r>
          </w:p>
        </w:tc>
        <w:tc>
          <w:p>
            <w:pPr>
              <w:pStyle w:val="Compact"/>
              <w:jc w:val="left"/>
            </w:pPr>
            <w:r>
              <w:t xml:space="preserve">Elementary school teachers and students in grades 3-5 in</w:t>
            </w:r>
            <w:r>
              <w:t xml:space="preserve"> </w:t>
            </w:r>
            <w:r>
              <w:t xml:space="preserve">elementary schools in Detroit serving high percents of</w:t>
            </w:r>
            <w:r>
              <w:t xml:space="preserve"> </w:t>
            </w:r>
            <w:r>
              <w:t xml:space="preserve">low-SES, majority Black students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</w:t>
            </w:r>
            <w:r>
              <w:t xml:space="preserve"> </w:t>
            </w:r>
            <w:r>
              <w:t xml:space="preserve">erv</w:t>
            </w:r>
            <w:r>
              <w:t xml:space="preserve"> </w:t>
            </w:r>
            <w:r>
              <w:t xml:space="preserve">ent</w:t>
            </w:r>
            <w:r>
              <w:t xml:space="preserve"> </w:t>
            </w:r>
            <w:r>
              <w:t xml:space="preserve">ion</w:t>
            </w:r>
          </w:p>
        </w:tc>
        <w:tc>
          <w:p>
            <w:pPr>
              <w:pStyle w:val="Compact"/>
              <w:jc w:val="left"/>
            </w:pPr>
            <w:r>
              <w:t xml:space="preserve">Professional Development program (teachers) + Science units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  <w:r>
              <w:t xml:space="preserve"> </w:t>
            </w:r>
            <w:r>
              <w:t xml:space="preserve">omp</w:t>
            </w:r>
            <w:r>
              <w:t xml:space="preserve"> </w:t>
            </w:r>
            <w:r>
              <w:t xml:space="preserve">ari</w:t>
            </w:r>
            <w:r>
              <w:t xml:space="preserve"> </w:t>
            </w:r>
            <w:r>
              <w:t xml:space="preserve">son</w:t>
            </w:r>
          </w:p>
        </w:tc>
        <w:tc>
          <w:p>
            <w:pPr>
              <w:pStyle w:val="Compact"/>
              <w:jc w:val="left"/>
            </w:pPr>
            <w:r>
              <w:t xml:space="preserve">In these schools, science is otherwise taught using textbooks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t xml:space="preserve">utc</w:t>
            </w:r>
            <w:r>
              <w:t xml:space="preserve"> </w:t>
            </w:r>
            <w:r>
              <w:t xml:space="preserve">ome</w:t>
            </w:r>
          </w:p>
        </w:tc>
        <w:tc>
          <w:p>
            <w:pPr>
              <w:pStyle w:val="Compact"/>
              <w:jc w:val="left"/>
            </w:pPr>
            <w:r>
              <w:t xml:space="preserve">Motivation, Science test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13fa831bfc49a2a0296067e4b5902e73dd895dd"/>
    <w:p>
      <w:pPr>
        <w:pStyle w:val="Heading2"/>
      </w:pPr>
      <w:r>
        <w:t xml:space="preserve">Random Assignment to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 schools in the</w:t>
      </w:r>
      <w:r>
        <w:t xml:space="preserve"> </w:t>
      </w:r>
      <w:r>
        <w:t xml:space="preserve">study during the summer and a portion of schools are randomized into the</w:t>
      </w:r>
      <w:r>
        <w:t xml:space="preserve"> </w:t>
      </w:r>
      <w:r>
        <w:t xml:space="preserve">program while the balance of schools are employed as control clusters.</w:t>
      </w:r>
      <w:r>
        <w:t xml:space="preserve"> </w:t>
      </w:r>
      <w:r>
        <w:t xml:space="preserve">Students who are enrolled into the study have their science learning</w:t>
      </w:r>
      <w:r>
        <w:t xml:space="preserve"> </w:t>
      </w:r>
      <w:r>
        <w:t xml:space="preserve">motivation measured with a well known validated scale. A set of schools</w:t>
      </w:r>
      <w:r>
        <w:t xml:space="preserve"> </w:t>
      </w:r>
      <w:r>
        <w:t xml:space="preserve">are recruited for the study from a variety of districts through a</w:t>
      </w:r>
      <w:r>
        <w:t xml:space="preserve"> </w:t>
      </w:r>
      <w:r>
        <w:t xml:space="preserve">professional development conference for state principals and district</w:t>
      </w:r>
      <w:r>
        <w:t xml:space="preserve"> </w:t>
      </w:r>
      <w:r>
        <w:t xml:space="preserve">membership is not considered in the design. For planning purposes,</w:t>
      </w:r>
      <w:r>
        <w:t xml:space="preserve"> </w:t>
      </w:r>
      <w:r>
        <w:t xml:space="preserve">researchers use a school-level intraclass correlation of .05 based on a</w:t>
      </w:r>
      <w:r>
        <w:t xml:space="preserve"> </w:t>
      </w:r>
      <w:r>
        <w:t xml:space="preserve">plan to match schools.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schools) with a random intercept to compare the averages</w:t>
      </w:r>
      <w:r>
        <w:t xml:space="preserve"> </w:t>
      </w:r>
      <w:r>
        <w:t xml:space="preserve">of the treatment 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The total sample in Question 1 is 240. A member of the study team claims</w:t>
      </w:r>
      <w:r>
        <w:t xml:space="preserve"> </w:t>
      </w:r>
      <w:r>
        <w:t xml:space="preserve">that a better study would use 5 schools in treatment and 5 schools in</w:t>
      </w:r>
      <w:r>
        <w:t xml:space="preserve"> </w:t>
      </w:r>
      <w:r>
        <w:t xml:space="preserve">control and 50 students in each school for a total sample of 500,</w:t>
      </w:r>
      <w:r>
        <w:t xml:space="preserve"> </w:t>
      </w:r>
      <w:r>
        <w:t xml:space="preserve">arguing that doubling the sample would vastly increase the sensitivity.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5 schools are in the treatment group and 5 schools are in the</w:t>
      </w:r>
      <w:r>
        <w:t xml:space="preserve"> </w:t>
      </w:r>
      <w:r>
        <w:t xml:space="preserve">control group, in each of which 50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Is this design much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Another researcher claims that instead of doubling the sample, the same</w:t>
      </w:r>
      <w:r>
        <w:t xml:space="preserve"> </w:t>
      </w:r>
      <w:r>
        <w:t xml:space="preserve">resources can be used to pre-test the students in each school. Earlier</w:t>
      </w:r>
      <w:r>
        <w:t xml:space="preserve"> </w:t>
      </w:r>
      <w:r>
        <w:t xml:space="preserve">analyses of the motivation instrument show that correlation between</w:t>
      </w:r>
      <w:r>
        <w:t xml:space="preserve"> </w:t>
      </w:r>
      <w:r>
        <w:t xml:space="preserve">surveys is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.9</m:t>
        </m:r>
      </m:oMath>
      <w:r>
        <w:t xml:space="preserve"> </w:t>
      </w:r>
      <w:r>
        <w:t xml:space="preserve">at the student level (for an R-square value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.81</m:t>
        </m:r>
      </m:oMath>
      <w:r>
        <w:t xml:space="preserve">) and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.3</m:t>
        </m:r>
      </m:oMath>
      <w:r>
        <w:t xml:space="preserve"> </w:t>
      </w:r>
      <w:r>
        <w:t xml:space="preserve">at the school level (for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.09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30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Assuming that the strategy for Question 2 is costs the same amount as</w:t>
      </w:r>
      <w:r>
        <w:t xml:space="preserve"> </w:t>
      </w:r>
      <w:r>
        <w:t xml:space="preserve">this strategy, which produces the more sensitive study?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Another researcher claims that instead of using a pretest, the same</w:t>
      </w:r>
      <w:r>
        <w:t xml:space="preserve"> </w:t>
      </w:r>
      <w:r>
        <w:t xml:space="preserve">resources can be used to gather data in more comparison schools. Doing</w:t>
      </w:r>
      <w:r>
        <w:t xml:space="preserve"> </w:t>
      </w:r>
      <w:r>
        <w:t xml:space="preserve">so may increase the ICC to .1, but could yield 12 comparison schools in</w:t>
      </w:r>
      <w:r>
        <w:t xml:space="preserve"> </w:t>
      </w:r>
      <w:r>
        <w:t xml:space="preserve">total.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12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but with an ICC of .1, when power</w:t>
      </w:r>
      <w:r>
        <w:t xml:space="preserve"> </w:t>
      </w:r>
      <w:r>
        <w:t xml:space="preserve">is .8 for a test with a significance level of .05.</w:t>
      </w:r>
    </w:p>
    <w:p>
      <w:pPr>
        <w:pStyle w:val="BodyText"/>
      </w:pPr>
      <w:r>
        <w:t xml:space="preserve">Do you think this is a good idea?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Barron,B. J., Schwartz, D. L., Vye, N. J., Moore, A., Petrosino, A.,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Zech, L., &amp; Bransford, J. D. (1998). Doing with understanding: Lessons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research on problem-and project-based learning. </w:t>
        </w:r>
        <w:r>
          <w:rPr>
            <w:rStyle w:val="Hyperlink"/>
            <w:iCs/>
            <w:i/>
          </w:rPr>
          <w:t xml:space="preserve">Journal of the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learning sciences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7</w:t>
        </w:r>
        <w:r>
          <w:rPr>
            <w:rStyle w:val="Hyperlink"/>
          </w:rPr>
          <w:t xml:space="preserve">(3-4),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271-311.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cluster randomized control trials</dc:title>
  <dc:creator/>
  <cp:keywords/>
  <dcterms:created xsi:type="dcterms:W3CDTF">2021-07-18T20:17:22Z</dcterms:created>
  <dcterms:modified xsi:type="dcterms:W3CDTF">2021-07-18T20:17:22Z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9</vt:lpwstr>
  </property>
</Properties>
</file>