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37AE6B" w14:textId="7DEB42A1" w:rsidR="009B648C" w:rsidRDefault="009B648C" w:rsidP="009B648C">
      <w:pPr>
        <w:pStyle w:val="Bodytextfullout"/>
        <w:spacing w:before="0" w:line="240" w:lineRule="auto"/>
        <w:ind w:firstLine="360"/>
        <w:jc w:val="center"/>
        <w:rPr>
          <w:b/>
          <w:bCs/>
        </w:rPr>
      </w:pPr>
      <w:r w:rsidRPr="009B648C">
        <w:rPr>
          <w:b/>
          <w:bCs/>
        </w:rPr>
        <w:t>Chapter 2</w:t>
      </w:r>
    </w:p>
    <w:p w14:paraId="257B63D5" w14:textId="0E9AD36E" w:rsidR="009B648C" w:rsidRDefault="009B648C" w:rsidP="009B648C">
      <w:pPr>
        <w:pStyle w:val="Bodytextfullout"/>
        <w:spacing w:before="0" w:line="240" w:lineRule="auto"/>
        <w:ind w:firstLine="360"/>
        <w:jc w:val="center"/>
        <w:rPr>
          <w:b/>
          <w:bCs/>
        </w:rPr>
      </w:pPr>
      <w:r w:rsidRPr="009B648C">
        <w:rPr>
          <w:b/>
          <w:bCs/>
        </w:rPr>
        <w:t>Validity of Research Designs</w:t>
      </w:r>
    </w:p>
    <w:p w14:paraId="64ADE306" w14:textId="77777777" w:rsidR="009B648C" w:rsidRPr="009B648C" w:rsidRDefault="009B648C" w:rsidP="009B648C">
      <w:pPr>
        <w:pStyle w:val="Bodytextfullout"/>
        <w:spacing w:before="0" w:line="240" w:lineRule="auto"/>
        <w:ind w:firstLine="360"/>
        <w:rPr>
          <w:b/>
          <w:bCs/>
        </w:rPr>
      </w:pPr>
    </w:p>
    <w:p w14:paraId="5B1E3069" w14:textId="457E8DED" w:rsidR="00A02982" w:rsidRPr="00AC3F20" w:rsidRDefault="00A02982" w:rsidP="009B648C">
      <w:pPr>
        <w:pStyle w:val="Bodytextfullout"/>
        <w:spacing w:before="0" w:line="240" w:lineRule="auto"/>
        <w:ind w:firstLine="360"/>
      </w:pPr>
      <w:r w:rsidRPr="00AC3F20">
        <w:t>The princip</w:t>
      </w:r>
      <w:r w:rsidR="009B648C">
        <w:t>a</w:t>
      </w:r>
      <w:r w:rsidRPr="00AC3F20">
        <w:t>l function of research design is to support validity claims about the findings of research studies. The dominant perspective on validity of research</w:t>
      </w:r>
      <w:r>
        <w:t xml:space="preserve"> </w:t>
      </w:r>
      <w:r w:rsidRPr="00AC3F20">
        <w:t>designs in quantitative social science grew out of an important paper (later published as a small book) by Campbell and Stanley (1963) that has been elaborated since then (see Shadish</w:t>
      </w:r>
      <w:r w:rsidR="00031752">
        <w:t>, Cook, and Campbell</w:t>
      </w:r>
      <w:r w:rsidRPr="00AC3F20">
        <w:t xml:space="preserve">, 2002). The key to this framework is the idea that conclusions reached from research design are subject to potential threats to their validity. If we think of the research </w:t>
      </w:r>
      <w:r w:rsidR="00031752">
        <w:t xml:space="preserve">design as part of the </w:t>
      </w:r>
      <w:r w:rsidRPr="00AC3F20">
        <w:t xml:space="preserve">process </w:t>
      </w:r>
      <w:r w:rsidR="00031752">
        <w:t>of</w:t>
      </w:r>
      <w:r w:rsidRPr="00AC3F20">
        <w:t xml:space="preserve"> developing an argument supporting conclusions, these threats to </w:t>
      </w:r>
      <w:r w:rsidR="00031752">
        <w:t xml:space="preserve">the </w:t>
      </w:r>
      <w:r w:rsidRPr="00AC3F20">
        <w:t xml:space="preserve">validity </w:t>
      </w:r>
      <w:r w:rsidR="00031752">
        <w:t xml:space="preserve">of the design </w:t>
      </w:r>
      <w:r w:rsidRPr="00AC3F20">
        <w:t>are like counter-arguments. While their framework was developed in the quantitative domain, the general thrust of their analysis is quite general.</w:t>
      </w:r>
    </w:p>
    <w:p w14:paraId="7EE50942" w14:textId="4A405B54" w:rsidR="00A02982" w:rsidRDefault="00A02982" w:rsidP="00A02982">
      <w:pPr>
        <w:pStyle w:val="BodyTextIndent1"/>
        <w:spacing w:line="240" w:lineRule="auto"/>
      </w:pPr>
      <w:r w:rsidRPr="00AC3F20">
        <w:t xml:space="preserve">In the Campbell-Stanley-Cook-Shadish framework, there are four classes of threats to the validity of research designs, which </w:t>
      </w:r>
      <w:r w:rsidR="00930343">
        <w:t>can be described generically in terms of the process of deciding if a particular independent variable has a causal effect on a dependent variable.  Data analysis validity is about whether the design permits an accurate assessment of whether there is a relation between the independent variable and the dependent variables as measured.  Internal validity concerns whether the design permits an accurate assessment of whether the association is causal.  External validity is about whether the design permits an accurate assessment of whether the causal relation found will generalize to other situations.  Construct validity of explanation is about whether the design permits accurate identification of the components of the independent variable that actually cause the relation with the outcome.  W</w:t>
      </w:r>
      <w:r w:rsidRPr="00AC3F20">
        <w:t xml:space="preserve">e </w:t>
      </w:r>
      <w:r w:rsidR="00930343">
        <w:t>discuss slightly</w:t>
      </w:r>
      <w:r w:rsidRPr="00AC3F20">
        <w:t xml:space="preserve"> generalized </w:t>
      </w:r>
      <w:r w:rsidR="00930343">
        <w:t>versions of these types of validity in the sections of this chapter that follow.</w:t>
      </w:r>
    </w:p>
    <w:p w14:paraId="4A1CEB37" w14:textId="77777777" w:rsidR="00A02982" w:rsidRDefault="00A02982" w:rsidP="00A02982">
      <w:pPr>
        <w:pStyle w:val="BodyTextIndent1"/>
        <w:spacing w:line="240" w:lineRule="auto"/>
        <w:ind w:firstLine="0"/>
      </w:pPr>
    </w:p>
    <w:p w14:paraId="5B2354B0" w14:textId="4E0D410B" w:rsidR="00A02982" w:rsidRPr="00A02982" w:rsidRDefault="00A02982" w:rsidP="00A02982">
      <w:pPr>
        <w:pStyle w:val="BodyTextIndent1"/>
        <w:spacing w:line="240" w:lineRule="auto"/>
        <w:ind w:firstLine="0"/>
        <w:rPr>
          <w:b/>
          <w:bCs/>
          <w:sz w:val="28"/>
          <w:szCs w:val="28"/>
        </w:rPr>
      </w:pPr>
      <w:r w:rsidRPr="00A02982">
        <w:rPr>
          <w:b/>
          <w:bCs/>
          <w:sz w:val="28"/>
          <w:szCs w:val="28"/>
        </w:rPr>
        <w:t>A. Data analysis validity</w:t>
      </w:r>
    </w:p>
    <w:p w14:paraId="7574B7DB" w14:textId="695F3B2D" w:rsidR="00A02982" w:rsidRDefault="00A02982" w:rsidP="00A02982">
      <w:pPr>
        <w:pStyle w:val="BodyTextIndent1"/>
        <w:spacing w:line="240" w:lineRule="auto"/>
      </w:pPr>
      <w:r w:rsidRPr="00AC3F20">
        <w:t>Cook and Campbell (1978) originally called this class of threats to validity ‘statistical conclusion validity’, but the idea is clearly more general. All empirical research designs involve the collection of empirical materials which are organized by the analysis in order to draw conclusions. If the design does not assure that the empirical materials used in the analysis are adequate to draw conclusions or if the analysis is not organized to permit drawing valid conclusions even if the materials collected are sufficient to do so, then the conclusions drawn from the research design will be invalid.</w:t>
      </w:r>
    </w:p>
    <w:p w14:paraId="19BE372F" w14:textId="394EB2A6" w:rsidR="00A02982" w:rsidRDefault="00031752" w:rsidP="00A02982">
      <w:pPr>
        <w:pStyle w:val="BodyTextIndent1"/>
        <w:spacing w:line="240" w:lineRule="auto"/>
      </w:pPr>
      <w:r>
        <w:t>In quantitative studies the analysis of the data collected is statistical, hence the name statistical conclusion validity.  Several s</w:t>
      </w:r>
      <w:r w:rsidR="00A02982" w:rsidRPr="00AC3F20">
        <w:t xml:space="preserve">pecific threats to data analysis validity </w:t>
      </w:r>
      <w:r>
        <w:t>are described in the sections below.</w:t>
      </w:r>
    </w:p>
    <w:p w14:paraId="1B286EF0" w14:textId="19A504F3" w:rsidR="00031752" w:rsidRPr="00031752" w:rsidRDefault="00031752" w:rsidP="00031752">
      <w:pPr>
        <w:pStyle w:val="BodyTextIndent1"/>
        <w:spacing w:line="240" w:lineRule="auto"/>
        <w:ind w:firstLine="0"/>
        <w:rPr>
          <w:b/>
          <w:bCs/>
        </w:rPr>
      </w:pPr>
      <w:r w:rsidRPr="00031752">
        <w:rPr>
          <w:b/>
          <w:bCs/>
        </w:rPr>
        <w:t>A.1 Unreliable data Elements</w:t>
      </w:r>
    </w:p>
    <w:p w14:paraId="3157CBD5" w14:textId="41D889CC" w:rsidR="00A02982" w:rsidRPr="00AC3F20" w:rsidRDefault="00031752" w:rsidP="00031752">
      <w:pPr>
        <w:pStyle w:val="BulletedList"/>
        <w:spacing w:line="240" w:lineRule="auto"/>
        <w:ind w:left="0" w:firstLine="360"/>
      </w:pPr>
      <w:r>
        <w:t>U</w:t>
      </w:r>
      <w:r w:rsidR="00A02982" w:rsidRPr="00AC3F20">
        <w:t xml:space="preserve">nreliable data elements might </w:t>
      </w:r>
      <w:r>
        <w:t xml:space="preserve">be </w:t>
      </w:r>
      <w:r w:rsidR="00A02982" w:rsidRPr="00AC3F20">
        <w:t>measurements, notations of occurrences from field notes, incorrect observations of participants. Often this will occur due to too few observations, too little time spent observing or poor choices of what to observe (e.g. intrinsically variable as opposed to more stable characteristics)</w:t>
      </w:r>
      <w:r>
        <w:t xml:space="preserve">.  In quantitative studies where the </w:t>
      </w:r>
      <w:r w:rsidR="00AD269A">
        <w:t xml:space="preserve">individual observations are in the form of tests, rating scales, or attitude scales, there is a highly developed set of psychometric theory and methods to assess reliability of measurements of various kinds.  One aspect of this theory is a highly developed theory of reliability of measurements and how to assess it (e.g., methods like Cronbach’s alpha coefficient).  In quantitative studies where the observations are systematic observations of behavior (e.g., classroom observations of instruction or group processes) there is also a highly developed psychometric theory of the dependability of behavioral measurement and </w:t>
      </w:r>
      <w:r w:rsidR="00AD269A">
        <w:lastRenderedPageBreak/>
        <w:t>how to assess it (e.g., generalizability theory).  Both of these methodologies include quantitative concepts (reliability and generalizability coefficients, respectively) that are explicitly linked to the sensitivity of statistical tests.</w:t>
      </w:r>
    </w:p>
    <w:p w14:paraId="3523D361" w14:textId="77777777" w:rsidR="00AD269A" w:rsidRDefault="00AD269A" w:rsidP="00031752">
      <w:pPr>
        <w:pStyle w:val="BulletedList"/>
        <w:spacing w:line="240" w:lineRule="auto"/>
        <w:ind w:left="0" w:firstLine="0"/>
      </w:pPr>
    </w:p>
    <w:p w14:paraId="30264ECC" w14:textId="77777777" w:rsidR="0010234B" w:rsidRPr="0010234B" w:rsidRDefault="00AD269A" w:rsidP="00031752">
      <w:pPr>
        <w:pStyle w:val="BulletedList"/>
        <w:spacing w:line="240" w:lineRule="auto"/>
        <w:ind w:left="0" w:firstLine="0"/>
      </w:pPr>
      <w:r w:rsidRPr="00AD269A">
        <w:rPr>
          <w:b/>
          <w:bCs/>
        </w:rPr>
        <w:t>A.2 I</w:t>
      </w:r>
      <w:r w:rsidR="00A02982" w:rsidRPr="00AD269A">
        <w:rPr>
          <w:b/>
          <w:bCs/>
        </w:rPr>
        <w:t>ncorrect analysis</w:t>
      </w:r>
    </w:p>
    <w:p w14:paraId="10338858" w14:textId="7E81FF60" w:rsidR="00A02982" w:rsidRDefault="0010234B" w:rsidP="00031752">
      <w:pPr>
        <w:pStyle w:val="BulletedList"/>
        <w:spacing w:line="240" w:lineRule="auto"/>
        <w:ind w:left="0" w:firstLine="0"/>
      </w:pPr>
      <w:r w:rsidRPr="0010234B">
        <w:t xml:space="preserve">Incorrect analyses </w:t>
      </w:r>
      <w:r>
        <w:t>occur when the analysis is an</w:t>
      </w:r>
      <w:r w:rsidR="00A02982" w:rsidRPr="00AC3F20">
        <w:t xml:space="preserve"> invalid summary of data elements</w:t>
      </w:r>
      <w:r>
        <w:t>.  In qualitative work this</w:t>
      </w:r>
      <w:r w:rsidR="00A02982" w:rsidRPr="00AC3F20">
        <w:t xml:space="preserve"> could </w:t>
      </w:r>
      <w:r>
        <w:t>occur</w:t>
      </w:r>
      <w:r w:rsidR="00A02982" w:rsidRPr="00AC3F20">
        <w:t xml:space="preserve"> </w:t>
      </w:r>
      <w:r>
        <w:t xml:space="preserve">when the analysis </w:t>
      </w:r>
      <w:r w:rsidR="00A02982" w:rsidRPr="00AC3F20">
        <w:t>reli</w:t>
      </w:r>
      <w:r>
        <w:t>ed</w:t>
      </w:r>
      <w:r w:rsidR="00A02982" w:rsidRPr="00AC3F20">
        <w:t xml:space="preserve"> on impressions </w:t>
      </w:r>
      <w:r>
        <w:t>from</w:t>
      </w:r>
      <w:r w:rsidR="00A02982" w:rsidRPr="00AC3F20">
        <w:t xml:space="preserve"> memory when more verifiable means are available, such as counting instances in field notes</w:t>
      </w:r>
      <w:r>
        <w:t>.  In quantitative studies incorrect analyses can occur when an incorrect statistical method is used (e.g., one that makes assumptions that are untenable) or when it is applied incorrectly.</w:t>
      </w:r>
    </w:p>
    <w:p w14:paraId="20625284" w14:textId="77777777" w:rsidR="0010234B" w:rsidRPr="0010234B" w:rsidRDefault="0010234B" w:rsidP="00031752">
      <w:pPr>
        <w:pStyle w:val="BulletedList"/>
        <w:spacing w:line="240" w:lineRule="auto"/>
        <w:ind w:left="0" w:firstLine="0"/>
        <w:rPr>
          <w:b/>
          <w:bCs/>
        </w:rPr>
      </w:pPr>
      <w:r w:rsidRPr="0010234B">
        <w:rPr>
          <w:b/>
          <w:bCs/>
        </w:rPr>
        <w:t>A.3 I</w:t>
      </w:r>
      <w:r w:rsidR="00A02982" w:rsidRPr="0010234B">
        <w:rPr>
          <w:b/>
          <w:bCs/>
        </w:rPr>
        <w:t xml:space="preserve">ncorrect data elements </w:t>
      </w:r>
    </w:p>
    <w:p w14:paraId="1DEBDC8C" w14:textId="32DA9976" w:rsidR="00A02982" w:rsidRDefault="0010234B" w:rsidP="00031752">
      <w:pPr>
        <w:pStyle w:val="BulletedList"/>
        <w:spacing w:line="240" w:lineRule="auto"/>
        <w:ind w:left="0" w:firstLine="0"/>
      </w:pPr>
      <w:r>
        <w:t xml:space="preserve">Incorrect data elements </w:t>
      </w:r>
      <w:r w:rsidR="00A02982" w:rsidRPr="00AC3F20">
        <w:t>includ</w:t>
      </w:r>
      <w:r>
        <w:t>e</w:t>
      </w:r>
      <w:r w:rsidR="00A02982" w:rsidRPr="00AC3F20">
        <w:t xml:space="preserve"> </w:t>
      </w:r>
      <w:r>
        <w:t xml:space="preserve">those </w:t>
      </w:r>
      <w:r w:rsidR="00A02982" w:rsidRPr="00AC3F20">
        <w:t>using invalid measurements</w:t>
      </w:r>
      <w:r>
        <w:t>.  In qualitative studies, this includes</w:t>
      </w:r>
      <w:r w:rsidR="00A02982" w:rsidRPr="00AC3F20">
        <w:t xml:space="preserve"> focusing data collection on the</w:t>
      </w:r>
      <w:r w:rsidR="00A02982">
        <w:t xml:space="preserve"> </w:t>
      </w:r>
      <w:r w:rsidR="00A02982" w:rsidRPr="00AC3F20">
        <w:t>wrong participants or being deceived by informants.</w:t>
      </w:r>
      <w:r>
        <w:t xml:space="preserve">  In quantitative studies, this can happen when data is coded incorrectly (e.g., there are errors in tabulation, matching, or aggregation).  </w:t>
      </w:r>
      <w:r w:rsidR="00065086">
        <w:t xml:space="preserve">For example, when attitude questionnaire phrases some questions positively (e.g., I like science) and some negatively (e.g., I don’t like science) but the ratings of the negatively phrased questions are not reversed before aggregations.  Incorrect data elements can also arise when data </w:t>
      </w:r>
      <w:r>
        <w:t>is transformed in ways that undermine or exaggerate its properties.  For example</w:t>
      </w:r>
      <w:r w:rsidR="00065086">
        <w:t>, when ranks are treated as independent ratings and aggregated as if they were test scores.</w:t>
      </w:r>
    </w:p>
    <w:p w14:paraId="3BFBED70" w14:textId="77777777" w:rsidR="00A02982" w:rsidRDefault="00A02982" w:rsidP="00031752">
      <w:pPr>
        <w:pStyle w:val="BulletedList"/>
        <w:spacing w:line="240" w:lineRule="auto"/>
        <w:ind w:left="0" w:firstLine="0"/>
      </w:pPr>
    </w:p>
    <w:p w14:paraId="05CD74D5" w14:textId="52AF0E7E" w:rsidR="00A02982" w:rsidRPr="00A02982" w:rsidRDefault="00A02982" w:rsidP="00A02982">
      <w:pPr>
        <w:pStyle w:val="BulletedList"/>
        <w:spacing w:line="240" w:lineRule="auto"/>
        <w:ind w:left="0" w:firstLine="0"/>
        <w:rPr>
          <w:b/>
          <w:bCs/>
          <w:sz w:val="28"/>
          <w:szCs w:val="28"/>
        </w:rPr>
      </w:pPr>
      <w:r w:rsidRPr="00A02982">
        <w:rPr>
          <w:b/>
          <w:bCs/>
          <w:sz w:val="28"/>
          <w:szCs w:val="28"/>
        </w:rPr>
        <w:t>B. Internal validity</w:t>
      </w:r>
    </w:p>
    <w:p w14:paraId="3607CBD9" w14:textId="073E1252" w:rsidR="00A02982" w:rsidRPr="00AC3F20" w:rsidRDefault="00A02982" w:rsidP="00A02982">
      <w:pPr>
        <w:pStyle w:val="BodyTextIndent1"/>
        <w:spacing w:line="240" w:lineRule="auto"/>
      </w:pPr>
      <w:r w:rsidRPr="00AC3F20">
        <w:t>This was one of the two original classes of threats to validity mentioned by Campbell and Stanley (1963). It refers to the issue of whether the relation observed between putative independent and dependent variables is a causal relation as opposed to just an association that is not causal. Obviously</w:t>
      </w:r>
      <w:r w:rsidR="00065086">
        <w:t>,</w:t>
      </w:r>
      <w:r w:rsidRPr="00AC3F20">
        <w:t xml:space="preserve"> this class of threat applies only to research designs that are seeking to identify causal relations. Research designs or research traditions that seek just to identify associations are not subject to threats to internal validity. For research traditions that do make claims about cause and effect, achieving internal validity is a fundamental (and often daunting) validity challenge.</w:t>
      </w:r>
    </w:p>
    <w:p w14:paraId="562EDCB4" w14:textId="4EEF0D66" w:rsidR="00A02982" w:rsidRDefault="00A02982" w:rsidP="00A02982">
      <w:pPr>
        <w:pStyle w:val="BodyTextIndent1"/>
        <w:spacing w:line="240" w:lineRule="auto"/>
      </w:pPr>
      <w:r w:rsidRPr="00AC3F20">
        <w:t>There is a long list of threats to internal validity in quantitative studies. Some of these threats apply only to specific types of designs, others apply more generally. For example, consider the threat of maturation given below. The threat is that individuals may have changed as part of a natural process over the period of the study and this might undermine the validity of causal claims made based on the design. Clearly this threat is more serious in a design such as the pre-test/post-test design (where it is completely indistinguishable from a change caused by the treatment) than in a design with a comparison group (where the comparison groups would also be subject to maturation and so could provide an indication of any maturation effects). Moreover, these threats are more important when a design is used to study some types of problem than when it is used to study others. For example, consider the threat of maturation again. Clearly this threat is more serious over a year-long study than a two-week study and more serious when the outcome being measured is one that is changing rapidly in the natural development of individuals like those in the study.</w:t>
      </w:r>
      <w:r w:rsidR="00065086">
        <w:t xml:space="preserve">  Some i</w:t>
      </w:r>
      <w:r w:rsidRPr="00AC3F20">
        <w:t xml:space="preserve">mportant threats to internal validity </w:t>
      </w:r>
      <w:r w:rsidR="00065086">
        <w:t xml:space="preserve">are listed in </w:t>
      </w:r>
      <w:r w:rsidRPr="00AC3F20">
        <w:t>the following</w:t>
      </w:r>
      <w:r w:rsidR="00065086">
        <w:t xml:space="preserve"> sections, but a fuller discussion see chapter ??? of Shadish, Cook, and Campbell (2002).</w:t>
      </w:r>
    </w:p>
    <w:p w14:paraId="43E1D6CC" w14:textId="77777777" w:rsidR="00065086" w:rsidRPr="00AC3F20" w:rsidRDefault="00065086" w:rsidP="00A02982">
      <w:pPr>
        <w:pStyle w:val="BodyTextIndent1"/>
        <w:spacing w:line="240" w:lineRule="auto"/>
      </w:pPr>
    </w:p>
    <w:p w14:paraId="02461BFC" w14:textId="211B7E7B" w:rsidR="00065086" w:rsidRPr="00065086" w:rsidRDefault="00065086" w:rsidP="00065086">
      <w:pPr>
        <w:pStyle w:val="BulletedList"/>
        <w:spacing w:line="240" w:lineRule="auto"/>
        <w:ind w:left="0" w:firstLine="0"/>
        <w:rPr>
          <w:b/>
          <w:bCs/>
        </w:rPr>
      </w:pPr>
      <w:r w:rsidRPr="00065086">
        <w:rPr>
          <w:b/>
          <w:bCs/>
        </w:rPr>
        <w:t>B.1</w:t>
      </w:r>
      <w:r>
        <w:rPr>
          <w:b/>
          <w:bCs/>
        </w:rPr>
        <w:t xml:space="preserve"> </w:t>
      </w:r>
      <w:r w:rsidR="00A02982" w:rsidRPr="00065086">
        <w:rPr>
          <w:b/>
          <w:bCs/>
        </w:rPr>
        <w:t xml:space="preserve">Ambiguous temporal precedence. </w:t>
      </w:r>
    </w:p>
    <w:p w14:paraId="5ED5BA35" w14:textId="70C80E3F" w:rsidR="00A02982" w:rsidRDefault="00A02982" w:rsidP="00065086">
      <w:pPr>
        <w:pStyle w:val="BulletedList"/>
        <w:spacing w:line="240" w:lineRule="auto"/>
        <w:ind w:left="0" w:firstLine="0"/>
      </w:pPr>
      <w:r w:rsidRPr="00AC3F20">
        <w:lastRenderedPageBreak/>
        <w:t>Because causes must precede their effects, any claims of causality in which the putative cause does not unambiguously precede the putative effect is suspect.</w:t>
      </w:r>
      <w:r w:rsidR="00D903FB">
        <w:t xml:space="preserve">  One of the less obvious implications of this principle arises when some form of control (often statistical control) but the control variable might have been influenced by the putative independent variable.  For example, when a study uses a pretest that was administered after a part of the treatment had already been administered and therefore the value of the pretest reflects part of the treatment effect.  Temporal precedence is the reason that covariates (which by definition must not be able to be influenced by treatment assignment) are usually measured </w:t>
      </w:r>
      <w:r w:rsidR="00D903FB" w:rsidRPr="00D903FB">
        <w:rPr>
          <w:i/>
          <w:iCs/>
        </w:rPr>
        <w:t xml:space="preserve">before </w:t>
      </w:r>
      <w:r w:rsidR="00D903FB">
        <w:t>the treatment is administered.</w:t>
      </w:r>
    </w:p>
    <w:p w14:paraId="45D76A17" w14:textId="77777777" w:rsidR="00D903FB" w:rsidRPr="00AC3F20" w:rsidRDefault="00D903FB" w:rsidP="00065086">
      <w:pPr>
        <w:pStyle w:val="BulletedList"/>
        <w:spacing w:line="240" w:lineRule="auto"/>
        <w:ind w:left="0" w:firstLine="0"/>
      </w:pPr>
    </w:p>
    <w:p w14:paraId="42FDA76F" w14:textId="77777777" w:rsidR="00D903FB" w:rsidRDefault="00D903FB" w:rsidP="00D903FB">
      <w:pPr>
        <w:pStyle w:val="BulletedList"/>
        <w:spacing w:line="240" w:lineRule="auto"/>
        <w:ind w:left="0" w:firstLine="0"/>
        <w:rPr>
          <w:b/>
          <w:bCs/>
        </w:rPr>
      </w:pPr>
    </w:p>
    <w:p w14:paraId="4C61FF65" w14:textId="77777777" w:rsidR="00D903FB" w:rsidRDefault="00D903FB" w:rsidP="00D903FB">
      <w:pPr>
        <w:pStyle w:val="BulletedList"/>
        <w:spacing w:line="240" w:lineRule="auto"/>
        <w:ind w:left="0" w:firstLine="0"/>
        <w:rPr>
          <w:b/>
          <w:bCs/>
        </w:rPr>
      </w:pPr>
    </w:p>
    <w:p w14:paraId="666080A9" w14:textId="30004C2A" w:rsidR="00D903FB" w:rsidRDefault="00D903FB" w:rsidP="00D903FB">
      <w:pPr>
        <w:pStyle w:val="BulletedList"/>
        <w:spacing w:line="240" w:lineRule="auto"/>
        <w:ind w:left="0" w:firstLine="0"/>
        <w:rPr>
          <w:i/>
          <w:iCs/>
        </w:rPr>
      </w:pPr>
      <w:r w:rsidRPr="00D903FB">
        <w:rPr>
          <w:b/>
          <w:bCs/>
        </w:rPr>
        <w:t xml:space="preserve">B.2 </w:t>
      </w:r>
      <w:r w:rsidR="004D144B">
        <w:rPr>
          <w:b/>
          <w:bCs/>
        </w:rPr>
        <w:t>Testing or o</w:t>
      </w:r>
      <w:r w:rsidR="00A02982" w:rsidRPr="00D903FB">
        <w:rPr>
          <w:b/>
          <w:bCs/>
        </w:rPr>
        <w:t>bservation effects</w:t>
      </w:r>
      <w:r w:rsidR="00A02982" w:rsidRPr="00AC3F20">
        <w:rPr>
          <w:i/>
          <w:iCs/>
        </w:rPr>
        <w:t xml:space="preserve"> </w:t>
      </w:r>
    </w:p>
    <w:p w14:paraId="485574C5" w14:textId="132C2C00" w:rsidR="00A02982" w:rsidRDefault="00A02982" w:rsidP="00D903FB">
      <w:pPr>
        <w:pStyle w:val="BulletedList"/>
        <w:spacing w:line="240" w:lineRule="auto"/>
        <w:ind w:left="0" w:firstLine="0"/>
      </w:pPr>
      <w:r w:rsidRPr="00AC3F20">
        <w:t xml:space="preserve">The act of observing (or measuring or interviewing) </w:t>
      </w:r>
      <w:r w:rsidR="00D903FB">
        <w:t xml:space="preserve">may </w:t>
      </w:r>
      <w:r w:rsidRPr="00AC3F20">
        <w:t xml:space="preserve">change the phenomenon being observed in substantial ways. </w:t>
      </w:r>
      <w:r w:rsidR="004D144B">
        <w:t xml:space="preserve">For example, attention to the ways students go about planning an investigation or interviews about </w:t>
      </w:r>
      <w:r w:rsidR="00463736">
        <w:t xml:space="preserve">their strategies in an investigation of scientific problem solving might change the students insights about problem solving.  </w:t>
      </w:r>
      <w:r w:rsidRPr="00AC3F20">
        <w:t>This presents a threat to internal validity when observation effects might be confused with relations between putative independent and dependent variables.</w:t>
      </w:r>
    </w:p>
    <w:p w14:paraId="65E40BE1" w14:textId="78A8B105" w:rsidR="004C7680" w:rsidRDefault="004C7680" w:rsidP="00D903FB">
      <w:pPr>
        <w:pStyle w:val="BulletedList"/>
        <w:spacing w:line="240" w:lineRule="auto"/>
        <w:ind w:left="0" w:firstLine="0"/>
      </w:pPr>
    </w:p>
    <w:p w14:paraId="7A9BF770" w14:textId="4C10FDD4" w:rsidR="004C7680" w:rsidRPr="004C7680" w:rsidRDefault="004C7680" w:rsidP="00D903FB">
      <w:pPr>
        <w:pStyle w:val="BulletedList"/>
        <w:spacing w:line="240" w:lineRule="auto"/>
        <w:ind w:left="0" w:firstLine="0"/>
        <w:rPr>
          <w:b/>
          <w:bCs/>
        </w:rPr>
      </w:pPr>
      <w:r w:rsidRPr="004C7680">
        <w:rPr>
          <w:b/>
          <w:bCs/>
        </w:rPr>
        <w:t xml:space="preserve">B.3 </w:t>
      </w:r>
      <w:r w:rsidR="004D144B">
        <w:rPr>
          <w:b/>
          <w:bCs/>
        </w:rPr>
        <w:t>Instrumentation</w:t>
      </w:r>
    </w:p>
    <w:p w14:paraId="22E9147F" w14:textId="05A85A11" w:rsidR="00D903FB" w:rsidRDefault="00463736" w:rsidP="00D903FB">
      <w:pPr>
        <w:pStyle w:val="BulletedList"/>
        <w:spacing w:line="240" w:lineRule="auto"/>
        <w:ind w:left="0" w:firstLine="0"/>
      </w:pPr>
      <w:r>
        <w:t>The same instrument or observation protocol might not measure the same construct at different points in time.  For example, a test of arithmetic might represent mathematical ability when children are very young but represent diligence or clerical ability when students are older (and every child has essentially mastered basic arithmetic).  Over a shorter time period, some students might remember questions or answers between tests, so that performance on later tests measures both the intended construct and memory or reflection on the content of prior tests.</w:t>
      </w:r>
    </w:p>
    <w:p w14:paraId="3BE8ACD5" w14:textId="77777777" w:rsidR="004D144B" w:rsidRPr="00AC3F20" w:rsidRDefault="004D144B" w:rsidP="00D903FB">
      <w:pPr>
        <w:pStyle w:val="BulletedList"/>
        <w:spacing w:line="240" w:lineRule="auto"/>
        <w:ind w:left="0" w:firstLine="0"/>
      </w:pPr>
    </w:p>
    <w:p w14:paraId="4E738831" w14:textId="454C3D1F" w:rsidR="00D903FB" w:rsidRDefault="00D903FB" w:rsidP="00D903FB">
      <w:pPr>
        <w:pStyle w:val="BulletedList"/>
        <w:spacing w:line="240" w:lineRule="auto"/>
        <w:ind w:left="0" w:firstLine="0"/>
        <w:rPr>
          <w:i/>
          <w:iCs/>
        </w:rPr>
      </w:pPr>
      <w:r w:rsidRPr="00D903FB">
        <w:rPr>
          <w:b/>
          <w:bCs/>
        </w:rPr>
        <w:t>B.</w:t>
      </w:r>
      <w:r w:rsidR="004C7680">
        <w:rPr>
          <w:b/>
          <w:bCs/>
        </w:rPr>
        <w:t>4</w:t>
      </w:r>
      <w:r w:rsidRPr="00D903FB">
        <w:rPr>
          <w:b/>
          <w:bCs/>
        </w:rPr>
        <w:t xml:space="preserve"> </w:t>
      </w:r>
      <w:r w:rsidR="00A02982" w:rsidRPr="00D903FB">
        <w:rPr>
          <w:b/>
          <w:bCs/>
        </w:rPr>
        <w:t>Maturation</w:t>
      </w:r>
      <w:r w:rsidR="00A02982" w:rsidRPr="00AC3F20">
        <w:rPr>
          <w:i/>
          <w:iCs/>
        </w:rPr>
        <w:t xml:space="preserve"> </w:t>
      </w:r>
    </w:p>
    <w:p w14:paraId="116D8A87" w14:textId="10547119" w:rsidR="00A02982" w:rsidRPr="00AC3F20" w:rsidRDefault="00A02982" w:rsidP="00D903FB">
      <w:pPr>
        <w:pStyle w:val="BulletedList"/>
        <w:spacing w:line="240" w:lineRule="auto"/>
        <w:ind w:left="0" w:firstLine="0"/>
      </w:pPr>
      <w:r w:rsidRPr="00AC3F20">
        <w:t xml:space="preserve">Individuals grow older, wiser and more experienced over time for reasons that have nothing to do with interventions. </w:t>
      </w:r>
      <w:r w:rsidR="0064074E">
        <w:t xml:space="preserve"> For example, many competencies measured by achievement tests in early grades are learned eventually by virtually every student.  Maturation</w:t>
      </w:r>
      <w:r w:rsidRPr="00AC3F20">
        <w:t xml:space="preserve"> presents a threat to internal validity when maturation effects might be confused with relations between putative independent and dependent variables.</w:t>
      </w:r>
    </w:p>
    <w:p w14:paraId="4AEAD0C1" w14:textId="77777777" w:rsidR="00D903FB" w:rsidRDefault="00D903FB" w:rsidP="00D903FB">
      <w:pPr>
        <w:pStyle w:val="BulletedList"/>
        <w:spacing w:line="240" w:lineRule="auto"/>
        <w:ind w:left="0" w:firstLine="0"/>
        <w:rPr>
          <w:i/>
          <w:iCs/>
        </w:rPr>
      </w:pPr>
    </w:p>
    <w:p w14:paraId="4DA993BE" w14:textId="3D64680B" w:rsidR="00D903FB" w:rsidRDefault="00D903FB" w:rsidP="00D903FB">
      <w:pPr>
        <w:pStyle w:val="BulletedList"/>
        <w:spacing w:line="240" w:lineRule="auto"/>
        <w:ind w:left="0" w:firstLine="0"/>
        <w:rPr>
          <w:i/>
          <w:iCs/>
        </w:rPr>
      </w:pPr>
      <w:r w:rsidRPr="00D903FB">
        <w:rPr>
          <w:b/>
          <w:bCs/>
        </w:rPr>
        <w:t>B.</w:t>
      </w:r>
      <w:r w:rsidR="004C7680">
        <w:rPr>
          <w:b/>
          <w:bCs/>
        </w:rPr>
        <w:t>5</w:t>
      </w:r>
      <w:r w:rsidRPr="00D903FB">
        <w:rPr>
          <w:b/>
          <w:bCs/>
        </w:rPr>
        <w:t xml:space="preserve"> </w:t>
      </w:r>
      <w:r w:rsidR="00A02982" w:rsidRPr="00D903FB">
        <w:rPr>
          <w:b/>
          <w:bCs/>
        </w:rPr>
        <w:t>Selection</w:t>
      </w:r>
      <w:r w:rsidR="00A02982" w:rsidRPr="00AC3F20">
        <w:rPr>
          <w:i/>
          <w:iCs/>
        </w:rPr>
        <w:t xml:space="preserve"> </w:t>
      </w:r>
    </w:p>
    <w:p w14:paraId="3268122B" w14:textId="200BD12A" w:rsidR="00A02982" w:rsidRPr="00AC3F20" w:rsidRDefault="00A02982" w:rsidP="00D903FB">
      <w:pPr>
        <w:pStyle w:val="BulletedList"/>
        <w:spacing w:line="240" w:lineRule="auto"/>
        <w:ind w:left="0" w:firstLine="0"/>
      </w:pPr>
      <w:r w:rsidRPr="00AC3F20">
        <w:t>When groups are being compared that are not randomly assigned it is possible that the groups differ in ways other than the putative independent variable which is the presumed cause of group differences in outcomes. This presents a threat to internal validity when the pre-existing differences between groups induced by selection could cause one of the groups to have higher outcome scores irrespective of the treatment.</w:t>
      </w:r>
      <w:r w:rsidR="0064074E">
        <w:t xml:space="preserve">  In studies that do not use random assignment, selection is often the most serious threat to the internal validity of evaluation studies and the most difficult to control.</w:t>
      </w:r>
    </w:p>
    <w:p w14:paraId="74D15BE7" w14:textId="77777777" w:rsidR="00D903FB" w:rsidRDefault="00D903FB" w:rsidP="00D903FB">
      <w:pPr>
        <w:pStyle w:val="BulletedList"/>
        <w:spacing w:line="240" w:lineRule="auto"/>
        <w:ind w:left="0" w:firstLine="0"/>
        <w:rPr>
          <w:i/>
          <w:iCs/>
        </w:rPr>
      </w:pPr>
    </w:p>
    <w:p w14:paraId="10A9393F" w14:textId="7F76361D" w:rsidR="00D903FB" w:rsidRDefault="00D903FB" w:rsidP="00D903FB">
      <w:pPr>
        <w:pStyle w:val="BulletedList"/>
        <w:spacing w:line="240" w:lineRule="auto"/>
        <w:ind w:left="0" w:firstLine="0"/>
        <w:rPr>
          <w:i/>
          <w:iCs/>
        </w:rPr>
      </w:pPr>
      <w:r w:rsidRPr="00D903FB">
        <w:rPr>
          <w:b/>
          <w:bCs/>
        </w:rPr>
        <w:t>B.</w:t>
      </w:r>
      <w:r w:rsidR="004C7680">
        <w:rPr>
          <w:b/>
          <w:bCs/>
        </w:rPr>
        <w:t>6</w:t>
      </w:r>
      <w:r w:rsidRPr="00D903FB">
        <w:rPr>
          <w:b/>
          <w:bCs/>
        </w:rPr>
        <w:t xml:space="preserve"> </w:t>
      </w:r>
      <w:r w:rsidR="00A02982" w:rsidRPr="00D903FB">
        <w:rPr>
          <w:b/>
          <w:bCs/>
        </w:rPr>
        <w:t>Mortality</w:t>
      </w:r>
      <w:r w:rsidR="00A02982" w:rsidRPr="00AC3F20">
        <w:rPr>
          <w:i/>
          <w:iCs/>
        </w:rPr>
        <w:t xml:space="preserve"> </w:t>
      </w:r>
    </w:p>
    <w:p w14:paraId="2704F1B0" w14:textId="3CBE2B4D" w:rsidR="00A02982" w:rsidRDefault="00A02982" w:rsidP="00D903FB">
      <w:pPr>
        <w:pStyle w:val="BulletedList"/>
        <w:spacing w:line="240" w:lineRule="auto"/>
        <w:ind w:left="0" w:firstLine="0"/>
      </w:pPr>
      <w:r w:rsidRPr="00AC3F20">
        <w:t xml:space="preserve">Often, not every unit (e.g. person, classroom, or school) that begins the study persists throughout the study. This presents a threat to the internal validity of the study if the units that drop out do so </w:t>
      </w:r>
      <w:r w:rsidRPr="00AC3F20">
        <w:lastRenderedPageBreak/>
        <w:t xml:space="preserve">in ways that are related to </w:t>
      </w:r>
      <w:r w:rsidR="0064074E">
        <w:t xml:space="preserve">both </w:t>
      </w:r>
      <w:r w:rsidRPr="00AC3F20">
        <w:t xml:space="preserve">the putative </w:t>
      </w:r>
      <w:r w:rsidR="0064074E">
        <w:t xml:space="preserve">independent and </w:t>
      </w:r>
      <w:r w:rsidRPr="00AC3F20">
        <w:t>dependent variable</w:t>
      </w:r>
      <w:r w:rsidR="0064074E">
        <w:t>s</w:t>
      </w:r>
      <w:r w:rsidRPr="00AC3F20">
        <w:t>. For example, in studies comparing two groups receiving different treatments, if the more able individuals tend to drop out of one group more frequently, and those who drop out differ from those who persist, this is a threat to the internal validity.</w:t>
      </w:r>
      <w:r w:rsidR="0064074E">
        <w:t xml:space="preserve">  Importantly, if mortality is unrelated to the outcome variables (that is if units that drop out do not have scores</w:t>
      </w:r>
      <w:r w:rsidR="007B4C1D">
        <w:t xml:space="preserve"> that are </w:t>
      </w:r>
      <w:r w:rsidR="0064074E">
        <w:t>systematically different than those</w:t>
      </w:r>
      <w:r w:rsidR="007B4C1D">
        <w:t xml:space="preserve"> </w:t>
      </w:r>
      <w:r w:rsidR="0064074E">
        <w:t>who do not drop out) then mortality is not a threat to internal validity</w:t>
      </w:r>
      <w:r w:rsidR="004D144B">
        <w:t xml:space="preserve">.  </w:t>
      </w:r>
      <w:r w:rsidR="004D144B">
        <w:t xml:space="preserve">Note that it is not enough to know that the mortality (dropout) rate is the same in treatment and control groups.  It is necessary to know that the units that drop out would have tended to have the same outcome scores in each group. </w:t>
      </w:r>
      <w:r w:rsidR="004D144B">
        <w:t>T</w:t>
      </w:r>
      <w:r w:rsidR="0064074E">
        <w:t>h</w:t>
      </w:r>
      <w:r w:rsidR="004D144B">
        <w:t>e</w:t>
      </w:r>
      <w:r w:rsidR="0064074E">
        <w:t>s</w:t>
      </w:r>
      <w:r w:rsidR="004D144B">
        <w:t>e</w:t>
      </w:r>
      <w:r w:rsidR="0064074E">
        <w:t xml:space="preserve"> conditions are very difficult to verify</w:t>
      </w:r>
      <w:r w:rsidR="00F02EF0">
        <w:t xml:space="preserve"> empirically because we do not observe the outcomes of units that drop out of the study</w:t>
      </w:r>
      <w:r w:rsidR="0064074E">
        <w:t>.</w:t>
      </w:r>
    </w:p>
    <w:p w14:paraId="6B70166A" w14:textId="5CCCA028" w:rsidR="00F02EF0" w:rsidRDefault="00F02EF0" w:rsidP="00D903FB">
      <w:pPr>
        <w:pStyle w:val="BulletedList"/>
        <w:spacing w:line="240" w:lineRule="auto"/>
        <w:ind w:left="0" w:firstLine="0"/>
      </w:pPr>
      <w:r>
        <w:tab/>
      </w:r>
      <w:r w:rsidR="004D144B">
        <w:t xml:space="preserve"> </w:t>
      </w:r>
    </w:p>
    <w:p w14:paraId="249ACE28" w14:textId="61E3AD18" w:rsidR="004C7680" w:rsidRDefault="004C7680" w:rsidP="00D903FB">
      <w:pPr>
        <w:pStyle w:val="BulletedList"/>
        <w:spacing w:line="240" w:lineRule="auto"/>
        <w:ind w:left="0" w:firstLine="0"/>
      </w:pPr>
    </w:p>
    <w:p w14:paraId="76746661" w14:textId="2703A4AF" w:rsidR="004C7680" w:rsidRPr="004C7680" w:rsidRDefault="004C7680" w:rsidP="00D903FB">
      <w:pPr>
        <w:pStyle w:val="BulletedList"/>
        <w:spacing w:line="240" w:lineRule="auto"/>
        <w:ind w:left="0" w:firstLine="0"/>
        <w:rPr>
          <w:b/>
          <w:bCs/>
        </w:rPr>
      </w:pPr>
      <w:r w:rsidRPr="004C7680">
        <w:rPr>
          <w:b/>
          <w:bCs/>
        </w:rPr>
        <w:t>B.</w:t>
      </w:r>
      <w:r>
        <w:rPr>
          <w:b/>
          <w:bCs/>
        </w:rPr>
        <w:t>7</w:t>
      </w:r>
      <w:r w:rsidRPr="004C7680">
        <w:rPr>
          <w:b/>
          <w:bCs/>
        </w:rPr>
        <w:t xml:space="preserve"> Regression</w:t>
      </w:r>
    </w:p>
    <w:p w14:paraId="33C4BD46" w14:textId="1F06532C" w:rsidR="00011C01" w:rsidRDefault="00011C01" w:rsidP="00011C01">
      <w:pPr>
        <w:spacing w:after="0"/>
        <w:ind w:firstLine="720"/>
        <w:rPr>
          <w:rFonts w:ascii="Times New Roman" w:hAnsi="Times New Roman" w:cs="Times New Roman"/>
          <w:sz w:val="24"/>
          <w:szCs w:val="24"/>
        </w:rPr>
      </w:pPr>
      <w:r>
        <w:rPr>
          <w:rFonts w:ascii="Times New Roman" w:hAnsi="Times New Roman" w:cs="Times New Roman"/>
          <w:sz w:val="24"/>
          <w:szCs w:val="24"/>
        </w:rPr>
        <w:t>Regression to the mean was first discovered in genetics, where Galton called it “regression to mediocrity,” where he noted that particularly tall (or particularly short) parents tended to have children that were taller (or shorter) than average, but closer to the average than their parents.  The principle is far more general than the genetics of height, applying to any situation in which a</w:t>
      </w:r>
      <w:r>
        <w:rPr>
          <w:rFonts w:ascii="Times New Roman" w:hAnsi="Times New Roman" w:cs="Times New Roman"/>
          <w:sz w:val="24"/>
          <w:szCs w:val="24"/>
        </w:rPr>
        <w:t>n individual or</w:t>
      </w:r>
      <w:r>
        <w:rPr>
          <w:rFonts w:ascii="Times New Roman" w:hAnsi="Times New Roman" w:cs="Times New Roman"/>
          <w:sz w:val="24"/>
          <w:szCs w:val="24"/>
        </w:rPr>
        <w:t xml:space="preserve"> group is selected because it deviates from the mean on a measured variable.</w:t>
      </w:r>
    </w:p>
    <w:p w14:paraId="40DC04D0" w14:textId="4DEDDB0B" w:rsidR="00F635C7" w:rsidRDefault="00F635C7" w:rsidP="00F635C7">
      <w:pPr>
        <w:spacing w:after="0"/>
        <w:ind w:firstLine="720"/>
        <w:rPr>
          <w:rFonts w:ascii="Times New Roman" w:hAnsi="Times New Roman" w:cs="Times New Roman"/>
          <w:sz w:val="24"/>
          <w:szCs w:val="24"/>
        </w:rPr>
      </w:pPr>
      <w:r>
        <w:rPr>
          <w:rFonts w:ascii="Times New Roman" w:hAnsi="Times New Roman" w:cs="Times New Roman"/>
          <w:sz w:val="24"/>
          <w:szCs w:val="24"/>
        </w:rPr>
        <w:t xml:space="preserve">We can even quantify this effect.  If </w:t>
      </w:r>
      <w:r w:rsidRPr="00011EDB">
        <w:rPr>
          <w:rFonts w:ascii="Times New Roman" w:hAnsi="Times New Roman" w:cs="Times New Roman"/>
          <w:i/>
          <w:iCs/>
          <w:sz w:val="24"/>
          <w:szCs w:val="24"/>
        </w:rPr>
        <w:t>μ</w:t>
      </w:r>
      <w:r w:rsidRPr="00011EDB">
        <w:rPr>
          <w:rFonts w:ascii="Times New Roman" w:hAnsi="Times New Roman" w:cs="Times New Roman"/>
          <w:i/>
          <w:iCs/>
          <w:sz w:val="24"/>
          <w:szCs w:val="24"/>
          <w:vertAlign w:val="subscript"/>
        </w:rPr>
        <w:t>X</w:t>
      </w:r>
      <w:r>
        <w:rPr>
          <w:rFonts w:ascii="Times New Roman" w:hAnsi="Times New Roman" w:cs="Times New Roman"/>
          <w:sz w:val="24"/>
          <w:szCs w:val="24"/>
        </w:rPr>
        <w:t xml:space="preserve"> and </w:t>
      </w:r>
      <w:r w:rsidRPr="00011EDB">
        <w:rPr>
          <w:rFonts w:ascii="Times New Roman" w:hAnsi="Times New Roman" w:cs="Times New Roman"/>
          <w:i/>
          <w:iCs/>
          <w:sz w:val="24"/>
          <w:szCs w:val="24"/>
        </w:rPr>
        <w:t>μ</w:t>
      </w:r>
      <w:r w:rsidRPr="00011EDB">
        <w:rPr>
          <w:rFonts w:ascii="Times New Roman" w:hAnsi="Times New Roman" w:cs="Times New Roman"/>
          <w:i/>
          <w:iCs/>
          <w:sz w:val="24"/>
          <w:szCs w:val="24"/>
          <w:vertAlign w:val="subscript"/>
        </w:rPr>
        <w:t>Y</w:t>
      </w:r>
      <w:r>
        <w:rPr>
          <w:rFonts w:ascii="Times New Roman" w:hAnsi="Times New Roman" w:cs="Times New Roman"/>
          <w:sz w:val="24"/>
          <w:szCs w:val="24"/>
        </w:rPr>
        <w:t xml:space="preserve"> are the means of </w:t>
      </w:r>
      <w:r w:rsidRPr="00011EDB">
        <w:rPr>
          <w:rFonts w:ascii="Times New Roman" w:hAnsi="Times New Roman" w:cs="Times New Roman"/>
          <w:i/>
          <w:iCs/>
          <w:sz w:val="24"/>
          <w:szCs w:val="24"/>
        </w:rPr>
        <w:t>X</w:t>
      </w:r>
      <w:r>
        <w:rPr>
          <w:rFonts w:ascii="Times New Roman" w:hAnsi="Times New Roman" w:cs="Times New Roman"/>
          <w:sz w:val="24"/>
          <w:szCs w:val="24"/>
        </w:rPr>
        <w:t xml:space="preserve"> and </w:t>
      </w:r>
      <w:r w:rsidRPr="00011EDB">
        <w:rPr>
          <w:rFonts w:ascii="Times New Roman" w:hAnsi="Times New Roman" w:cs="Times New Roman"/>
          <w:i/>
          <w:iCs/>
          <w:sz w:val="24"/>
          <w:szCs w:val="24"/>
        </w:rPr>
        <w:t>Y</w:t>
      </w:r>
      <w:r>
        <w:rPr>
          <w:rFonts w:ascii="Times New Roman" w:hAnsi="Times New Roman" w:cs="Times New Roman"/>
          <w:i/>
          <w:iCs/>
          <w:sz w:val="24"/>
          <w:szCs w:val="24"/>
        </w:rPr>
        <w:t xml:space="preserve">, </w:t>
      </w:r>
      <w:r w:rsidRPr="00A76610">
        <w:rPr>
          <w:rFonts w:ascii="Times New Roman" w:hAnsi="Times New Roman" w:cs="Times New Roman"/>
          <w:sz w:val="24"/>
          <w:szCs w:val="24"/>
        </w:rPr>
        <w:t xml:space="preserve">the variances of </w:t>
      </w:r>
      <w:r>
        <w:rPr>
          <w:rFonts w:ascii="Times New Roman" w:hAnsi="Times New Roman" w:cs="Times New Roman"/>
          <w:i/>
          <w:iCs/>
          <w:sz w:val="24"/>
          <w:szCs w:val="24"/>
        </w:rPr>
        <w:t xml:space="preserve">X </w:t>
      </w:r>
      <w:r w:rsidRPr="00A76610">
        <w:rPr>
          <w:rFonts w:ascii="Times New Roman" w:hAnsi="Times New Roman" w:cs="Times New Roman"/>
          <w:sz w:val="24"/>
          <w:szCs w:val="24"/>
        </w:rPr>
        <w:t xml:space="preserve">and </w:t>
      </w:r>
      <w:r>
        <w:rPr>
          <w:rFonts w:ascii="Times New Roman" w:hAnsi="Times New Roman" w:cs="Times New Roman"/>
          <w:i/>
          <w:iCs/>
          <w:sz w:val="24"/>
          <w:szCs w:val="24"/>
        </w:rPr>
        <w:t>Y</w:t>
      </w:r>
      <w:r w:rsidRPr="00A76610">
        <w:rPr>
          <w:rFonts w:ascii="Times New Roman" w:hAnsi="Times New Roman" w:cs="Times New Roman"/>
          <w:sz w:val="24"/>
          <w:szCs w:val="24"/>
        </w:rPr>
        <w:t xml:space="preserve"> are the same,</w:t>
      </w:r>
      <w:r>
        <w:rPr>
          <w:rFonts w:ascii="Times New Roman" w:hAnsi="Times New Roman" w:cs="Times New Roman"/>
          <w:sz w:val="24"/>
          <w:szCs w:val="24"/>
        </w:rPr>
        <w:t xml:space="preserve"> and </w:t>
      </w:r>
      <w:r w:rsidRPr="00D158FC">
        <w:rPr>
          <w:rFonts w:ascii="Times New Roman" w:hAnsi="Times New Roman" w:cs="Times New Roman"/>
          <w:i/>
          <w:sz w:val="24"/>
          <w:szCs w:val="24"/>
        </w:rPr>
        <w:t>ρ</w:t>
      </w:r>
      <w:r>
        <w:rPr>
          <w:rFonts w:ascii="Times New Roman" w:hAnsi="Times New Roman" w:cs="Times New Roman"/>
          <w:sz w:val="24"/>
          <w:szCs w:val="24"/>
        </w:rPr>
        <w:t xml:space="preserve"> is the correlation </w:t>
      </w:r>
      <w:r>
        <w:rPr>
          <w:rFonts w:ascii="Times New Roman" w:hAnsi="Times New Roman" w:cs="Times New Roman"/>
          <w:sz w:val="24"/>
          <w:szCs w:val="24"/>
        </w:rPr>
        <w:t xml:space="preserve">coefficient </w:t>
      </w:r>
      <w:r>
        <w:rPr>
          <w:rFonts w:ascii="Times New Roman" w:hAnsi="Times New Roman" w:cs="Times New Roman"/>
          <w:sz w:val="24"/>
          <w:szCs w:val="24"/>
        </w:rPr>
        <w:t xml:space="preserve">between </w:t>
      </w:r>
      <w:r w:rsidRPr="00011EDB">
        <w:rPr>
          <w:rFonts w:ascii="Times New Roman" w:hAnsi="Times New Roman" w:cs="Times New Roman"/>
          <w:i/>
          <w:iCs/>
          <w:sz w:val="24"/>
          <w:szCs w:val="24"/>
        </w:rPr>
        <w:t>X</w:t>
      </w:r>
      <w:r>
        <w:rPr>
          <w:rFonts w:ascii="Times New Roman" w:hAnsi="Times New Roman" w:cs="Times New Roman"/>
          <w:sz w:val="24"/>
          <w:szCs w:val="24"/>
        </w:rPr>
        <w:t xml:space="preserve"> and </w:t>
      </w:r>
      <w:r w:rsidRPr="00011EDB">
        <w:rPr>
          <w:rFonts w:ascii="Times New Roman" w:hAnsi="Times New Roman" w:cs="Times New Roman"/>
          <w:i/>
          <w:iCs/>
          <w:sz w:val="24"/>
          <w:szCs w:val="24"/>
        </w:rPr>
        <w:t>Y</w:t>
      </w:r>
      <w:r>
        <w:rPr>
          <w:rFonts w:ascii="Times New Roman" w:hAnsi="Times New Roman" w:cs="Times New Roman"/>
          <w:sz w:val="24"/>
          <w:szCs w:val="24"/>
        </w:rPr>
        <w:t xml:space="preserve"> in the reservoir from which the comparison group is composed, then the regression equation for predicting </w:t>
      </w:r>
      <w:r w:rsidRPr="00011EDB">
        <w:rPr>
          <w:rFonts w:ascii="Times New Roman" w:hAnsi="Times New Roman" w:cs="Times New Roman"/>
          <w:i/>
          <w:iCs/>
          <w:sz w:val="24"/>
          <w:szCs w:val="24"/>
        </w:rPr>
        <w:t>Y</w:t>
      </w:r>
      <w:r>
        <w:rPr>
          <w:rFonts w:ascii="Times New Roman" w:hAnsi="Times New Roman" w:cs="Times New Roman"/>
          <w:sz w:val="24"/>
          <w:szCs w:val="24"/>
        </w:rPr>
        <w:t xml:space="preserve"> from </w:t>
      </w:r>
      <w:r w:rsidRPr="00011EDB">
        <w:rPr>
          <w:rFonts w:ascii="Times New Roman" w:hAnsi="Times New Roman" w:cs="Times New Roman"/>
          <w:i/>
          <w:iCs/>
          <w:sz w:val="24"/>
          <w:szCs w:val="24"/>
        </w:rPr>
        <w:t>X</w:t>
      </w:r>
      <w:r>
        <w:rPr>
          <w:rFonts w:ascii="Times New Roman" w:hAnsi="Times New Roman" w:cs="Times New Roman"/>
          <w:sz w:val="24"/>
          <w:szCs w:val="24"/>
        </w:rPr>
        <w:t xml:space="preserve"> is</w:t>
      </w:r>
    </w:p>
    <w:p w14:paraId="53B175BB" w14:textId="77777777" w:rsidR="00F635C7" w:rsidRDefault="00F635C7" w:rsidP="00F635C7">
      <w:pPr>
        <w:spacing w:after="0"/>
        <w:ind w:firstLine="720"/>
        <w:rPr>
          <w:rFonts w:ascii="Times New Roman" w:hAnsi="Times New Roman" w:cs="Times New Roman"/>
          <w:sz w:val="24"/>
          <w:szCs w:val="24"/>
        </w:rPr>
      </w:pPr>
      <w:r w:rsidRPr="00A76610">
        <w:rPr>
          <w:rFonts w:ascii="Times New Roman" w:hAnsi="Times New Roman" w:cs="Times New Roman"/>
          <w:position w:val="-14"/>
          <w:sz w:val="24"/>
          <w:szCs w:val="24"/>
        </w:rPr>
        <w:object w:dxaOrig="2020" w:dyaOrig="420" w14:anchorId="450A8D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1.15pt;height:20.95pt" o:ole="">
            <v:imagedata r:id="rId7" o:title=""/>
          </v:shape>
          <o:OLEObject Type="Embed" ProgID="Equation.DSMT4" ShapeID="_x0000_i1027" DrawAspect="Content" ObjectID="_1671352916" r:id="rId8"/>
        </w:object>
      </w:r>
      <w:r>
        <w:rPr>
          <w:rFonts w:ascii="Times New Roman" w:hAnsi="Times New Roman" w:cs="Times New Roman"/>
          <w:sz w:val="24"/>
          <w:szCs w:val="24"/>
        </w:rPr>
        <w:t xml:space="preserve"> .</w:t>
      </w:r>
    </w:p>
    <w:p w14:paraId="50B18365" w14:textId="59FE5C6D" w:rsidR="00F635C7" w:rsidRDefault="00F635C7" w:rsidP="00F635C7">
      <w:pPr>
        <w:spacing w:after="0"/>
        <w:rPr>
          <w:rFonts w:ascii="Times New Roman" w:hAnsi="Times New Roman" w:cs="Times New Roman"/>
          <w:sz w:val="24"/>
          <w:szCs w:val="24"/>
        </w:rPr>
      </w:pPr>
      <w:r>
        <w:rPr>
          <w:rFonts w:ascii="Times New Roman" w:hAnsi="Times New Roman" w:cs="Times New Roman"/>
          <w:sz w:val="24"/>
          <w:szCs w:val="24"/>
        </w:rPr>
        <w:t xml:space="preserve">This equation shows that if </w:t>
      </w:r>
      <w:r w:rsidRPr="00D158FC">
        <w:rPr>
          <w:rFonts w:ascii="Times New Roman" w:hAnsi="Times New Roman" w:cs="Times New Roman"/>
          <w:i/>
          <w:sz w:val="24"/>
          <w:szCs w:val="24"/>
        </w:rPr>
        <w:t>ρ</w:t>
      </w:r>
      <w:r>
        <w:rPr>
          <w:rFonts w:ascii="Times New Roman" w:hAnsi="Times New Roman" w:cs="Times New Roman"/>
          <w:sz w:val="24"/>
          <w:szCs w:val="24"/>
        </w:rPr>
        <w:t xml:space="preserve"> = 0 there is no regression effect, but the stronger the correlation between </w:t>
      </w:r>
      <w:r w:rsidRPr="00A76610">
        <w:rPr>
          <w:rFonts w:ascii="Times New Roman" w:hAnsi="Times New Roman" w:cs="Times New Roman"/>
          <w:i/>
          <w:iCs/>
          <w:sz w:val="24"/>
          <w:szCs w:val="24"/>
        </w:rPr>
        <w:t>X</w:t>
      </w:r>
      <w:r>
        <w:rPr>
          <w:rFonts w:ascii="Times New Roman" w:hAnsi="Times New Roman" w:cs="Times New Roman"/>
          <w:sz w:val="24"/>
          <w:szCs w:val="24"/>
        </w:rPr>
        <w:t xml:space="preserve"> and </w:t>
      </w:r>
      <w:r w:rsidRPr="00A76610">
        <w:rPr>
          <w:rFonts w:ascii="Times New Roman" w:hAnsi="Times New Roman" w:cs="Times New Roman"/>
          <w:i/>
          <w:iCs/>
          <w:sz w:val="24"/>
          <w:szCs w:val="24"/>
        </w:rPr>
        <w:t>Y</w:t>
      </w:r>
      <w:r>
        <w:rPr>
          <w:rFonts w:ascii="Times New Roman" w:hAnsi="Times New Roman" w:cs="Times New Roman"/>
          <w:sz w:val="24"/>
          <w:szCs w:val="24"/>
        </w:rPr>
        <w:t xml:space="preserve">, the stronger the regression effect.  </w:t>
      </w:r>
    </w:p>
    <w:p w14:paraId="1AFC4035" w14:textId="7EFD7068" w:rsidR="00011C01" w:rsidRDefault="00011C01" w:rsidP="00011C01">
      <w:pPr>
        <w:spacing w:after="0"/>
        <w:ind w:firstLine="720"/>
        <w:rPr>
          <w:rFonts w:ascii="Times New Roman" w:hAnsi="Times New Roman" w:cs="Times New Roman"/>
          <w:sz w:val="24"/>
          <w:szCs w:val="24"/>
        </w:rPr>
      </w:pPr>
      <w:r>
        <w:rPr>
          <w:rFonts w:ascii="Times New Roman" w:hAnsi="Times New Roman" w:cs="Times New Roman"/>
          <w:sz w:val="24"/>
          <w:szCs w:val="24"/>
        </w:rPr>
        <w:t>For example, if individuals are selected for an evaluation study because they are above or below their group mean on one measure (like a pretest), then if these individuals are measured again (e.g., on a posttest) we would expect them to have scores that are closer to the mean on that second measure.  This does not have implications for internal validity if all of the individuals in the study are from the same group</w:t>
      </w:r>
      <w:r w:rsidR="00F635C7">
        <w:rPr>
          <w:rFonts w:ascii="Times New Roman" w:hAnsi="Times New Roman" w:cs="Times New Roman"/>
          <w:sz w:val="24"/>
          <w:szCs w:val="24"/>
        </w:rPr>
        <w:t xml:space="preserve"> or if they are selected from reservoirs of individuals that have the same means</w:t>
      </w:r>
      <w:r>
        <w:rPr>
          <w:rFonts w:ascii="Times New Roman" w:hAnsi="Times New Roman" w:cs="Times New Roman"/>
          <w:sz w:val="24"/>
          <w:szCs w:val="24"/>
        </w:rPr>
        <w:t xml:space="preserve">, but it </w:t>
      </w:r>
      <w:r w:rsidR="00F635C7">
        <w:rPr>
          <w:rFonts w:ascii="Times New Roman" w:hAnsi="Times New Roman" w:cs="Times New Roman"/>
          <w:sz w:val="24"/>
          <w:szCs w:val="24"/>
        </w:rPr>
        <w:t>can be  a problem in designs that compare a treatment group to a comparison group and the individuals in the comparison group are selected from a reservoir of individuals who have a mean that is different from that of the treatment group.</w:t>
      </w:r>
    </w:p>
    <w:p w14:paraId="5BCE4C5A" w14:textId="5D8679C0" w:rsidR="00F635C7" w:rsidRDefault="00F635C7" w:rsidP="00011C01">
      <w:pPr>
        <w:spacing w:after="0"/>
        <w:ind w:firstLine="720"/>
        <w:rPr>
          <w:rFonts w:ascii="Times New Roman" w:hAnsi="Times New Roman" w:cs="Times New Roman"/>
          <w:sz w:val="24"/>
          <w:szCs w:val="24"/>
        </w:rPr>
      </w:pPr>
      <w:r>
        <w:rPr>
          <w:rFonts w:ascii="Times New Roman" w:hAnsi="Times New Roman" w:cs="Times New Roman"/>
          <w:sz w:val="24"/>
          <w:szCs w:val="24"/>
        </w:rPr>
        <w:t xml:space="preserve">For example, an evaluation study of a treatment that was intended for struggling students might </w:t>
      </w:r>
      <w:r w:rsidR="00F02EF0">
        <w:rPr>
          <w:rFonts w:ascii="Times New Roman" w:hAnsi="Times New Roman" w:cs="Times New Roman"/>
          <w:sz w:val="24"/>
          <w:szCs w:val="24"/>
        </w:rPr>
        <w:t xml:space="preserve">treat a group of such students and </w:t>
      </w:r>
      <w:r>
        <w:rPr>
          <w:rFonts w:ascii="Times New Roman" w:hAnsi="Times New Roman" w:cs="Times New Roman"/>
          <w:sz w:val="24"/>
          <w:szCs w:val="24"/>
        </w:rPr>
        <w:t xml:space="preserve">compare </w:t>
      </w:r>
      <w:r w:rsidR="00F02EF0">
        <w:rPr>
          <w:rFonts w:ascii="Times New Roman" w:hAnsi="Times New Roman" w:cs="Times New Roman"/>
          <w:sz w:val="24"/>
          <w:szCs w:val="24"/>
        </w:rPr>
        <w:t>their performance</w:t>
      </w:r>
      <w:r>
        <w:rPr>
          <w:rFonts w:ascii="Times New Roman" w:hAnsi="Times New Roman" w:cs="Times New Roman"/>
          <w:sz w:val="24"/>
          <w:szCs w:val="24"/>
        </w:rPr>
        <w:t xml:space="preserve"> on a posttest to </w:t>
      </w:r>
      <w:r w:rsidR="00F02EF0">
        <w:rPr>
          <w:rFonts w:ascii="Times New Roman" w:hAnsi="Times New Roman" w:cs="Times New Roman"/>
          <w:sz w:val="24"/>
          <w:szCs w:val="24"/>
        </w:rPr>
        <w:t xml:space="preserve">that of </w:t>
      </w:r>
      <w:r>
        <w:rPr>
          <w:rFonts w:ascii="Times New Roman" w:hAnsi="Times New Roman" w:cs="Times New Roman"/>
          <w:sz w:val="24"/>
          <w:szCs w:val="24"/>
        </w:rPr>
        <w:t xml:space="preserve">a comparison group of who were matched on a pretest but did not receive the intervention.  </w:t>
      </w:r>
      <w:r w:rsidR="00F02EF0">
        <w:rPr>
          <w:rFonts w:ascii="Times New Roman" w:hAnsi="Times New Roman" w:cs="Times New Roman"/>
          <w:sz w:val="24"/>
          <w:szCs w:val="24"/>
        </w:rPr>
        <w:t xml:space="preserve">Because the comparison group was selected from a group that presumably had higher pretest scores, we can predict that the comparison group would improve (be closer to their mean) on the posttest than they were on the pretest.  This would tend to reduce the magnitude of the difference between treatment and comparisons group means, making the treatment look less effective or even harmful </w:t>
      </w:r>
      <w:r w:rsidR="00F02EF0">
        <w:rPr>
          <w:rFonts w:ascii="Times New Roman" w:hAnsi="Times New Roman" w:cs="Times New Roman"/>
          <w:sz w:val="24"/>
          <w:szCs w:val="24"/>
        </w:rPr>
        <w:t>(see, e.g., Campbe</w:t>
      </w:r>
      <w:r w:rsidR="00F02EF0">
        <w:rPr>
          <w:rFonts w:ascii="Times New Roman" w:hAnsi="Times New Roman" w:cs="Times New Roman"/>
          <w:sz w:val="24"/>
          <w:szCs w:val="24"/>
        </w:rPr>
        <w:t>l</w:t>
      </w:r>
      <w:r w:rsidR="00F02EF0">
        <w:rPr>
          <w:rFonts w:ascii="Times New Roman" w:hAnsi="Times New Roman" w:cs="Times New Roman"/>
          <w:sz w:val="24"/>
          <w:szCs w:val="24"/>
        </w:rPr>
        <w:t>l and Erlebacher, 1970).</w:t>
      </w:r>
    </w:p>
    <w:p w14:paraId="6F00EE1C" w14:textId="289A3EEB" w:rsidR="004C7680" w:rsidRDefault="00011C01" w:rsidP="00F02EF0">
      <w:pPr>
        <w:spacing w:after="0"/>
      </w:pPr>
      <w:r>
        <w:rPr>
          <w:rFonts w:ascii="Times New Roman" w:hAnsi="Times New Roman" w:cs="Times New Roman"/>
          <w:sz w:val="24"/>
          <w:szCs w:val="24"/>
        </w:rPr>
        <w:tab/>
      </w:r>
    </w:p>
    <w:p w14:paraId="6013AFF7" w14:textId="77777777" w:rsidR="00A02982" w:rsidRDefault="00A02982" w:rsidP="00D903FB">
      <w:pPr>
        <w:pStyle w:val="BulletedList"/>
        <w:spacing w:line="240" w:lineRule="auto"/>
        <w:ind w:left="0" w:firstLine="0"/>
      </w:pPr>
    </w:p>
    <w:p w14:paraId="2403CFE5" w14:textId="64C57A8E" w:rsidR="00A02982" w:rsidRPr="00A02982" w:rsidRDefault="00A02982" w:rsidP="00A02982">
      <w:pPr>
        <w:pStyle w:val="BulletedList"/>
        <w:spacing w:line="240" w:lineRule="auto"/>
        <w:ind w:left="0" w:firstLine="0"/>
        <w:rPr>
          <w:b/>
          <w:bCs/>
          <w:sz w:val="28"/>
          <w:szCs w:val="28"/>
        </w:rPr>
      </w:pPr>
      <w:r w:rsidRPr="00A02982">
        <w:rPr>
          <w:b/>
          <w:bCs/>
          <w:sz w:val="28"/>
          <w:szCs w:val="28"/>
        </w:rPr>
        <w:t>C. Generalizability</w:t>
      </w:r>
    </w:p>
    <w:p w14:paraId="3B167268" w14:textId="77777777" w:rsidR="007B4C1D" w:rsidRDefault="00A02982" w:rsidP="00A02982">
      <w:pPr>
        <w:pStyle w:val="BodyTextIndent1"/>
        <w:spacing w:line="240" w:lineRule="auto"/>
      </w:pPr>
      <w:r w:rsidRPr="00AC3F20">
        <w:lastRenderedPageBreak/>
        <w:t>This was one of the two original classes of threats to validity mentioned by Campbell and Stanley (1963), where it was described as external validity. It refers to the issue of whether the relation observed between independent and dependent variables can be generalized from the settings, persons and contexts studied to those that are part of the scope of application intended by the researcher. Representative (that is probability or random) sampling can ensure external validity, but this is seldom a viable option outside survey research. Probability sampling requires the precise specification of the sampling frame that is</w:t>
      </w:r>
      <w:r>
        <w:t xml:space="preserve"> </w:t>
      </w:r>
      <w:r w:rsidRPr="00AC3F20">
        <w:t xml:space="preserve">the intended scope of generalization. </w:t>
      </w:r>
    </w:p>
    <w:p w14:paraId="22A10096" w14:textId="1DE8D0B0" w:rsidR="007B4C1D" w:rsidRDefault="007B4C1D" w:rsidP="00A02982">
      <w:pPr>
        <w:pStyle w:val="BodyTextIndent1"/>
        <w:spacing w:line="240" w:lineRule="auto"/>
      </w:pPr>
      <w:r>
        <w:t>It is important to recognize that, w</w:t>
      </w:r>
      <w:r w:rsidR="00A02982" w:rsidRPr="00AC3F20">
        <w:t xml:space="preserve">hile external validity </w:t>
      </w:r>
      <w:r>
        <w:t xml:space="preserve">or generalizability </w:t>
      </w:r>
      <w:r w:rsidR="00A02982" w:rsidRPr="00AC3F20">
        <w:t xml:space="preserve">is often discussed </w:t>
      </w:r>
      <w:r>
        <w:t xml:space="preserve">as if it was a property of a study (like internal validity), this a terribly misleading.  In fact, the generalizability of a study’s results is an ambiguous concept without specifying the target of generalization—the supposed population or scope of applicability to which the study’s results are supposed to apply (Hedges, 2013).  We strongly discourage </w:t>
      </w:r>
      <w:r w:rsidR="005064B7">
        <w:t>t</w:t>
      </w:r>
      <w:r>
        <w:t xml:space="preserve">he use of </w:t>
      </w:r>
      <w:r w:rsidR="005064B7">
        <w:t>t</w:t>
      </w:r>
      <w:r>
        <w:t xml:space="preserve">he term ‘generalizability ‘or ‘generalizable’ without specifying the target of generalization in </w:t>
      </w:r>
      <w:r w:rsidR="00752791">
        <w:t xml:space="preserve">terms </w:t>
      </w:r>
      <w:r>
        <w:t>as precise as is possible.</w:t>
      </w:r>
    </w:p>
    <w:p w14:paraId="57BC1900" w14:textId="4E98D91D" w:rsidR="005064B7" w:rsidRDefault="005064B7" w:rsidP="00A02982">
      <w:pPr>
        <w:pStyle w:val="BodyTextIndent1"/>
        <w:spacing w:line="240" w:lineRule="auto"/>
      </w:pPr>
      <w:r>
        <w:t xml:space="preserve">One important </w:t>
      </w:r>
      <w:r w:rsidR="00752791">
        <w:t xml:space="preserve">generalizability consideration that arises in evaluation studies is whether the design is intended to support generalization as part of the statistical inference or not.  Some designs formally support statistical inference to a larger collection of units than those actually present in the experiment.  For example, an experiment involving a random sample of individuals is intended to support generalization to the population from which the individuals in the experiment were sampled.  The statistical analysis of that experiment takes into account the sampling uncertainty relevant to that generalization.  </w:t>
      </w:r>
    </w:p>
    <w:p w14:paraId="58CE105D" w14:textId="4D8C9DD6" w:rsidR="00752791" w:rsidRDefault="00752791" w:rsidP="00A02982">
      <w:pPr>
        <w:pStyle w:val="BodyTextIndent1"/>
        <w:spacing w:line="240" w:lineRule="auto"/>
      </w:pPr>
      <w:r>
        <w:t xml:space="preserve">More complex research designs may be subject to different analyses, which may or my not take into account </w:t>
      </w:r>
      <w:r w:rsidR="00B337E2">
        <w:t>all of the sampling uncertainty relevant to generalization to la</w:t>
      </w:r>
      <w:r w:rsidR="000D37C3">
        <w:t>r</w:t>
      </w:r>
      <w:r w:rsidR="00B337E2">
        <w:t xml:space="preserve">ger populations.  For example, a multi-site study conducted in several schools may assign some students to treatment and some to </w:t>
      </w:r>
      <w:r w:rsidR="000D37C3">
        <w:t xml:space="preserve">the </w:t>
      </w:r>
      <w:r w:rsidR="00B337E2">
        <w:t xml:space="preserve">control condition in each school.  One possible analysis of this study (the schools random model) is intended to generalize the treatment effects to a larger population of schools.  Another analysis of this study (the schools fixed model) is intended to understand only the effects in these particular schools.  The first (schools random) analysis incorporates the sampling uncertainty of sampling schools in determining the uncertainty of the treatment effect, the other (schools fixed) does not.  Either analysis can be defended as appropriate depending on which generalization is intended.  As one might guess, which analysis is intended has an influence on the details of the design.  For example, if generalizations to </w:t>
      </w:r>
      <w:r w:rsidR="000D37C3">
        <w:t>a larger population of schools is intended to be incorporated in the statistical analysis, a design with a greater number of schools is better (will be more conclusive).</w:t>
      </w:r>
    </w:p>
    <w:p w14:paraId="26900A89" w14:textId="793B2B20" w:rsidR="000D37C3" w:rsidRDefault="000D37C3" w:rsidP="00A02982">
      <w:pPr>
        <w:pStyle w:val="BodyTextIndent1"/>
        <w:spacing w:line="240" w:lineRule="auto"/>
      </w:pPr>
      <w:r>
        <w:t>Note that the issue is not whether generalizations to broader population of schools is possible, but whether that generalization (and assessment of its uncertainty) is part of the statistical inference process or is relegated to conceptual reasoning (that is, is extra-statistical).  The extra-statistical reasoning process about generalization to a large set of schools would consider how similar the target schools were to the sample in the study, which factors to consider in deciding about similarity, etc.</w:t>
      </w:r>
    </w:p>
    <w:p w14:paraId="097741DE" w14:textId="77777777" w:rsidR="00A02982" w:rsidRDefault="00A02982" w:rsidP="00A02982">
      <w:pPr>
        <w:pStyle w:val="BodyTextIndent1"/>
        <w:spacing w:line="240" w:lineRule="auto"/>
        <w:ind w:firstLine="0"/>
      </w:pPr>
    </w:p>
    <w:p w14:paraId="6E59157E" w14:textId="77777777" w:rsidR="004C7680" w:rsidRDefault="004C7680" w:rsidP="00A02982">
      <w:pPr>
        <w:pStyle w:val="BodyTextIndent1"/>
        <w:spacing w:line="240" w:lineRule="auto"/>
        <w:ind w:firstLine="0"/>
        <w:rPr>
          <w:b/>
          <w:bCs/>
          <w:sz w:val="28"/>
          <w:szCs w:val="28"/>
        </w:rPr>
      </w:pPr>
    </w:p>
    <w:p w14:paraId="453ABB95" w14:textId="77777777" w:rsidR="004C7680" w:rsidRDefault="004C7680" w:rsidP="00A02982">
      <w:pPr>
        <w:pStyle w:val="BodyTextIndent1"/>
        <w:spacing w:line="240" w:lineRule="auto"/>
        <w:ind w:firstLine="0"/>
        <w:rPr>
          <w:b/>
          <w:bCs/>
          <w:sz w:val="28"/>
          <w:szCs w:val="28"/>
        </w:rPr>
      </w:pPr>
    </w:p>
    <w:p w14:paraId="2C04AC14" w14:textId="6A9A8705" w:rsidR="00A02982" w:rsidRPr="00611FE6" w:rsidRDefault="00A02982" w:rsidP="00A02982">
      <w:pPr>
        <w:pStyle w:val="BodyTextIndent1"/>
        <w:spacing w:line="240" w:lineRule="auto"/>
        <w:ind w:firstLine="0"/>
        <w:rPr>
          <w:b/>
          <w:bCs/>
          <w:sz w:val="28"/>
          <w:szCs w:val="28"/>
        </w:rPr>
      </w:pPr>
      <w:r w:rsidRPr="00611FE6">
        <w:rPr>
          <w:b/>
          <w:bCs/>
          <w:sz w:val="28"/>
          <w:szCs w:val="28"/>
        </w:rPr>
        <w:t>D. Construct validity of explanation</w:t>
      </w:r>
    </w:p>
    <w:p w14:paraId="4A4A38A2" w14:textId="31FDCFB1" w:rsidR="00A02982" w:rsidRDefault="00A02982" w:rsidP="00A02982">
      <w:pPr>
        <w:pStyle w:val="BodyTextIndent1"/>
        <w:spacing w:line="240" w:lineRule="auto"/>
      </w:pPr>
      <w:r w:rsidRPr="00AC3F20">
        <w:t xml:space="preserve">Cook and Campbell (1978) called this threat to validity ‘construct validity of cause and effect’ because they focused on empirical studies of causal effects, but the idea is clearly more general. This validity threat concerns whether the explanation of the study has correctly identified the </w:t>
      </w:r>
      <w:r w:rsidRPr="00AC3F20">
        <w:lastRenderedPageBreak/>
        <w:t>constructs in the interpretation. This concept of validity draws its inspiration from the measurement concept of construct validity and in some it ways resembles the measurement concept of consequential validity (whether the interpretations of a measurement ‘as used’ are correct</w:t>
      </w:r>
      <w:r w:rsidR="005064B7">
        <w:t>, see Messick, 1995</w:t>
      </w:r>
      <w:r w:rsidRPr="00AC3F20">
        <w:t>). For example, a research design might identify a generalizable causal relation between an intervention and an outcome, but misinterpret the construct causing the effect. Hawthorne effects or novelty effects where the actual cause of the effects is attention or a change in routine rather than the attributed type of attention or the particular attributed change in routine are examples of how explanations can lack construct validity. Construct validity of explanation is not a property of designs, but of interpretation of evidence from designs, which inevitably involve the theoretical framework in which the research is embedded. However, certain design features can support the construct validity of explanations. For example, having several variations of the treatment in the design can make it possible to determine whether the effects of particular</w:t>
      </w:r>
      <w:r w:rsidR="005064B7">
        <w:t xml:space="preserve"> </w:t>
      </w:r>
      <w:r w:rsidRPr="00AC3F20">
        <w:t>variations</w:t>
      </w:r>
      <w:r>
        <w:t xml:space="preserve"> </w:t>
      </w:r>
      <w:r w:rsidRPr="00AC3F20">
        <w:t>of the treatment are consistent with an explanation in terms of treatment constructs.</w:t>
      </w:r>
      <w:r w:rsidR="005064B7">
        <w:t xml:space="preserve">  While construct validity of explanation is crucial in the broader interpretation of evaluation research, it is difficult for a single evaluation study, particularly a small-scale study conducted in the development process, to address it.</w:t>
      </w:r>
    </w:p>
    <w:p w14:paraId="476ACFA6" w14:textId="67ACDE9B" w:rsidR="00611FE6" w:rsidRDefault="00611FE6" w:rsidP="00611FE6">
      <w:pPr>
        <w:pStyle w:val="BodyTextIndent1"/>
        <w:spacing w:line="240" w:lineRule="auto"/>
        <w:ind w:firstLine="0"/>
      </w:pPr>
    </w:p>
    <w:p w14:paraId="6DE4CF33" w14:textId="028EDA4F" w:rsidR="00611FE6" w:rsidRPr="00611FE6" w:rsidRDefault="00611FE6" w:rsidP="00611FE6">
      <w:pPr>
        <w:pStyle w:val="BodyTextIndent1"/>
        <w:spacing w:line="240" w:lineRule="auto"/>
        <w:ind w:firstLine="0"/>
        <w:rPr>
          <w:b/>
          <w:bCs/>
          <w:sz w:val="28"/>
          <w:szCs w:val="28"/>
        </w:rPr>
      </w:pPr>
      <w:r w:rsidRPr="00611FE6">
        <w:rPr>
          <w:b/>
          <w:bCs/>
          <w:sz w:val="28"/>
          <w:szCs w:val="28"/>
        </w:rPr>
        <w:t>E. Causal inference</w:t>
      </w:r>
    </w:p>
    <w:p w14:paraId="3D59C552" w14:textId="77777777" w:rsidR="00611FE6" w:rsidRDefault="00611FE6" w:rsidP="00611FE6">
      <w:pPr>
        <w:pStyle w:val="BodyTextIndent1"/>
        <w:spacing w:line="240" w:lineRule="auto"/>
        <w:ind w:firstLine="0"/>
      </w:pPr>
    </w:p>
    <w:p w14:paraId="53CC0479" w14:textId="5F2281BF" w:rsidR="00316BAD" w:rsidRDefault="00FF4A4B" w:rsidP="00A02982">
      <w:pPr>
        <w:spacing w:line="240" w:lineRule="auto"/>
      </w:pPr>
    </w:p>
    <w:p w14:paraId="49D8643D" w14:textId="0D8A4890" w:rsidR="00A02982" w:rsidRDefault="00A02982">
      <w:r>
        <w:br w:type="page"/>
      </w:r>
    </w:p>
    <w:p w14:paraId="0D0E6BF8" w14:textId="74EA31F5" w:rsidR="00A02982" w:rsidRPr="00A02982" w:rsidRDefault="00A02982" w:rsidP="00463736">
      <w:pPr>
        <w:spacing w:after="0" w:line="240" w:lineRule="auto"/>
        <w:rPr>
          <w:rFonts w:ascii="Times New Roman" w:hAnsi="Times New Roman" w:cs="Times New Roman"/>
          <w:b/>
          <w:bCs/>
          <w:sz w:val="24"/>
          <w:szCs w:val="24"/>
        </w:rPr>
      </w:pPr>
      <w:r w:rsidRPr="00A02982">
        <w:rPr>
          <w:rFonts w:ascii="Times New Roman" w:hAnsi="Times New Roman" w:cs="Times New Roman"/>
          <w:b/>
          <w:bCs/>
          <w:sz w:val="24"/>
          <w:szCs w:val="24"/>
        </w:rPr>
        <w:lastRenderedPageBreak/>
        <w:t>References</w:t>
      </w:r>
    </w:p>
    <w:p w14:paraId="6B559860" w14:textId="77777777" w:rsidR="00463736" w:rsidRPr="00DA41DA" w:rsidRDefault="00463736" w:rsidP="00463736">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Campbell, D. E. &amp; Erlebacher, A. E. (1970). How regression artifacts in quasi-experimental evaluations can mistakenly make compensatory education look harmful. In J. Helmuth (Ed.) </w:t>
      </w:r>
      <w:r w:rsidRPr="00126F48">
        <w:rPr>
          <w:rFonts w:ascii="Times New Roman" w:hAnsi="Times New Roman" w:cs="Times New Roman"/>
          <w:i/>
          <w:iCs/>
          <w:sz w:val="24"/>
          <w:szCs w:val="24"/>
        </w:rPr>
        <w:t>Compensatory education: A national debate, vol. 3 Disadvantaged child</w:t>
      </w:r>
      <w:r>
        <w:rPr>
          <w:rFonts w:ascii="Times New Roman" w:hAnsi="Times New Roman" w:cs="Times New Roman"/>
          <w:sz w:val="24"/>
          <w:szCs w:val="24"/>
        </w:rPr>
        <w:t xml:space="preserve">. New York:Brunner/Mazel. </w:t>
      </w:r>
    </w:p>
    <w:p w14:paraId="017C1FC2" w14:textId="77777777" w:rsidR="00463736" w:rsidRDefault="00463736" w:rsidP="00463736">
      <w:pPr>
        <w:pStyle w:val="ReferenceText"/>
        <w:spacing w:before="0" w:after="0"/>
      </w:pPr>
    </w:p>
    <w:p w14:paraId="3A797755" w14:textId="769D0956" w:rsidR="00A02982" w:rsidRPr="00AC3F20" w:rsidRDefault="00A02982" w:rsidP="00463736">
      <w:pPr>
        <w:pStyle w:val="ReferenceText"/>
        <w:spacing w:before="0" w:after="0"/>
      </w:pPr>
      <w:r w:rsidRPr="00AC3F20">
        <w:t xml:space="preserve">Campbell, D. T. and Stanley, J. (1963) </w:t>
      </w:r>
      <w:r w:rsidRPr="00AC3F20">
        <w:rPr>
          <w:i/>
          <w:iCs/>
        </w:rPr>
        <w:t xml:space="preserve">Experimental and Quasi-experimental Designs for Research. </w:t>
      </w:r>
      <w:r w:rsidRPr="00AC3F20">
        <w:t>Chicago: Rand McNally.</w:t>
      </w:r>
    </w:p>
    <w:p w14:paraId="60E3DCBB" w14:textId="0F47BE65" w:rsidR="00A02982" w:rsidRDefault="00A02982" w:rsidP="00463736">
      <w:pPr>
        <w:pStyle w:val="ReferenceText"/>
        <w:spacing w:before="0" w:after="0"/>
      </w:pPr>
      <w:r w:rsidRPr="00AC3F20">
        <w:t xml:space="preserve">Cook, T. D. and Campbell, D. T. (1978) </w:t>
      </w:r>
      <w:r w:rsidRPr="00AC3F20">
        <w:rPr>
          <w:i/>
          <w:iCs/>
        </w:rPr>
        <w:t xml:space="preserve">Quasi-experimentation. </w:t>
      </w:r>
      <w:r w:rsidRPr="00AC3F20">
        <w:t>New York: Houghton Mifflin.</w:t>
      </w:r>
    </w:p>
    <w:p w14:paraId="4E5FDFC3" w14:textId="7E4A0CCC" w:rsidR="007B4C1D" w:rsidRDefault="007B4C1D" w:rsidP="00463736">
      <w:pPr>
        <w:pStyle w:val="ReferenceText"/>
        <w:spacing w:before="0" w:after="0"/>
        <w:rPr>
          <w:szCs w:val="24"/>
        </w:rPr>
      </w:pPr>
      <w:r w:rsidRPr="00DC31E2">
        <w:rPr>
          <w:rStyle w:val="rwrro4"/>
          <w:szCs w:val="24"/>
        </w:rPr>
        <w:t>Hedges, L. V. (</w:t>
      </w:r>
      <w:r>
        <w:rPr>
          <w:rStyle w:val="rwrro4"/>
          <w:szCs w:val="24"/>
        </w:rPr>
        <w:t>2013</w:t>
      </w:r>
      <w:r w:rsidRPr="00DC31E2">
        <w:rPr>
          <w:rStyle w:val="rwrro4"/>
          <w:szCs w:val="24"/>
        </w:rPr>
        <w:t xml:space="preserve">). </w:t>
      </w:r>
      <w:r w:rsidRPr="00DC31E2">
        <w:rPr>
          <w:szCs w:val="24"/>
        </w:rPr>
        <w:t>Recommendations for practice: Justifying claims of generalizability.</w:t>
      </w:r>
      <w:r w:rsidRPr="00DC31E2">
        <w:rPr>
          <w:i/>
          <w:szCs w:val="24"/>
        </w:rPr>
        <w:t xml:space="preserve"> Educational Psychology Review</w:t>
      </w:r>
      <w:r>
        <w:rPr>
          <w:i/>
          <w:szCs w:val="24"/>
        </w:rPr>
        <w:t>, 25,</w:t>
      </w:r>
      <w:r>
        <w:rPr>
          <w:szCs w:val="24"/>
        </w:rPr>
        <w:t xml:space="preserve"> 331-337.</w:t>
      </w:r>
    </w:p>
    <w:p w14:paraId="79D9DECC" w14:textId="3428A553" w:rsidR="005064B7" w:rsidRDefault="005064B7" w:rsidP="00463736">
      <w:pPr>
        <w:pStyle w:val="ReferenceText"/>
        <w:spacing w:before="0" w:after="0"/>
      </w:pPr>
      <w:r>
        <w:t xml:space="preserve">Messick, S. (1995). Standards of validity and the validity of standards in performance assessment. </w:t>
      </w:r>
      <w:r w:rsidRPr="005064B7">
        <w:rPr>
          <w:i/>
          <w:iCs/>
        </w:rPr>
        <w:t>Educational Measurement: Issues and Practice, 14(4),</w:t>
      </w:r>
      <w:r>
        <w:t xml:space="preserve"> 5-8</w:t>
      </w:r>
    </w:p>
    <w:p w14:paraId="34138778" w14:textId="77777777" w:rsidR="00A02982" w:rsidRPr="00AC3F20" w:rsidRDefault="00A02982" w:rsidP="00463736">
      <w:pPr>
        <w:pStyle w:val="ReferenceText"/>
        <w:spacing w:before="0" w:after="0"/>
      </w:pPr>
      <w:r w:rsidRPr="00AC3F20">
        <w:t xml:space="preserve">Shadish, W. R., Cook, T. D. and Campbell, D. T. (2002) </w:t>
      </w:r>
      <w:r w:rsidRPr="00AC3F20">
        <w:rPr>
          <w:i/>
          <w:iCs/>
        </w:rPr>
        <w:t xml:space="preserve">Experimental and Quasi-experimental Designs for Generalized Causal Inference. </w:t>
      </w:r>
      <w:r w:rsidRPr="00AC3F20">
        <w:t>New York: Houghton Mifflin.</w:t>
      </w:r>
    </w:p>
    <w:p w14:paraId="578B8481" w14:textId="77777777" w:rsidR="00A02982" w:rsidRDefault="00A02982" w:rsidP="00463736">
      <w:pPr>
        <w:spacing w:after="0" w:line="240" w:lineRule="auto"/>
      </w:pPr>
    </w:p>
    <w:sectPr w:rsidR="00A02982" w:rsidSect="00D903FB">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27FDA" w14:textId="77777777" w:rsidR="00FF4A4B" w:rsidRDefault="00FF4A4B" w:rsidP="00D903FB">
      <w:pPr>
        <w:spacing w:after="0" w:line="240" w:lineRule="auto"/>
      </w:pPr>
      <w:r>
        <w:separator/>
      </w:r>
    </w:p>
  </w:endnote>
  <w:endnote w:type="continuationSeparator" w:id="0">
    <w:p w14:paraId="219C5015" w14:textId="77777777" w:rsidR="00FF4A4B" w:rsidRDefault="00FF4A4B" w:rsidP="00D90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2969EA" w14:textId="77777777" w:rsidR="00FF4A4B" w:rsidRDefault="00FF4A4B" w:rsidP="00D903FB">
      <w:pPr>
        <w:spacing w:after="0" w:line="240" w:lineRule="auto"/>
      </w:pPr>
      <w:r>
        <w:separator/>
      </w:r>
    </w:p>
  </w:footnote>
  <w:footnote w:type="continuationSeparator" w:id="0">
    <w:p w14:paraId="3D2DA689" w14:textId="77777777" w:rsidR="00FF4A4B" w:rsidRDefault="00FF4A4B" w:rsidP="00D90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03520" w14:textId="7B0C229E" w:rsidR="00D903FB" w:rsidRPr="0064074E" w:rsidRDefault="00D903FB">
    <w:pPr>
      <w:pStyle w:val="Header"/>
      <w:jc w:val="right"/>
      <w:rPr>
        <w:rFonts w:ascii="Times New Roman" w:hAnsi="Times New Roman" w:cs="Times New Roman"/>
        <w:sz w:val="24"/>
        <w:szCs w:val="24"/>
      </w:rPr>
    </w:pPr>
    <w:r w:rsidRPr="0064074E">
      <w:rPr>
        <w:rFonts w:ascii="Times New Roman" w:hAnsi="Times New Roman" w:cs="Times New Roman"/>
        <w:sz w:val="24"/>
        <w:szCs w:val="24"/>
      </w:rPr>
      <w:t xml:space="preserve">Validity of research designs  page </w:t>
    </w:r>
    <w:sdt>
      <w:sdtPr>
        <w:rPr>
          <w:rFonts w:ascii="Times New Roman" w:hAnsi="Times New Roman" w:cs="Times New Roman"/>
          <w:sz w:val="24"/>
          <w:szCs w:val="24"/>
        </w:rPr>
        <w:id w:val="728579407"/>
        <w:docPartObj>
          <w:docPartGallery w:val="Page Numbers (Top of Page)"/>
          <w:docPartUnique/>
        </w:docPartObj>
      </w:sdtPr>
      <w:sdtEndPr>
        <w:rPr>
          <w:noProof/>
        </w:rPr>
      </w:sdtEndPr>
      <w:sdtContent>
        <w:r w:rsidRPr="0064074E">
          <w:rPr>
            <w:rFonts w:ascii="Times New Roman" w:hAnsi="Times New Roman" w:cs="Times New Roman"/>
            <w:sz w:val="24"/>
            <w:szCs w:val="24"/>
          </w:rPr>
          <w:fldChar w:fldCharType="begin"/>
        </w:r>
        <w:r w:rsidRPr="0064074E">
          <w:rPr>
            <w:rFonts w:ascii="Times New Roman" w:hAnsi="Times New Roman" w:cs="Times New Roman"/>
            <w:sz w:val="24"/>
            <w:szCs w:val="24"/>
          </w:rPr>
          <w:instrText xml:space="preserve"> PAGE   \* MERGEFORMAT </w:instrText>
        </w:r>
        <w:r w:rsidRPr="0064074E">
          <w:rPr>
            <w:rFonts w:ascii="Times New Roman" w:hAnsi="Times New Roman" w:cs="Times New Roman"/>
            <w:sz w:val="24"/>
            <w:szCs w:val="24"/>
          </w:rPr>
          <w:fldChar w:fldCharType="separate"/>
        </w:r>
        <w:r w:rsidRPr="0064074E">
          <w:rPr>
            <w:rFonts w:ascii="Times New Roman" w:hAnsi="Times New Roman" w:cs="Times New Roman"/>
            <w:noProof/>
            <w:sz w:val="24"/>
            <w:szCs w:val="24"/>
          </w:rPr>
          <w:t>2</w:t>
        </w:r>
        <w:r w:rsidRPr="0064074E">
          <w:rPr>
            <w:rFonts w:ascii="Times New Roman" w:hAnsi="Times New Roman" w:cs="Times New Roman"/>
            <w:noProof/>
            <w:sz w:val="24"/>
            <w:szCs w:val="24"/>
          </w:rPr>
          <w:fldChar w:fldCharType="end"/>
        </w:r>
      </w:sdtContent>
    </w:sdt>
  </w:p>
  <w:p w14:paraId="7BA6EBE1" w14:textId="77777777" w:rsidR="00D903FB" w:rsidRDefault="00D903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065DCF"/>
    <w:multiLevelType w:val="singleLevel"/>
    <w:tmpl w:val="B7FA63E2"/>
    <w:lvl w:ilvl="0">
      <w:start w:val="1"/>
      <w:numFmt w:val="bullet"/>
      <w:lvlText w:val=""/>
      <w:lvlJc w:val="left"/>
      <w:pPr>
        <w:ind w:left="180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982"/>
    <w:rsid w:val="00011C01"/>
    <w:rsid w:val="00031752"/>
    <w:rsid w:val="00065086"/>
    <w:rsid w:val="000D37C3"/>
    <w:rsid w:val="0010234B"/>
    <w:rsid w:val="001E213F"/>
    <w:rsid w:val="0022676D"/>
    <w:rsid w:val="002C4762"/>
    <w:rsid w:val="003D428A"/>
    <w:rsid w:val="00463736"/>
    <w:rsid w:val="004C7680"/>
    <w:rsid w:val="004D144B"/>
    <w:rsid w:val="005064B7"/>
    <w:rsid w:val="005E76C5"/>
    <w:rsid w:val="00611FE6"/>
    <w:rsid w:val="00614776"/>
    <w:rsid w:val="0064074E"/>
    <w:rsid w:val="006B312E"/>
    <w:rsid w:val="00752791"/>
    <w:rsid w:val="007565A3"/>
    <w:rsid w:val="007B4C1D"/>
    <w:rsid w:val="007E1086"/>
    <w:rsid w:val="007F59B4"/>
    <w:rsid w:val="00930343"/>
    <w:rsid w:val="00932892"/>
    <w:rsid w:val="00947767"/>
    <w:rsid w:val="00990C75"/>
    <w:rsid w:val="009B648C"/>
    <w:rsid w:val="00A02982"/>
    <w:rsid w:val="00AD269A"/>
    <w:rsid w:val="00B337E2"/>
    <w:rsid w:val="00BE755C"/>
    <w:rsid w:val="00C41EDD"/>
    <w:rsid w:val="00C720C3"/>
    <w:rsid w:val="00D903FB"/>
    <w:rsid w:val="00D935B4"/>
    <w:rsid w:val="00DF5214"/>
    <w:rsid w:val="00E65A06"/>
    <w:rsid w:val="00EF00D0"/>
    <w:rsid w:val="00F02EF0"/>
    <w:rsid w:val="00F635C7"/>
    <w:rsid w:val="00F76D3F"/>
    <w:rsid w:val="00F82476"/>
    <w:rsid w:val="00FA1250"/>
    <w:rsid w:val="00FD1F39"/>
    <w:rsid w:val="00FD38A6"/>
    <w:rsid w:val="00FF4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D1CA"/>
  <w15:chartTrackingRefBased/>
  <w15:docId w15:val="{E505F629-6FF6-4AA3-8BBD-3E7782FB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5C7"/>
  </w:style>
  <w:style w:type="paragraph" w:styleId="Heading2">
    <w:name w:val="heading 2"/>
    <w:basedOn w:val="Normal"/>
    <w:link w:val="Heading2Char"/>
    <w:uiPriority w:val="99"/>
    <w:qFormat/>
    <w:rsid w:val="00A02982"/>
    <w:pPr>
      <w:spacing w:before="360" w:after="0" w:line="360" w:lineRule="auto"/>
      <w:jc w:val="both"/>
      <w:outlineLvl w:val="1"/>
    </w:pPr>
    <w:rPr>
      <w:rFonts w:ascii="Times New Roman" w:eastAsia="MS Mincho" w:hAnsi="Times New Roman" w:cs="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A02982"/>
    <w:rPr>
      <w:rFonts w:ascii="Times New Roman" w:eastAsia="MS Mincho" w:hAnsi="Times New Roman" w:cs="Times New Roman"/>
      <w:b/>
      <w:sz w:val="28"/>
    </w:rPr>
  </w:style>
  <w:style w:type="paragraph" w:customStyle="1" w:styleId="BulletedList">
    <w:name w:val="Bulleted List"/>
    <w:basedOn w:val="ListBullet"/>
    <w:uiPriority w:val="99"/>
    <w:qFormat/>
    <w:rsid w:val="00A02982"/>
    <w:pPr>
      <w:spacing w:after="0" w:line="360" w:lineRule="auto"/>
      <w:ind w:left="720"/>
      <w:jc w:val="both"/>
    </w:pPr>
    <w:rPr>
      <w:rFonts w:ascii="Times New Roman" w:eastAsia="Calibri" w:hAnsi="Times New Roman" w:cs="Times New Roman"/>
      <w:sz w:val="24"/>
    </w:rPr>
  </w:style>
  <w:style w:type="paragraph" w:customStyle="1" w:styleId="BodyTextIndent1">
    <w:name w:val="Body Text Indent1"/>
    <w:basedOn w:val="Normal"/>
    <w:rsid w:val="00A02982"/>
    <w:pPr>
      <w:spacing w:after="0" w:line="360" w:lineRule="auto"/>
      <w:ind w:firstLine="360"/>
      <w:jc w:val="both"/>
    </w:pPr>
    <w:rPr>
      <w:rFonts w:ascii="Times New Roman" w:eastAsia="Calibri" w:hAnsi="Times New Roman" w:cs="Times New Roman"/>
      <w:sz w:val="24"/>
    </w:rPr>
  </w:style>
  <w:style w:type="paragraph" w:customStyle="1" w:styleId="Bodytextfullout">
    <w:name w:val="Body text full out"/>
    <w:basedOn w:val="Normal"/>
    <w:rsid w:val="00A02982"/>
    <w:pPr>
      <w:spacing w:before="240" w:after="0" w:line="360" w:lineRule="auto"/>
      <w:jc w:val="both"/>
    </w:pPr>
    <w:rPr>
      <w:rFonts w:ascii="Times New Roman" w:eastAsia="Calibri" w:hAnsi="Times New Roman" w:cs="Times New Roman"/>
      <w:sz w:val="24"/>
    </w:rPr>
  </w:style>
  <w:style w:type="paragraph" w:styleId="ListBullet">
    <w:name w:val="List Bullet"/>
    <w:basedOn w:val="Normal"/>
    <w:uiPriority w:val="99"/>
    <w:semiHidden/>
    <w:unhideWhenUsed/>
    <w:rsid w:val="00A02982"/>
    <w:pPr>
      <w:ind w:left="1800" w:hanging="360"/>
      <w:contextualSpacing/>
    </w:pPr>
  </w:style>
  <w:style w:type="paragraph" w:customStyle="1" w:styleId="ReferenceText">
    <w:name w:val="Reference Text"/>
    <w:basedOn w:val="Normal"/>
    <w:qFormat/>
    <w:rsid w:val="00A02982"/>
    <w:pPr>
      <w:spacing w:before="120" w:after="120" w:line="360" w:lineRule="auto"/>
      <w:ind w:left="1440" w:hanging="1440"/>
    </w:pPr>
    <w:rPr>
      <w:rFonts w:ascii="Times New Roman" w:eastAsia="Calibri" w:hAnsi="Times New Roman" w:cs="Times New Roman"/>
      <w:sz w:val="24"/>
    </w:rPr>
  </w:style>
  <w:style w:type="character" w:customStyle="1" w:styleId="rwrro4">
    <w:name w:val="rwrro4"/>
    <w:rsid w:val="00A02982"/>
    <w:rPr>
      <w:strike w:val="0"/>
      <w:dstrike w:val="0"/>
      <w:color w:val="000000"/>
      <w:u w:val="none"/>
      <w:effect w:val="none"/>
      <w:bdr w:val="none" w:sz="0" w:space="0" w:color="auto" w:frame="1"/>
      <w:shd w:val="clear" w:color="auto" w:fill="auto"/>
    </w:rPr>
  </w:style>
  <w:style w:type="paragraph" w:styleId="Header">
    <w:name w:val="header"/>
    <w:basedOn w:val="Normal"/>
    <w:link w:val="HeaderChar"/>
    <w:uiPriority w:val="99"/>
    <w:unhideWhenUsed/>
    <w:rsid w:val="00D90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3FB"/>
  </w:style>
  <w:style w:type="paragraph" w:styleId="Footer">
    <w:name w:val="footer"/>
    <w:basedOn w:val="Normal"/>
    <w:link w:val="FooterChar"/>
    <w:uiPriority w:val="99"/>
    <w:unhideWhenUsed/>
    <w:rsid w:val="00D90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3021</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4</cp:revision>
  <dcterms:created xsi:type="dcterms:W3CDTF">2020-12-30T21:09:00Z</dcterms:created>
  <dcterms:modified xsi:type="dcterms:W3CDTF">2021-01-05T17:55:00Z</dcterms:modified>
</cp:coreProperties>
</file>