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B25" w14:textId="77777777" w:rsidR="006678A6" w:rsidRDefault="006678A6"/>
    <w:p w14:paraId="4340BBE9" w14:textId="6EDF74B4" w:rsidR="006D5576" w:rsidRPr="0046544D" w:rsidRDefault="0060553A" w:rsidP="0046544D">
      <w:pPr>
        <w:jc w:val="center"/>
        <w:rPr>
          <w:rFonts w:ascii="Arial" w:hAnsi="Arial" w:cs="Arial"/>
          <w:sz w:val="48"/>
          <w:szCs w:val="48"/>
        </w:rPr>
      </w:pPr>
      <w:r w:rsidRPr="0046544D">
        <w:rPr>
          <w:rFonts w:ascii="Arial" w:hAnsi="Arial" w:cs="Arial"/>
          <w:sz w:val="48"/>
          <w:szCs w:val="48"/>
        </w:rPr>
        <w:t>Contrat d’Architecture avec les Utilisateurs Business</w:t>
      </w:r>
    </w:p>
    <w:p w14:paraId="2C880F58" w14:textId="77777777" w:rsidR="006D5576" w:rsidRDefault="006D5576"/>
    <w:p w14:paraId="6B65284D" w14:textId="77777777" w:rsidR="006D5576" w:rsidRDefault="006D5576"/>
    <w:p w14:paraId="6D8E3B33" w14:textId="77777777" w:rsidR="006D5576" w:rsidRDefault="006D557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6255"/>
      </w:tblGrid>
      <w:tr w:rsidR="0046544D" w:rsidRPr="0046544D" w14:paraId="61A7F04F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760664" w14:textId="77777777" w:rsidR="0046544D" w:rsidRPr="0046544D" w:rsidRDefault="0046544D" w:rsidP="0046544D">
            <w:r w:rsidRPr="0046544D">
              <w:rPr>
                <w:i/>
                <w:iCs/>
              </w:rPr>
              <w:t>Nom du projet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00837" w14:textId="77777777" w:rsidR="0046544D" w:rsidRPr="0046544D" w:rsidRDefault="0046544D" w:rsidP="0046544D">
            <w:proofErr w:type="spellStart"/>
            <w:r w:rsidRPr="0046544D">
              <w:rPr>
                <w:lang w:val="en-GB"/>
              </w:rPr>
              <w:t>Plateforme</w:t>
            </w:r>
            <w:proofErr w:type="spellEnd"/>
            <w:r w:rsidRPr="0046544D">
              <w:rPr>
                <w:lang w:val="en-GB"/>
              </w:rPr>
              <w:t xml:space="preserve"> Geo-Aware Food Sourcing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05B270BC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AE7BC" w14:textId="77777777" w:rsidR="0046544D" w:rsidRPr="0046544D" w:rsidRDefault="0046544D" w:rsidP="0046544D">
            <w:r w:rsidRPr="0046544D">
              <w:rPr>
                <w:i/>
                <w:iCs/>
              </w:rPr>
              <w:t>Préparé par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8D363" w14:textId="77777777" w:rsidR="0046544D" w:rsidRPr="0046544D" w:rsidRDefault="0046544D" w:rsidP="0046544D">
            <w:r w:rsidRPr="0046544D">
              <w:t>HEDI DHIB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2DD94037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B98C4" w14:textId="77777777" w:rsidR="0046544D" w:rsidRPr="0046544D" w:rsidRDefault="0046544D" w:rsidP="0046544D">
            <w:r w:rsidRPr="0046544D">
              <w:rPr>
                <w:i/>
                <w:iCs/>
              </w:rPr>
              <w:t>N° de version 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406115" w14:textId="77777777" w:rsidR="0046544D" w:rsidRPr="0046544D" w:rsidRDefault="0046544D" w:rsidP="0046544D">
            <w:r w:rsidRPr="0046544D">
              <w:t>1.0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0E78D417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8152CE" w14:textId="77777777" w:rsidR="0046544D" w:rsidRPr="0046544D" w:rsidRDefault="0046544D" w:rsidP="0046544D">
            <w:r w:rsidRPr="0046544D">
              <w:rPr>
                <w:i/>
                <w:iCs/>
              </w:rPr>
              <w:t>Date de version 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524DA0" w14:textId="77777777" w:rsidR="0046544D" w:rsidRPr="0046544D" w:rsidRDefault="0046544D" w:rsidP="0046544D">
            <w:r w:rsidRPr="0046544D">
              <w:t>20/08/2025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7A01F41E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D1C1E" w14:textId="77777777" w:rsidR="0046544D" w:rsidRPr="0046544D" w:rsidRDefault="0046544D" w:rsidP="0046544D">
            <w:r w:rsidRPr="0046544D">
              <w:rPr>
                <w:i/>
                <w:iCs/>
              </w:rPr>
              <w:t>Titre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C99B8" w14:textId="35D0CC38" w:rsidR="0046544D" w:rsidRPr="0046544D" w:rsidRDefault="00FD2635" w:rsidP="0046544D">
            <w:r w:rsidRPr="00FD2635">
              <w:t>Contrat d’Architecture avec les Utilisateurs Business</w:t>
            </w:r>
          </w:p>
        </w:tc>
      </w:tr>
      <w:tr w:rsidR="0046544D" w:rsidRPr="0046544D" w14:paraId="0BD32731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FF1FA8" w14:textId="77777777" w:rsidR="0046544D" w:rsidRPr="0046544D" w:rsidRDefault="0046544D" w:rsidP="0046544D">
            <w:r w:rsidRPr="0046544D">
              <w:rPr>
                <w:i/>
                <w:iCs/>
              </w:rPr>
              <w:t>Revu par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6E3424" w14:textId="77777777" w:rsidR="0046544D" w:rsidRPr="0046544D" w:rsidRDefault="0046544D" w:rsidP="0046544D">
            <w:r w:rsidRPr="0046544D">
              <w:t>Vincent</w:t>
            </w:r>
            <w:r w:rsidRPr="0046544D">
              <w:rPr>
                <w:rFonts w:ascii="Arial" w:hAnsi="Arial" w:cs="Arial"/>
              </w:rPr>
              <w:t>  </w:t>
            </w:r>
            <w:r w:rsidRPr="0046544D">
              <w:t> </w:t>
            </w:r>
          </w:p>
        </w:tc>
      </w:tr>
      <w:tr w:rsidR="0046544D" w:rsidRPr="0046544D" w14:paraId="0C435DC0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933BAC" w14:textId="77777777" w:rsidR="0046544D" w:rsidRPr="0046544D" w:rsidRDefault="0046544D" w:rsidP="0046544D">
            <w:r w:rsidRPr="0046544D">
              <w:rPr>
                <w:i/>
                <w:iCs/>
              </w:rPr>
              <w:t>Date de révision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650A28" w14:textId="77777777" w:rsidR="0046544D" w:rsidRPr="0046544D" w:rsidRDefault="0046544D" w:rsidP="0046544D">
            <w:r w:rsidRPr="0046544D">
              <w:t>21/08/2025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2F862A00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05197" w14:textId="77777777" w:rsidR="0046544D" w:rsidRPr="0046544D" w:rsidRDefault="0046544D" w:rsidP="0046544D">
            <w:r w:rsidRPr="0046544D">
              <w:rPr>
                <w:i/>
                <w:iCs/>
              </w:rPr>
              <w:t>Liste de distribution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6C23B" w14:textId="77777777" w:rsidR="0046544D" w:rsidRPr="0046544D" w:rsidRDefault="0046544D" w:rsidP="0046544D">
            <w:r w:rsidRPr="0046544D">
              <w:rPr>
                <w:lang w:val="en-GB"/>
              </w:rPr>
              <w:t>Architect, Dev team, CPO, CIO, CEO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503B7085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06104D" w14:textId="77777777" w:rsidR="0046544D" w:rsidRPr="0046544D" w:rsidRDefault="0046544D" w:rsidP="0046544D">
            <w:r w:rsidRPr="0046544D">
              <w:t>De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AC2CB2" w14:textId="77777777" w:rsidR="0046544D" w:rsidRPr="0046544D" w:rsidRDefault="0046544D" w:rsidP="0046544D">
            <w:r w:rsidRPr="0046544D">
              <w:t>HEDI DHIB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6A135F74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587F94" w14:textId="77777777" w:rsidR="0046544D" w:rsidRPr="0046544D" w:rsidRDefault="0046544D" w:rsidP="0046544D">
            <w:r w:rsidRPr="0046544D">
              <w:t>Date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2FB66" w14:textId="77777777" w:rsidR="0046544D" w:rsidRPr="0046544D" w:rsidRDefault="0046544D" w:rsidP="0046544D">
            <w:r w:rsidRPr="0046544D">
              <w:t>20/08/2025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113C71C7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41D876" w14:textId="77777777" w:rsidR="0046544D" w:rsidRPr="0046544D" w:rsidRDefault="0046544D" w:rsidP="0046544D">
            <w:proofErr w:type="gramStart"/>
            <w:r w:rsidRPr="0046544D">
              <w:t>Email</w:t>
            </w:r>
            <w:proofErr w:type="gramEnd"/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19C8E2" w14:textId="77777777" w:rsidR="0046544D" w:rsidRPr="0046544D" w:rsidRDefault="0046544D" w:rsidP="0046544D">
            <w:r w:rsidRPr="0046544D">
              <w:t>Hedi.dhib@gmail.com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362B5D75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E59384" w14:textId="77777777" w:rsidR="0046544D" w:rsidRPr="0046544D" w:rsidRDefault="0046544D" w:rsidP="0046544D">
            <w:r w:rsidRPr="0046544D">
              <w:t>Pour Action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91FF2" w14:textId="77777777" w:rsidR="0046544D" w:rsidRPr="0046544D" w:rsidRDefault="0046544D" w:rsidP="0046544D">
            <w:r w:rsidRPr="0046544D">
              <w:t>Révision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02921E74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D237A" w14:textId="77777777" w:rsidR="0046544D" w:rsidRPr="0046544D" w:rsidRDefault="0046544D" w:rsidP="0046544D">
            <w:r w:rsidRPr="0046544D">
              <w:t>Date de rendu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6CE38" w14:textId="77777777" w:rsidR="0046544D" w:rsidRPr="0046544D" w:rsidRDefault="0046544D" w:rsidP="0046544D">
            <w:r w:rsidRPr="0046544D">
              <w:t>21/8/2025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1D605B4D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6EF07" w14:textId="77777777" w:rsidR="0046544D" w:rsidRPr="0046544D" w:rsidRDefault="0046544D" w:rsidP="0046544D">
            <w:r w:rsidRPr="0046544D">
              <w:t>Types d’action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CC3CD" w14:textId="77777777" w:rsidR="0046544D" w:rsidRPr="0046544D" w:rsidRDefault="0046544D" w:rsidP="0046544D">
            <w:r w:rsidRPr="0046544D">
              <w:t>Approbation, Révision, Information, Classement, Action requise, Participation à une réunion, Autre (à spécifier)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5F87343E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9B6BEC" w14:textId="77777777" w:rsidR="0046544D" w:rsidRPr="0046544D" w:rsidRDefault="0046544D" w:rsidP="0046544D">
            <w:r w:rsidRPr="0046544D">
              <w:t>Historique de versions 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87F322" w14:textId="77777777" w:rsidR="0046544D" w:rsidRPr="0046544D" w:rsidRDefault="0046544D" w:rsidP="0046544D">
            <w:r w:rsidRPr="0046544D">
              <w:t xml:space="preserve">Voir </w:t>
            </w:r>
            <w:proofErr w:type="spellStart"/>
            <w:r w:rsidRPr="0046544D">
              <w:t>Github</w:t>
            </w:r>
            <w:proofErr w:type="spellEnd"/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</w:tbl>
    <w:p w14:paraId="01DE5101" w14:textId="77777777" w:rsidR="0046544D" w:rsidRDefault="0046544D"/>
    <w:p w14:paraId="6148822E" w14:textId="77777777" w:rsidR="0046544D" w:rsidRDefault="0046544D"/>
    <w:p w14:paraId="4B245FF5" w14:textId="77777777" w:rsidR="0046544D" w:rsidRDefault="0046544D"/>
    <w:p w14:paraId="141D41AD" w14:textId="77777777" w:rsidR="0046544D" w:rsidRDefault="0046544D"/>
    <w:p w14:paraId="17BC607B" w14:textId="77777777" w:rsidR="0046544D" w:rsidRDefault="0046544D"/>
    <w:p w14:paraId="6C7A5671" w14:textId="77777777" w:rsidR="0046544D" w:rsidRDefault="0046544D"/>
    <w:p w14:paraId="09E59770" w14:textId="77777777" w:rsidR="0046544D" w:rsidRDefault="0046544D"/>
    <w:sdt>
      <w:sdtPr>
        <w:id w:val="344601838"/>
        <w:docPartObj>
          <w:docPartGallery w:val="Table of Contents"/>
          <w:docPartUnique/>
        </w:docPartObj>
      </w:sdtPr>
      <w:sdtContent>
        <w:p w14:paraId="7CDD067B" w14:textId="343CC443" w:rsidR="00AC0C64" w:rsidRDefault="5F1FAE18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206615127" w:history="1">
            <w:r w:rsidR="00AC0C64" w:rsidRPr="00550F9D">
              <w:rPr>
                <w:rStyle w:val="Lienhypertexte"/>
                <w:noProof/>
              </w:rPr>
              <w:t>1.</w:t>
            </w:r>
            <w:r w:rsidR="00AC0C64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AC0C64" w:rsidRPr="00550F9D">
              <w:rPr>
                <w:rStyle w:val="Lienhypertexte"/>
                <w:noProof/>
              </w:rPr>
              <w:t>Objet de ce document</w:t>
            </w:r>
            <w:r w:rsidR="00AC0C64">
              <w:rPr>
                <w:noProof/>
                <w:webHidden/>
              </w:rPr>
              <w:tab/>
            </w:r>
            <w:r w:rsidR="00AC0C64">
              <w:rPr>
                <w:noProof/>
                <w:webHidden/>
              </w:rPr>
              <w:fldChar w:fldCharType="begin"/>
            </w:r>
            <w:r w:rsidR="00AC0C64">
              <w:rPr>
                <w:noProof/>
                <w:webHidden/>
              </w:rPr>
              <w:instrText xml:space="preserve"> PAGEREF _Toc206615127 \h </w:instrText>
            </w:r>
            <w:r w:rsidR="00AC0C64">
              <w:rPr>
                <w:noProof/>
                <w:webHidden/>
              </w:rPr>
            </w:r>
            <w:r w:rsidR="00AC0C64">
              <w:rPr>
                <w:noProof/>
                <w:webHidden/>
              </w:rPr>
              <w:fldChar w:fldCharType="separate"/>
            </w:r>
            <w:r w:rsidR="00AC0C64">
              <w:rPr>
                <w:noProof/>
                <w:webHidden/>
              </w:rPr>
              <w:t>3</w:t>
            </w:r>
            <w:r w:rsidR="00AC0C64">
              <w:rPr>
                <w:noProof/>
                <w:webHidden/>
              </w:rPr>
              <w:fldChar w:fldCharType="end"/>
            </w:r>
          </w:hyperlink>
        </w:p>
        <w:p w14:paraId="464E9A90" w14:textId="74A66E61" w:rsidR="00AC0C64" w:rsidRDefault="00AC0C64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28" w:history="1">
            <w:r w:rsidRPr="00550F9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Introduction et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6625" w14:textId="1245A494" w:rsidR="00AC0C64" w:rsidRDefault="00AC0C64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29" w:history="1">
            <w:r w:rsidRPr="00550F9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La Nature de l’accord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7F7F" w14:textId="41D8897B" w:rsidR="00AC0C64" w:rsidRDefault="00AC0C64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30" w:history="1">
            <w:r w:rsidRPr="00550F9D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Objectifs et 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EDC0" w14:textId="6273328C" w:rsidR="00AC0C64" w:rsidRDefault="00AC0C64">
          <w:pPr>
            <w:pStyle w:val="TM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31" w:history="1">
            <w:r w:rsidRPr="00550F9D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A496" w14:textId="244E334B" w:rsidR="00AC0C64" w:rsidRDefault="00AC0C64">
          <w:pPr>
            <w:pStyle w:val="TM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32" w:history="1">
            <w:r w:rsidRPr="00550F9D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Objectif Business 1 : Favoriser la mise en relation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CD0F" w14:textId="4DACA1AB" w:rsidR="00AC0C64" w:rsidRDefault="00AC0C64">
          <w:pPr>
            <w:pStyle w:val="TM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33" w:history="1">
            <w:r w:rsidRPr="00550F9D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Objectif Business 2 : Expérimentation rapide et évolutivité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85A0" w14:textId="3C04D2FD" w:rsidR="00AC0C64" w:rsidRDefault="00AC0C64">
          <w:pPr>
            <w:pStyle w:val="TM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34" w:history="1">
            <w:r w:rsidRPr="00550F9D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286A" w14:textId="61F7D513" w:rsidR="00AC0C64" w:rsidRDefault="00AC0C64">
          <w:pPr>
            <w:pStyle w:val="TM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35" w:history="1">
            <w:r w:rsidRPr="00550F9D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Parties prenantes, préoccupations et 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2375" w14:textId="180B390E" w:rsidR="00AC0C64" w:rsidRDefault="00AC0C64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36" w:history="1">
            <w:r w:rsidRPr="00550F9D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Conditions requises pour la conformité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F4C7" w14:textId="5253471F" w:rsidR="00AC0C64" w:rsidRDefault="00AC0C64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37" w:history="1">
            <w:r w:rsidRPr="00550F9D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Personnes adoptant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55C0" w14:textId="23864864" w:rsidR="00AC0C64" w:rsidRDefault="00AC0C64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38" w:history="1">
            <w:r w:rsidRPr="00550F9D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Fenêtre temporelle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9053" w14:textId="51DE9395" w:rsidR="00AC0C64" w:rsidRDefault="00AC0C64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39" w:history="1">
            <w:r w:rsidRPr="00550F9D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Métriques business de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9772" w14:textId="779C3801" w:rsidR="00AC0C64" w:rsidRDefault="00AC0C64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40" w:history="1">
            <w:r w:rsidRPr="00550F9D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Accords de service pour l’architecture (y compris accord du niveau de service [ANS])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BB57" w14:textId="66ECB0AF" w:rsidR="00AC0C64" w:rsidRDefault="00AC0C64">
          <w:pPr>
            <w:pStyle w:val="TM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15141" w:history="1">
            <w:r w:rsidRPr="00550F9D">
              <w:rPr>
                <w:rStyle w:val="Lienhypertexte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550F9D">
              <w:rPr>
                <w:rStyle w:val="Lienhypertexte"/>
                <w:noProof/>
              </w:rPr>
              <w:t>Personnes approuvant ce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923A" w14:textId="7A65EB05" w:rsidR="5F1FAE18" w:rsidRDefault="5F1FAE18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457F45F4" w14:textId="77777777" w:rsidR="0046544D" w:rsidRDefault="0046544D"/>
    <w:p w14:paraId="54004B9B" w14:textId="77777777" w:rsidR="0046544D" w:rsidRDefault="0046544D"/>
    <w:p w14:paraId="7204D2E1" w14:textId="77777777" w:rsidR="0046544D" w:rsidRDefault="0046544D"/>
    <w:p w14:paraId="2CFB2E2A" w14:textId="77777777" w:rsidR="0046544D" w:rsidRDefault="0046544D"/>
    <w:p w14:paraId="5A62DA44" w14:textId="77777777" w:rsidR="0046544D" w:rsidRDefault="0046544D"/>
    <w:p w14:paraId="1624C782" w14:textId="77777777" w:rsidR="00FD2635" w:rsidRDefault="00FD2635"/>
    <w:p w14:paraId="432C5563" w14:textId="77777777" w:rsidR="00FD2635" w:rsidRDefault="00FD2635"/>
    <w:p w14:paraId="711D9F07" w14:textId="77777777" w:rsidR="00FD2635" w:rsidRDefault="00FD2635"/>
    <w:p w14:paraId="7B95F1EA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0" w:name="_Toc206615127"/>
      <w:r>
        <w:t>Objet de ce document</w:t>
      </w:r>
      <w:bookmarkEnd w:id="0"/>
    </w:p>
    <w:p w14:paraId="5E549959" w14:textId="77777777" w:rsidR="00840951" w:rsidRPr="00840951" w:rsidRDefault="00840951" w:rsidP="00840951">
      <w:r w:rsidRPr="00840951">
        <w:t xml:space="preserve">Le présent document constitue le </w:t>
      </w:r>
      <w:r w:rsidRPr="00840951">
        <w:rPr>
          <w:b/>
          <w:bCs/>
        </w:rPr>
        <w:t>Contrat d’Architecture établi entre l’équipe d’architecture</w:t>
      </w:r>
      <w:r w:rsidRPr="00840951">
        <w:t xml:space="preserve"> et les </w:t>
      </w:r>
      <w:r w:rsidRPr="00840951">
        <w:rPr>
          <w:b/>
          <w:bCs/>
        </w:rPr>
        <w:t>parties prenantes métier</w:t>
      </w:r>
      <w:r w:rsidRPr="00840951">
        <w:t xml:space="preserve"> du projet </w:t>
      </w:r>
      <w:proofErr w:type="spellStart"/>
      <w:r w:rsidRPr="00840951">
        <w:t>Foosus</w:t>
      </w:r>
      <w:proofErr w:type="spellEnd"/>
      <w:r w:rsidRPr="00840951">
        <w:t xml:space="preserve">. Il formalise un </w:t>
      </w:r>
      <w:r w:rsidRPr="00840951">
        <w:rPr>
          <w:b/>
          <w:bCs/>
        </w:rPr>
        <w:t>accord mutuel sur les objectifs, les engagements, les critères de succès et les responsabilités</w:t>
      </w:r>
      <w:r w:rsidRPr="00840951">
        <w:t xml:space="preserve"> liés à la mise en œuvre de l’architecture cible.</w:t>
      </w:r>
    </w:p>
    <w:p w14:paraId="6E8BCEC2" w14:textId="77777777" w:rsidR="00840951" w:rsidRPr="00840951" w:rsidRDefault="00840951" w:rsidP="00840951">
      <w:r w:rsidRPr="00840951">
        <w:t>Ce contrat vise à :</w:t>
      </w:r>
    </w:p>
    <w:p w14:paraId="0487EA1B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Assurer un </w:t>
      </w:r>
      <w:r w:rsidRPr="00840951">
        <w:rPr>
          <w:b/>
          <w:bCs/>
        </w:rPr>
        <w:t>alignement durable entre l’architecture d’entreprise et les objectifs business</w:t>
      </w:r>
      <w:r w:rsidRPr="00840951">
        <w:t xml:space="preserve"> de </w:t>
      </w:r>
      <w:proofErr w:type="spellStart"/>
      <w:r w:rsidRPr="00840951">
        <w:t>Foosus</w:t>
      </w:r>
      <w:proofErr w:type="spellEnd"/>
      <w:r w:rsidRPr="00840951">
        <w:t xml:space="preserve"> ;</w:t>
      </w:r>
    </w:p>
    <w:p w14:paraId="6D2CCA93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Encadrer la </w:t>
      </w:r>
      <w:r w:rsidRPr="00840951">
        <w:rPr>
          <w:b/>
          <w:bCs/>
        </w:rPr>
        <w:t>collaboration entre les fonctions produit, métier et architecture</w:t>
      </w:r>
      <w:r w:rsidRPr="00840951">
        <w:t xml:space="preserve"> ;</w:t>
      </w:r>
    </w:p>
    <w:p w14:paraId="6A644F27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Définir les </w:t>
      </w:r>
      <w:r w:rsidRPr="00840951">
        <w:rPr>
          <w:b/>
          <w:bCs/>
        </w:rPr>
        <w:t>engagements respectifs</w:t>
      </w:r>
      <w:r w:rsidRPr="00840951">
        <w:t xml:space="preserve"> de chaque partie (livrables, feedback, arbitrage, gouvernance) ;</w:t>
      </w:r>
    </w:p>
    <w:p w14:paraId="253D7EC9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Poser les bases de la </w:t>
      </w:r>
      <w:r w:rsidRPr="00840951">
        <w:rPr>
          <w:b/>
          <w:bCs/>
        </w:rPr>
        <w:t>conformité, de la qualité et de l’adoption de l’architecture proposée</w:t>
      </w:r>
      <w:r w:rsidRPr="00840951">
        <w:t>.</w:t>
      </w:r>
    </w:p>
    <w:p w14:paraId="451CD3E4" w14:textId="29C3B918" w:rsidR="00840951" w:rsidRPr="00840951" w:rsidRDefault="00840951" w:rsidP="00840951">
      <w:r w:rsidRPr="00840951">
        <w:t xml:space="preserve">Ce contrat s’inscrit dans le cadre des phases </w:t>
      </w:r>
      <w:r w:rsidRPr="00840951">
        <w:rPr>
          <w:b/>
          <w:bCs/>
        </w:rPr>
        <w:t>B à E du cycle TOGAF ADM</w:t>
      </w:r>
      <w:r w:rsidRPr="00840951">
        <w:t>, en cohérence avec les autres livrables produits (Déclaration de Travail d’Architecture, Spécification des Conditions Requises).</w:t>
      </w:r>
    </w:p>
    <w:p w14:paraId="426E97C4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" w:name="_Toc206615128"/>
      <w:r>
        <w:t>Introduction et contexte</w:t>
      </w:r>
      <w:bookmarkEnd w:id="1"/>
    </w:p>
    <w:p w14:paraId="681F0FF7" w14:textId="77777777" w:rsidR="00BC5201" w:rsidRPr="00BC5201" w:rsidRDefault="00BC5201" w:rsidP="00BC5201">
      <w:proofErr w:type="spellStart"/>
      <w:r w:rsidRPr="00BC5201">
        <w:t>Foosus</w:t>
      </w:r>
      <w:proofErr w:type="spellEnd"/>
      <w:r w:rsidRPr="00BC5201">
        <w:t xml:space="preserve"> est une entreprise en croissance dans le secteur de l’</w:t>
      </w:r>
      <w:r w:rsidRPr="00BC5201">
        <w:rPr>
          <w:b/>
          <w:bCs/>
        </w:rPr>
        <w:t>alimentation durable et locale</w:t>
      </w:r>
      <w:r w:rsidRPr="00BC5201">
        <w:t xml:space="preserve">, dont la mission est de </w:t>
      </w:r>
      <w:r w:rsidRPr="00BC5201">
        <w:rPr>
          <w:b/>
          <w:bCs/>
        </w:rPr>
        <w:t>connecter les consommateurs aux producteurs et artisans de proximité</w:t>
      </w:r>
      <w:r w:rsidRPr="00BC5201">
        <w:t>. Son application mobile, en constante évolution, est au cœur de cette promesse de valeur.</w:t>
      </w:r>
    </w:p>
    <w:p w14:paraId="0AB456B8" w14:textId="77777777" w:rsidR="00BC5201" w:rsidRPr="00BC5201" w:rsidRDefault="00BC5201" w:rsidP="00BC5201">
      <w:r w:rsidRPr="00BC5201">
        <w:t xml:space="preserve">Cependant, l’organisation fait face à des </w:t>
      </w:r>
      <w:r w:rsidRPr="00BC5201">
        <w:rPr>
          <w:b/>
          <w:bCs/>
        </w:rPr>
        <w:t>limitations structurelles</w:t>
      </w:r>
      <w:r w:rsidRPr="00BC5201">
        <w:t xml:space="preserve"> dues à des choix techniques initiaux orientés rapidité plutôt que robustesse. Cela freine :</w:t>
      </w:r>
    </w:p>
    <w:p w14:paraId="436F781B" w14:textId="77777777" w:rsidR="00BC5201" w:rsidRPr="00BC5201" w:rsidRDefault="00BC5201" w:rsidP="00BC5201">
      <w:pPr>
        <w:numPr>
          <w:ilvl w:val="0"/>
          <w:numId w:val="6"/>
        </w:numPr>
      </w:pPr>
      <w:proofErr w:type="gramStart"/>
      <w:r w:rsidRPr="00BC5201">
        <w:t>la</w:t>
      </w:r>
      <w:proofErr w:type="gramEnd"/>
      <w:r w:rsidRPr="00BC5201">
        <w:t xml:space="preserve"> </w:t>
      </w:r>
      <w:r w:rsidRPr="00BC5201">
        <w:rPr>
          <w:b/>
          <w:bCs/>
        </w:rPr>
        <w:t>mise à l’échelle</w:t>
      </w:r>
      <w:r w:rsidRPr="00BC5201">
        <w:t xml:space="preserve"> de la plateforme,</w:t>
      </w:r>
    </w:p>
    <w:p w14:paraId="265F848B" w14:textId="77777777" w:rsidR="00BC5201" w:rsidRPr="00BC5201" w:rsidRDefault="00BC5201" w:rsidP="00BC5201">
      <w:pPr>
        <w:numPr>
          <w:ilvl w:val="0"/>
          <w:numId w:val="6"/>
        </w:numPr>
      </w:pPr>
      <w:proofErr w:type="gramStart"/>
      <w:r w:rsidRPr="00BC5201">
        <w:t>l’</w:t>
      </w:r>
      <w:r w:rsidRPr="00BC5201">
        <w:rPr>
          <w:b/>
          <w:bCs/>
        </w:rPr>
        <w:t>expérimentation</w:t>
      </w:r>
      <w:proofErr w:type="gramEnd"/>
      <w:r w:rsidRPr="00BC5201">
        <w:rPr>
          <w:b/>
          <w:bCs/>
        </w:rPr>
        <w:t xml:space="preserve"> produit rapide</w:t>
      </w:r>
      <w:r w:rsidRPr="00BC5201">
        <w:t>,</w:t>
      </w:r>
    </w:p>
    <w:p w14:paraId="396C8F14" w14:textId="77777777" w:rsidR="00BC5201" w:rsidRPr="00BC5201" w:rsidRDefault="00BC5201" w:rsidP="00BC5201">
      <w:pPr>
        <w:numPr>
          <w:ilvl w:val="0"/>
          <w:numId w:val="6"/>
        </w:numPr>
      </w:pPr>
      <w:proofErr w:type="gramStart"/>
      <w:r w:rsidRPr="00BC5201">
        <w:t>l’</w:t>
      </w:r>
      <w:r w:rsidRPr="00BC5201">
        <w:rPr>
          <w:b/>
          <w:bCs/>
        </w:rPr>
        <w:t>intégration</w:t>
      </w:r>
      <w:proofErr w:type="gramEnd"/>
      <w:r w:rsidRPr="00BC5201">
        <w:rPr>
          <w:b/>
          <w:bCs/>
        </w:rPr>
        <w:t xml:space="preserve"> de services tiers</w:t>
      </w:r>
      <w:r w:rsidRPr="00BC5201">
        <w:t>,</w:t>
      </w:r>
    </w:p>
    <w:p w14:paraId="14B9D027" w14:textId="77777777" w:rsidR="00BC5201" w:rsidRDefault="00BC5201" w:rsidP="00BC5201">
      <w:pPr>
        <w:numPr>
          <w:ilvl w:val="0"/>
          <w:numId w:val="6"/>
        </w:numPr>
      </w:pPr>
      <w:proofErr w:type="gramStart"/>
      <w:r w:rsidRPr="00BC5201">
        <w:t>la</w:t>
      </w:r>
      <w:proofErr w:type="gramEnd"/>
      <w:r w:rsidRPr="00BC5201">
        <w:t xml:space="preserve"> </w:t>
      </w:r>
      <w:r w:rsidRPr="00BC5201">
        <w:rPr>
          <w:b/>
          <w:bCs/>
        </w:rPr>
        <w:t>résilience face à la croissance et aux pics de charge</w:t>
      </w:r>
      <w:r w:rsidRPr="00BC5201">
        <w:t>.</w:t>
      </w:r>
    </w:p>
    <w:p w14:paraId="0049A213" w14:textId="77777777" w:rsidR="002D1B74" w:rsidRDefault="002D1B74" w:rsidP="002D1B74">
      <w:pPr>
        <w:ind w:left="720"/>
      </w:pPr>
    </w:p>
    <w:p w14:paraId="7E704BEA" w14:textId="77777777" w:rsidR="002D1B74" w:rsidRDefault="002D1B74" w:rsidP="002D1B74">
      <w:pPr>
        <w:ind w:left="720"/>
      </w:pPr>
    </w:p>
    <w:p w14:paraId="4055FC78" w14:textId="77777777" w:rsidR="002D1B74" w:rsidRDefault="002D1B74" w:rsidP="002D1B74">
      <w:pPr>
        <w:ind w:left="720"/>
      </w:pPr>
    </w:p>
    <w:p w14:paraId="34CAD3B4" w14:textId="7A3313FF" w:rsidR="002D1B74" w:rsidRPr="005912AA" w:rsidRDefault="005912AA" w:rsidP="005912AA">
      <w:pPr>
        <w:ind w:left="720"/>
        <w:jc w:val="center"/>
        <w:rPr>
          <w:b/>
          <w:bCs/>
        </w:rPr>
      </w:pPr>
      <w:r>
        <w:rPr>
          <w:b/>
          <w:bCs/>
        </w:rPr>
        <w:t>D</w:t>
      </w:r>
      <w:r w:rsidR="002D1B74" w:rsidRPr="005912AA">
        <w:rPr>
          <w:b/>
          <w:bCs/>
        </w:rPr>
        <w:t>iagramme d’alignement architecture ↔ business</w:t>
      </w:r>
    </w:p>
    <w:p w14:paraId="187B0B9B" w14:textId="76E2F2F4" w:rsidR="007F012F" w:rsidRPr="00BC5201" w:rsidRDefault="007F012F" w:rsidP="007F012F">
      <w:r>
        <w:rPr>
          <w:noProof/>
        </w:rPr>
        <w:drawing>
          <wp:inline distT="0" distB="0" distL="0" distR="0" wp14:anchorId="532F1475" wp14:editId="6CECD193">
            <wp:extent cx="5731510" cy="3295650"/>
            <wp:effectExtent l="0" t="0" r="2540" b="0"/>
            <wp:docPr id="1132877313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7313" name="Image 1" descr="Une image contenant texte, capture d’écran, Police, diagram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7894" w14:textId="77777777" w:rsidR="009A2CAE" w:rsidRPr="009A2CAE" w:rsidRDefault="009A2CAE" w:rsidP="009A2CAE">
      <w:r w:rsidRPr="009A2CAE">
        <w:t xml:space="preserve">Dans ce contexte, une </w:t>
      </w:r>
      <w:r w:rsidRPr="009A2CAE">
        <w:rPr>
          <w:b/>
          <w:bCs/>
        </w:rPr>
        <w:t>refonte architecturale stratégique</w:t>
      </w:r>
      <w:r w:rsidRPr="009A2CAE">
        <w:t xml:space="preserve"> est engagée. Elle vise à mettre en place une </w:t>
      </w:r>
      <w:r w:rsidRPr="009A2CAE">
        <w:rPr>
          <w:b/>
          <w:bCs/>
        </w:rPr>
        <w:t>architecture modulaire, évolutive, performante et conforme</w:t>
      </w:r>
      <w:r w:rsidRPr="009A2CAE">
        <w:t>, capable de soutenir :</w:t>
      </w:r>
    </w:p>
    <w:p w14:paraId="166AB38A" w14:textId="77777777" w:rsidR="009A2CAE" w:rsidRPr="009A2CAE" w:rsidRDefault="009A2CAE" w:rsidP="009A2CAE">
      <w:pPr>
        <w:numPr>
          <w:ilvl w:val="0"/>
          <w:numId w:val="7"/>
        </w:numPr>
      </w:pPr>
      <w:proofErr w:type="gramStart"/>
      <w:r w:rsidRPr="009A2CAE">
        <w:t>les</w:t>
      </w:r>
      <w:proofErr w:type="gramEnd"/>
      <w:r w:rsidRPr="009A2CAE">
        <w:t xml:space="preserve"> </w:t>
      </w:r>
      <w:r w:rsidRPr="009A2CAE">
        <w:rPr>
          <w:b/>
          <w:bCs/>
        </w:rPr>
        <w:t>objectifs business ambitieux</w:t>
      </w:r>
      <w:r w:rsidRPr="009A2CAE">
        <w:t xml:space="preserve"> de </w:t>
      </w:r>
      <w:proofErr w:type="spellStart"/>
      <w:r w:rsidRPr="009A2CAE">
        <w:t>Foosus</w:t>
      </w:r>
      <w:proofErr w:type="spellEnd"/>
      <w:r w:rsidRPr="009A2CAE">
        <w:t>,</w:t>
      </w:r>
    </w:p>
    <w:p w14:paraId="16766C95" w14:textId="77777777" w:rsidR="009A2CAE" w:rsidRPr="009A2CAE" w:rsidRDefault="009A2CAE" w:rsidP="009A2CAE">
      <w:pPr>
        <w:numPr>
          <w:ilvl w:val="0"/>
          <w:numId w:val="7"/>
        </w:numPr>
      </w:pPr>
      <w:proofErr w:type="gramStart"/>
      <w:r w:rsidRPr="009A2CAE">
        <w:t>une</w:t>
      </w:r>
      <w:proofErr w:type="gramEnd"/>
      <w:r w:rsidRPr="009A2CAE">
        <w:t xml:space="preserve"> </w:t>
      </w:r>
      <w:r w:rsidRPr="009A2CAE">
        <w:rPr>
          <w:b/>
          <w:bCs/>
        </w:rPr>
        <w:t>expérience utilisateur de qualité</w:t>
      </w:r>
      <w:r w:rsidRPr="009A2CAE">
        <w:t>,</w:t>
      </w:r>
    </w:p>
    <w:p w14:paraId="5830537D" w14:textId="77777777" w:rsidR="009A2CAE" w:rsidRPr="009A2CAE" w:rsidRDefault="009A2CAE" w:rsidP="009A2CAE">
      <w:pPr>
        <w:numPr>
          <w:ilvl w:val="0"/>
          <w:numId w:val="7"/>
        </w:numPr>
      </w:pPr>
      <w:proofErr w:type="gramStart"/>
      <w:r w:rsidRPr="009A2CAE">
        <w:t>une</w:t>
      </w:r>
      <w:proofErr w:type="gramEnd"/>
      <w:r w:rsidRPr="009A2CAE">
        <w:t xml:space="preserve"> </w:t>
      </w:r>
      <w:r w:rsidRPr="009A2CAE">
        <w:rPr>
          <w:b/>
          <w:bCs/>
        </w:rPr>
        <w:t>livraison continue de valeur</w:t>
      </w:r>
      <w:r w:rsidRPr="009A2CAE">
        <w:t>.</w:t>
      </w:r>
    </w:p>
    <w:p w14:paraId="14DD06D1" w14:textId="21DB571C" w:rsidR="00BC5201" w:rsidRDefault="009A2CAE" w:rsidP="00BC5201">
      <w:r w:rsidRPr="009A2CAE">
        <w:t xml:space="preserve">Ce contrat formalise l’engagement des équipes </w:t>
      </w:r>
      <w:r w:rsidRPr="009A2CAE">
        <w:rPr>
          <w:b/>
          <w:bCs/>
        </w:rPr>
        <w:t>produit, métier, sécurité et architecture</w:t>
      </w:r>
      <w:r w:rsidRPr="009A2CAE">
        <w:t xml:space="preserve"> autour de cette transformation.</w:t>
      </w:r>
    </w:p>
    <w:p w14:paraId="565FD942" w14:textId="5AAF5CB9" w:rsidR="00BD545E" w:rsidRPr="00BC5201" w:rsidRDefault="00DE2517" w:rsidP="00BC5201">
      <w:r>
        <w:rPr>
          <w:noProof/>
        </w:rPr>
        <w:lastRenderedPageBreak/>
        <w:drawing>
          <wp:inline distT="0" distB="0" distL="0" distR="0" wp14:anchorId="22938322" wp14:editId="0CFD8B2F">
            <wp:extent cx="5731510" cy="2462530"/>
            <wp:effectExtent l="0" t="0" r="2540" b="0"/>
            <wp:docPr id="1412312132" name="Image 2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12132" name="Image 2" descr="Une image contenant texte, capture d’écran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1A7D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2" w:name="_Toc206615129"/>
      <w:r>
        <w:t>La Nature de l’accord</w:t>
      </w:r>
      <w:bookmarkEnd w:id="2"/>
    </w:p>
    <w:p w14:paraId="273046AD" w14:textId="77777777" w:rsidR="00F8058A" w:rsidRPr="00F8058A" w:rsidRDefault="00F8058A" w:rsidP="00F8058A">
      <w:r w:rsidRPr="00F8058A">
        <w:t xml:space="preserve">Ce contrat établit un </w:t>
      </w:r>
      <w:r w:rsidRPr="00F8058A">
        <w:rPr>
          <w:b/>
          <w:bCs/>
        </w:rPr>
        <w:t>accord de collaboration stratégique entre les équipes métier et l’équipe d’architecture</w:t>
      </w:r>
      <w:r w:rsidRPr="00F8058A">
        <w:t xml:space="preserve">. Il ne constitue pas un document juridique contraignant, mais un </w:t>
      </w:r>
      <w:r w:rsidRPr="00F8058A">
        <w:rPr>
          <w:b/>
          <w:bCs/>
        </w:rPr>
        <w:t>cadre de référence formel, partagé et approuvé</w:t>
      </w:r>
      <w:r w:rsidRPr="00F8058A">
        <w:t>, garantissant que l’architecture cible :</w:t>
      </w:r>
    </w:p>
    <w:p w14:paraId="021411D9" w14:textId="77777777" w:rsidR="00F8058A" w:rsidRPr="00F8058A" w:rsidRDefault="00F8058A" w:rsidP="00F8058A">
      <w:pPr>
        <w:numPr>
          <w:ilvl w:val="0"/>
          <w:numId w:val="8"/>
        </w:numPr>
      </w:pPr>
      <w:proofErr w:type="gramStart"/>
      <w:r w:rsidRPr="00F8058A">
        <w:rPr>
          <w:b/>
          <w:bCs/>
        </w:rPr>
        <w:t>répond</w:t>
      </w:r>
      <w:proofErr w:type="gramEnd"/>
      <w:r w:rsidRPr="00F8058A">
        <w:rPr>
          <w:b/>
          <w:bCs/>
        </w:rPr>
        <w:t xml:space="preserve"> aux objectifs business</w:t>
      </w:r>
      <w:r w:rsidRPr="00F8058A">
        <w:t xml:space="preserve"> exprimés ;</w:t>
      </w:r>
    </w:p>
    <w:p w14:paraId="56FD71BF" w14:textId="77777777" w:rsidR="00F8058A" w:rsidRPr="00F8058A" w:rsidRDefault="00F8058A" w:rsidP="00F8058A">
      <w:pPr>
        <w:numPr>
          <w:ilvl w:val="0"/>
          <w:numId w:val="8"/>
        </w:numPr>
      </w:pPr>
      <w:proofErr w:type="gramStart"/>
      <w:r w:rsidRPr="00F8058A">
        <w:rPr>
          <w:b/>
          <w:bCs/>
        </w:rPr>
        <w:t>est</w:t>
      </w:r>
      <w:proofErr w:type="gramEnd"/>
      <w:r w:rsidRPr="00F8058A">
        <w:rPr>
          <w:b/>
          <w:bCs/>
        </w:rPr>
        <w:t xml:space="preserve"> comprise, acceptée et adoptée</w:t>
      </w:r>
      <w:r w:rsidRPr="00F8058A">
        <w:t xml:space="preserve"> par les parties prenantes métier ;</w:t>
      </w:r>
    </w:p>
    <w:p w14:paraId="540183E8" w14:textId="77777777" w:rsidR="00F8058A" w:rsidRPr="00F8058A" w:rsidRDefault="00F8058A" w:rsidP="00F8058A">
      <w:pPr>
        <w:numPr>
          <w:ilvl w:val="0"/>
          <w:numId w:val="8"/>
        </w:numPr>
      </w:pPr>
      <w:proofErr w:type="gramStart"/>
      <w:r w:rsidRPr="00F8058A">
        <w:rPr>
          <w:b/>
          <w:bCs/>
        </w:rPr>
        <w:t>s’intègre</w:t>
      </w:r>
      <w:proofErr w:type="gramEnd"/>
      <w:r w:rsidRPr="00F8058A">
        <w:rPr>
          <w:b/>
          <w:bCs/>
        </w:rPr>
        <w:t xml:space="preserve"> dans les cycles de livraison produits</w:t>
      </w:r>
      <w:r w:rsidRPr="00F8058A">
        <w:t>, tout en respectant des contraintes techniques, de sécurité et de gouvernance.</w:t>
      </w:r>
    </w:p>
    <w:p w14:paraId="010613C3" w14:textId="0D5479F3" w:rsidR="00F8058A" w:rsidRPr="00654EDA" w:rsidRDefault="00654EDA" w:rsidP="00F8058A">
      <w:pPr>
        <w:rPr>
          <w:b/>
          <w:bCs/>
        </w:rPr>
      </w:pPr>
      <w:r w:rsidRPr="00654EDA">
        <w:rPr>
          <w:b/>
          <w:bCs/>
        </w:rPr>
        <w:t>L’accord repose sur les principes suivants 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7480"/>
      </w:tblGrid>
      <w:tr w:rsidR="00654EDA" w:rsidRPr="00654EDA" w14:paraId="5E3D5A04" w14:textId="77777777" w:rsidTr="00654EDA">
        <w:trPr>
          <w:tblHeader/>
          <w:tblCellSpacing w:w="15" w:type="dxa"/>
        </w:trPr>
        <w:tc>
          <w:tcPr>
            <w:tcW w:w="3391" w:type="dxa"/>
            <w:vAlign w:val="center"/>
            <w:hideMark/>
          </w:tcPr>
          <w:p w14:paraId="5E30ED05" w14:textId="77777777" w:rsidR="00654EDA" w:rsidRPr="00654EDA" w:rsidRDefault="00654EDA" w:rsidP="00654EDA">
            <w:pPr>
              <w:jc w:val="center"/>
              <w:rPr>
                <w:b/>
                <w:bCs/>
              </w:rPr>
            </w:pPr>
            <w:r w:rsidRPr="00654EDA">
              <w:rPr>
                <w:b/>
                <w:bCs/>
              </w:rPr>
              <w:t>Principe</w:t>
            </w:r>
          </w:p>
        </w:tc>
        <w:tc>
          <w:tcPr>
            <w:tcW w:w="7435" w:type="dxa"/>
            <w:vAlign w:val="center"/>
            <w:hideMark/>
          </w:tcPr>
          <w:p w14:paraId="1601CDB5" w14:textId="77777777" w:rsidR="00654EDA" w:rsidRPr="00654EDA" w:rsidRDefault="00654EDA" w:rsidP="00654EDA">
            <w:pPr>
              <w:jc w:val="center"/>
              <w:rPr>
                <w:b/>
                <w:bCs/>
              </w:rPr>
            </w:pPr>
            <w:r w:rsidRPr="00654EDA">
              <w:rPr>
                <w:b/>
                <w:bCs/>
              </w:rPr>
              <w:t>Description</w:t>
            </w:r>
          </w:p>
        </w:tc>
      </w:tr>
      <w:tr w:rsidR="00654EDA" w:rsidRPr="00654EDA" w14:paraId="08687624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72B32D4F" w14:textId="77777777" w:rsidR="00654EDA" w:rsidRPr="00654EDA" w:rsidRDefault="00654EDA" w:rsidP="00654EDA">
            <w:r w:rsidRPr="00654EDA">
              <w:rPr>
                <w:b/>
                <w:bCs/>
              </w:rPr>
              <w:t>Alignement stratégique</w:t>
            </w:r>
          </w:p>
        </w:tc>
        <w:tc>
          <w:tcPr>
            <w:tcW w:w="7435" w:type="dxa"/>
            <w:vAlign w:val="center"/>
            <w:hideMark/>
          </w:tcPr>
          <w:p w14:paraId="5EDE1214" w14:textId="77777777" w:rsidR="00654EDA" w:rsidRPr="00654EDA" w:rsidRDefault="00654EDA" w:rsidP="00654EDA">
            <w:r w:rsidRPr="00654EDA">
              <w:t xml:space="preserve">L’architecture soutient explicitement les objectifs business de </w:t>
            </w:r>
            <w:proofErr w:type="spellStart"/>
            <w:r w:rsidRPr="00654EDA">
              <w:t>Foosus</w:t>
            </w:r>
            <w:proofErr w:type="spellEnd"/>
            <w:r w:rsidRPr="00654EDA">
              <w:t>, en cohérence avec la roadmap produit</w:t>
            </w:r>
          </w:p>
        </w:tc>
      </w:tr>
      <w:tr w:rsidR="00654EDA" w:rsidRPr="00654EDA" w14:paraId="469CD6A1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2A88F3A2" w14:textId="77777777" w:rsidR="00654EDA" w:rsidRPr="00654EDA" w:rsidRDefault="00654EDA" w:rsidP="00654EDA">
            <w:r w:rsidRPr="00654EDA">
              <w:rPr>
                <w:b/>
                <w:bCs/>
              </w:rPr>
              <w:t>Transparence et traçabilité</w:t>
            </w:r>
          </w:p>
        </w:tc>
        <w:tc>
          <w:tcPr>
            <w:tcW w:w="7435" w:type="dxa"/>
            <w:vAlign w:val="center"/>
            <w:hideMark/>
          </w:tcPr>
          <w:p w14:paraId="62F75C4D" w14:textId="77777777" w:rsidR="00654EDA" w:rsidRPr="00654EDA" w:rsidRDefault="00654EDA" w:rsidP="00654EDA">
            <w:r w:rsidRPr="00654EDA">
              <w:t>Les décisions d’architecture sont documentées, accessibles et justifiées (</w:t>
            </w:r>
            <w:proofErr w:type="spellStart"/>
            <w:r w:rsidRPr="00654EDA">
              <w:t>ADRs</w:t>
            </w:r>
            <w:proofErr w:type="spellEnd"/>
            <w:r w:rsidRPr="00654EDA">
              <w:t>, documentation)</w:t>
            </w:r>
          </w:p>
        </w:tc>
      </w:tr>
      <w:tr w:rsidR="00654EDA" w:rsidRPr="00654EDA" w14:paraId="6E284D1D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09E2C478" w14:textId="77777777" w:rsidR="00654EDA" w:rsidRPr="00654EDA" w:rsidRDefault="00654EDA" w:rsidP="00654EDA">
            <w:r w:rsidRPr="00654EDA">
              <w:rPr>
                <w:b/>
                <w:bCs/>
              </w:rPr>
              <w:t>Partage des responsabilités</w:t>
            </w:r>
          </w:p>
        </w:tc>
        <w:tc>
          <w:tcPr>
            <w:tcW w:w="7435" w:type="dxa"/>
            <w:vAlign w:val="center"/>
            <w:hideMark/>
          </w:tcPr>
          <w:p w14:paraId="5B97EB3C" w14:textId="77777777" w:rsidR="00654EDA" w:rsidRPr="00654EDA" w:rsidRDefault="00654EDA" w:rsidP="00654EDA">
            <w:r w:rsidRPr="00654EDA">
              <w:t>Le succès de l’architecture dépend d’un engagement bilatéral : métier ↔ architecture</w:t>
            </w:r>
          </w:p>
        </w:tc>
      </w:tr>
      <w:tr w:rsidR="00654EDA" w:rsidRPr="00654EDA" w14:paraId="7172615A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1B233617" w14:textId="77777777" w:rsidR="00654EDA" w:rsidRPr="00654EDA" w:rsidRDefault="00654EDA" w:rsidP="00654EDA">
            <w:r w:rsidRPr="00654EDA">
              <w:rPr>
                <w:b/>
                <w:bCs/>
              </w:rPr>
              <w:t>Validation mutuelle</w:t>
            </w:r>
          </w:p>
        </w:tc>
        <w:tc>
          <w:tcPr>
            <w:tcW w:w="7435" w:type="dxa"/>
            <w:vAlign w:val="center"/>
            <w:hideMark/>
          </w:tcPr>
          <w:p w14:paraId="30DEE134" w14:textId="77777777" w:rsidR="00654EDA" w:rsidRPr="00654EDA" w:rsidRDefault="00654EDA" w:rsidP="00654EDA">
            <w:r w:rsidRPr="00654EDA">
              <w:t>Les livrables d’architecture sont validés par les parties prenantes métier avant implémentation</w:t>
            </w:r>
          </w:p>
        </w:tc>
      </w:tr>
      <w:tr w:rsidR="00654EDA" w:rsidRPr="00654EDA" w14:paraId="2A698B1C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4C0DB540" w14:textId="77777777" w:rsidR="00654EDA" w:rsidRPr="00654EDA" w:rsidRDefault="00654EDA" w:rsidP="00654EDA">
            <w:r w:rsidRPr="00654EDA">
              <w:rPr>
                <w:b/>
                <w:bCs/>
              </w:rPr>
              <w:lastRenderedPageBreak/>
              <w:t>Révision continue</w:t>
            </w:r>
          </w:p>
        </w:tc>
        <w:tc>
          <w:tcPr>
            <w:tcW w:w="7435" w:type="dxa"/>
            <w:vAlign w:val="center"/>
            <w:hideMark/>
          </w:tcPr>
          <w:p w14:paraId="44EF4652" w14:textId="77777777" w:rsidR="00654EDA" w:rsidRPr="00654EDA" w:rsidRDefault="00654EDA" w:rsidP="00654EDA">
            <w:r w:rsidRPr="00654EDA">
              <w:t>Le contrat peut être ajusté à chaque jalon produit/technique ou en cas de changement stratégique</w:t>
            </w:r>
          </w:p>
        </w:tc>
      </w:tr>
    </w:tbl>
    <w:p w14:paraId="3F756DB2" w14:textId="77777777" w:rsidR="00A94E63" w:rsidRDefault="00A94E63" w:rsidP="00F8058A"/>
    <w:p w14:paraId="2C2900D9" w14:textId="600BCAF1" w:rsidR="00654EDA" w:rsidRPr="00F8058A" w:rsidRDefault="005B59B4" w:rsidP="00F8058A">
      <w:r w:rsidRPr="005B59B4">
        <w:t>L’accord s’applique à l’</w:t>
      </w:r>
      <w:r w:rsidRPr="005B59B4">
        <w:rPr>
          <w:b/>
          <w:bCs/>
        </w:rPr>
        <w:t xml:space="preserve">ensemble de la plateforme </w:t>
      </w:r>
      <w:proofErr w:type="spellStart"/>
      <w:r w:rsidRPr="005B59B4">
        <w:rPr>
          <w:b/>
          <w:bCs/>
        </w:rPr>
        <w:t>Foosus</w:t>
      </w:r>
      <w:proofErr w:type="spellEnd"/>
      <w:r w:rsidRPr="005B59B4">
        <w:t xml:space="preserve">, pour une période couvrant </w:t>
      </w:r>
      <w:r w:rsidRPr="005B59B4">
        <w:rPr>
          <w:b/>
          <w:bCs/>
        </w:rPr>
        <w:t>la phase de refonte initiale</w:t>
      </w:r>
      <w:r w:rsidRPr="005B59B4">
        <w:t xml:space="preserve"> et son </w:t>
      </w:r>
      <w:r w:rsidRPr="005B59B4">
        <w:rPr>
          <w:b/>
          <w:bCs/>
        </w:rPr>
        <w:t>adoption dans le produit final</w:t>
      </w:r>
      <w:r w:rsidRPr="005B59B4">
        <w:t xml:space="preserve"> (cf. section 7).</w:t>
      </w:r>
    </w:p>
    <w:p w14:paraId="3621F08C" w14:textId="18383867" w:rsidR="006D5576" w:rsidRDefault="006D5576" w:rsidP="00E0439B">
      <w:pPr>
        <w:pStyle w:val="Titre2"/>
        <w:numPr>
          <w:ilvl w:val="0"/>
          <w:numId w:val="3"/>
        </w:numPr>
      </w:pPr>
      <w:bookmarkStart w:id="3" w:name="_Toc206615130"/>
      <w:r>
        <w:t>Objectifs et Périmètre</w:t>
      </w:r>
      <w:bookmarkEnd w:id="3"/>
    </w:p>
    <w:p w14:paraId="5A72B41C" w14:textId="1E20BF11" w:rsidR="00EF2A02" w:rsidRDefault="00EF2A02" w:rsidP="00EF2A02">
      <w:pPr>
        <w:pStyle w:val="Titre3"/>
        <w:numPr>
          <w:ilvl w:val="1"/>
          <w:numId w:val="3"/>
        </w:numPr>
      </w:pPr>
      <w:bookmarkStart w:id="4" w:name="_Toc206615131"/>
      <w:r>
        <w:t>Objectifs</w:t>
      </w:r>
      <w:bookmarkEnd w:id="4"/>
    </w:p>
    <w:p w14:paraId="104B34B3" w14:textId="77777777" w:rsidR="0018247E" w:rsidRPr="0018247E" w:rsidRDefault="0018247E" w:rsidP="0018247E">
      <w:r w:rsidRPr="0018247E">
        <w:t xml:space="preserve">Ce contrat vise à garantir que l’architecture cible soutient les </w:t>
      </w:r>
      <w:r w:rsidRPr="0018247E">
        <w:rPr>
          <w:b/>
          <w:bCs/>
        </w:rPr>
        <w:t xml:space="preserve">priorités stratégiques de </w:t>
      </w:r>
      <w:proofErr w:type="spellStart"/>
      <w:r w:rsidRPr="0018247E">
        <w:rPr>
          <w:b/>
          <w:bCs/>
        </w:rPr>
        <w:t>Foosus</w:t>
      </w:r>
      <w:proofErr w:type="spellEnd"/>
      <w:r w:rsidRPr="0018247E">
        <w:t xml:space="preserve"> en termes de :</w:t>
      </w:r>
    </w:p>
    <w:p w14:paraId="30315EBE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Croissance et scalabilité</w:t>
      </w:r>
      <w:r w:rsidRPr="0018247E">
        <w:t xml:space="preserve"> : accompagner l’augmentation des utilisateurs et des transactions.</w:t>
      </w:r>
    </w:p>
    <w:p w14:paraId="710C5CD6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Innovation produit</w:t>
      </w:r>
      <w:r w:rsidRPr="0018247E">
        <w:t xml:space="preserve"> : permettre l’expérimentation rapide de nouvelles fonctionnalités.</w:t>
      </w:r>
    </w:p>
    <w:p w14:paraId="02527854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Conformité et sécurité</w:t>
      </w:r>
      <w:r w:rsidRPr="0018247E">
        <w:t xml:space="preserve"> : respecter les réglementations en vigueur (RGPD, sécurité applicative).</w:t>
      </w:r>
    </w:p>
    <w:p w14:paraId="30DEE849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Modularité et maintenabilité</w:t>
      </w:r>
      <w:r w:rsidRPr="0018247E">
        <w:t xml:space="preserve"> : réduire la dette technique, faciliter l’évolutivité.</w:t>
      </w:r>
    </w:p>
    <w:p w14:paraId="716218AB" w14:textId="00B67160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Time-to-</w:t>
      </w:r>
      <w:proofErr w:type="spellStart"/>
      <w:r w:rsidRPr="0018247E">
        <w:rPr>
          <w:b/>
          <w:bCs/>
        </w:rPr>
        <w:t>market</w:t>
      </w:r>
      <w:proofErr w:type="spellEnd"/>
      <w:r w:rsidRPr="0018247E">
        <w:t xml:space="preserve"> : accélérer les cycles de conception → développement → mise en production.</w:t>
      </w:r>
    </w:p>
    <w:p w14:paraId="6554BA54" w14:textId="6BD941D5" w:rsidR="00796BE8" w:rsidRDefault="00796BE8" w:rsidP="00796BE8">
      <w:pPr>
        <w:pStyle w:val="Titre3"/>
        <w:numPr>
          <w:ilvl w:val="1"/>
          <w:numId w:val="3"/>
        </w:numPr>
      </w:pPr>
      <w:bookmarkStart w:id="5" w:name="_Toc206615132"/>
      <w:r w:rsidRPr="00796BE8">
        <w:t>Objectif Business 1</w:t>
      </w:r>
      <w:r w:rsidR="0084000D">
        <w:t xml:space="preserve"> : </w:t>
      </w:r>
      <w:r w:rsidR="0084000D" w:rsidRPr="0084000D">
        <w:t>Favoriser la mise en relation locale</w:t>
      </w:r>
      <w:bookmarkEnd w:id="5"/>
    </w:p>
    <w:p w14:paraId="19605C9D" w14:textId="412C1DCE" w:rsidR="00850287" w:rsidRDefault="00850287" w:rsidP="00850287">
      <w:r w:rsidRPr="00850287">
        <w:rPr>
          <w:b/>
          <w:bCs/>
        </w:rPr>
        <w:t>Description</w:t>
      </w:r>
      <w:r w:rsidRPr="00850287">
        <w:t xml:space="preserve"> : Le système doit permettre à l’utilisateur de localiser, comparer et interagir avec des producteurs à proximité.</w:t>
      </w:r>
    </w:p>
    <w:tbl>
      <w:tblPr>
        <w:tblW w:w="0" w:type="auto"/>
        <w:tblCellSpacing w:w="15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4"/>
      </w:tblGrid>
      <w:tr w:rsidR="00B63566" w:rsidRPr="00B63566" w14:paraId="161DFF61" w14:textId="77777777" w:rsidTr="00B63566">
        <w:trPr>
          <w:tblHeader/>
          <w:tblCellSpacing w:w="15" w:type="dxa"/>
        </w:trPr>
        <w:tc>
          <w:tcPr>
            <w:tcW w:w="8584" w:type="dxa"/>
            <w:vAlign w:val="center"/>
            <w:hideMark/>
          </w:tcPr>
          <w:p w14:paraId="33D1E3D4" w14:textId="77777777" w:rsidR="00B63566" w:rsidRPr="00B63566" w:rsidRDefault="00B63566" w:rsidP="00B63566">
            <w:pPr>
              <w:rPr>
                <w:b/>
                <w:bCs/>
              </w:rPr>
            </w:pPr>
            <w:r w:rsidRPr="00B63566">
              <w:rPr>
                <w:b/>
                <w:bCs/>
              </w:rPr>
              <w:t>Architecture au service du business</w:t>
            </w:r>
          </w:p>
        </w:tc>
      </w:tr>
      <w:tr w:rsidR="00B63566" w:rsidRPr="00B63566" w14:paraId="44774DA0" w14:textId="77777777" w:rsidTr="00B63566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17DAEB08" w14:textId="77777777" w:rsidR="00B63566" w:rsidRPr="00B63566" w:rsidRDefault="00B63566" w:rsidP="00B63566">
            <w:r w:rsidRPr="00B63566">
              <w:t>- Exposition d’APIs de géolocalisation</w:t>
            </w:r>
          </w:p>
        </w:tc>
      </w:tr>
      <w:tr w:rsidR="00B63566" w:rsidRPr="00B63566" w14:paraId="3612E0CB" w14:textId="77777777" w:rsidTr="00B63566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2FE9C40D" w14:textId="77777777" w:rsidR="00B63566" w:rsidRPr="00B63566" w:rsidRDefault="00B63566" w:rsidP="00B63566">
            <w:r w:rsidRPr="00B63566">
              <w:t>- Recherche par rayon dynamique / filtre de distance</w:t>
            </w:r>
          </w:p>
        </w:tc>
      </w:tr>
      <w:tr w:rsidR="00B63566" w:rsidRPr="00B63566" w14:paraId="68FAEC4B" w14:textId="77777777" w:rsidTr="00B63566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0D469CD2" w14:textId="77777777" w:rsidR="00B63566" w:rsidRPr="00B63566" w:rsidRDefault="00B63566" w:rsidP="00B63566">
            <w:r w:rsidRPr="00B63566">
              <w:t>- Moteur de recommandation basé sur la localisation</w:t>
            </w:r>
          </w:p>
        </w:tc>
      </w:tr>
    </w:tbl>
    <w:p w14:paraId="2986D9E4" w14:textId="77777777" w:rsidR="00850287" w:rsidRPr="00850287" w:rsidRDefault="00850287" w:rsidP="00850287"/>
    <w:p w14:paraId="6B83DCCF" w14:textId="72898556" w:rsidR="00796BE8" w:rsidRDefault="00796BE8" w:rsidP="00796BE8">
      <w:pPr>
        <w:pStyle w:val="Titre3"/>
        <w:numPr>
          <w:ilvl w:val="1"/>
          <w:numId w:val="3"/>
        </w:numPr>
      </w:pPr>
      <w:bookmarkStart w:id="6" w:name="_Toc206615133"/>
      <w:r w:rsidRPr="00796BE8">
        <w:lastRenderedPageBreak/>
        <w:t xml:space="preserve">Objectif Business </w:t>
      </w:r>
      <w:r>
        <w:t>2</w:t>
      </w:r>
      <w:r w:rsidR="00D61CEC">
        <w:t xml:space="preserve"> : </w:t>
      </w:r>
      <w:r w:rsidR="00D61CEC" w:rsidRPr="00D61CEC">
        <w:t>Expérimentation rapide et évolutivité</w:t>
      </w:r>
      <w:bookmarkEnd w:id="6"/>
    </w:p>
    <w:p w14:paraId="392F84EE" w14:textId="36B02907" w:rsidR="00D61CEC" w:rsidRDefault="00A93519" w:rsidP="00D61CEC">
      <w:r w:rsidRPr="00A93519">
        <w:rPr>
          <w:b/>
          <w:bCs/>
        </w:rPr>
        <w:t>Description</w:t>
      </w:r>
      <w:r w:rsidRPr="00A93519">
        <w:t xml:space="preserve"> : L’organisation souhaite tester rapidement de nouvelles offres (abonnement, retrait en point relais, paniers thématiques…) sans impacter la plateforme globale.</w:t>
      </w:r>
    </w:p>
    <w:tbl>
      <w:tblPr>
        <w:tblW w:w="0" w:type="auto"/>
        <w:tblCellSpacing w:w="15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4"/>
      </w:tblGrid>
      <w:tr w:rsidR="00A93519" w:rsidRPr="00A93519" w14:paraId="7A049381" w14:textId="77777777" w:rsidTr="00A93519">
        <w:trPr>
          <w:tblHeader/>
          <w:tblCellSpacing w:w="15" w:type="dxa"/>
        </w:trPr>
        <w:tc>
          <w:tcPr>
            <w:tcW w:w="8584" w:type="dxa"/>
            <w:vAlign w:val="center"/>
            <w:hideMark/>
          </w:tcPr>
          <w:p w14:paraId="06295092" w14:textId="77777777" w:rsidR="00A93519" w:rsidRPr="00A93519" w:rsidRDefault="00A93519" w:rsidP="00A93519">
            <w:pPr>
              <w:rPr>
                <w:b/>
                <w:bCs/>
              </w:rPr>
            </w:pPr>
            <w:r w:rsidRPr="00A93519">
              <w:rPr>
                <w:b/>
                <w:bCs/>
              </w:rPr>
              <w:t>Architecture au service du business</w:t>
            </w:r>
          </w:p>
        </w:tc>
      </w:tr>
      <w:tr w:rsidR="00A93519" w:rsidRPr="00A93519" w14:paraId="1AFB4769" w14:textId="77777777" w:rsidTr="00A93519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1C9BAAFC" w14:textId="77777777" w:rsidR="00A93519" w:rsidRPr="00A93519" w:rsidRDefault="00A93519" w:rsidP="00A93519">
            <w:r w:rsidRPr="00A93519">
              <w:t xml:space="preserve">- Architecture </w:t>
            </w:r>
            <w:proofErr w:type="spellStart"/>
            <w:r w:rsidRPr="00A93519">
              <w:t>microservices</w:t>
            </w:r>
            <w:proofErr w:type="spellEnd"/>
            <w:r w:rsidRPr="00A93519">
              <w:t xml:space="preserve"> par domaine métier</w:t>
            </w:r>
          </w:p>
        </w:tc>
      </w:tr>
      <w:tr w:rsidR="00A93519" w:rsidRPr="00A93519" w14:paraId="5C772B97" w14:textId="77777777" w:rsidTr="00A93519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34EF5406" w14:textId="77777777" w:rsidR="00A93519" w:rsidRPr="00A93519" w:rsidRDefault="00A93519" w:rsidP="00A93519">
            <w:r w:rsidRPr="00A93519">
              <w:t xml:space="preserve">- </w:t>
            </w:r>
            <w:proofErr w:type="spellStart"/>
            <w:r w:rsidRPr="00A93519">
              <w:t>Feature</w:t>
            </w:r>
            <w:proofErr w:type="spellEnd"/>
            <w:r w:rsidRPr="00A93519">
              <w:t xml:space="preserve"> </w:t>
            </w:r>
            <w:proofErr w:type="spellStart"/>
            <w:r w:rsidRPr="00A93519">
              <w:t>toggles</w:t>
            </w:r>
            <w:proofErr w:type="spellEnd"/>
            <w:r w:rsidRPr="00A93519">
              <w:t xml:space="preserve"> / </w:t>
            </w:r>
            <w:proofErr w:type="spellStart"/>
            <w:r w:rsidRPr="00A93519">
              <w:t>dark</w:t>
            </w:r>
            <w:proofErr w:type="spellEnd"/>
            <w:r w:rsidRPr="00A93519">
              <w:t xml:space="preserve"> releases</w:t>
            </w:r>
          </w:p>
        </w:tc>
      </w:tr>
      <w:tr w:rsidR="00A93519" w:rsidRPr="00A93519" w14:paraId="67C0CD71" w14:textId="77777777" w:rsidTr="00A93519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62D02FA6" w14:textId="77777777" w:rsidR="00A93519" w:rsidRPr="00A93519" w:rsidRDefault="00A93519" w:rsidP="00A93519">
            <w:r w:rsidRPr="00A93519">
              <w:t>- Déploiements indépendants sans interruption</w:t>
            </w:r>
          </w:p>
        </w:tc>
      </w:tr>
    </w:tbl>
    <w:p w14:paraId="55B6C0E8" w14:textId="77777777" w:rsidR="00A93519" w:rsidRPr="00D61CEC" w:rsidRDefault="00A93519" w:rsidP="00D61CEC"/>
    <w:p w14:paraId="008C7C70" w14:textId="15A84FB4" w:rsidR="00AE4AB5" w:rsidRDefault="00725D32" w:rsidP="00AE4AB5">
      <w:pPr>
        <w:pStyle w:val="Titre3"/>
        <w:numPr>
          <w:ilvl w:val="1"/>
          <w:numId w:val="3"/>
        </w:numPr>
      </w:pPr>
      <w:bookmarkStart w:id="7" w:name="_Toc206615134"/>
      <w:r w:rsidRPr="00725D32">
        <w:t>Périmètre</w:t>
      </w:r>
      <w:bookmarkEnd w:id="7"/>
    </w:p>
    <w:p w14:paraId="51CC0139" w14:textId="77777777" w:rsidR="00471F4A" w:rsidRPr="00471F4A" w:rsidRDefault="00471F4A" w:rsidP="00471F4A">
      <w:r w:rsidRPr="00471F4A">
        <w:t>Ce contrat couvre les activités liées à :</w:t>
      </w:r>
    </w:p>
    <w:p w14:paraId="1A57BABB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la</w:t>
      </w:r>
      <w:proofErr w:type="gramEnd"/>
      <w:r w:rsidRPr="00471F4A">
        <w:t xml:space="preserve"> </w:t>
      </w:r>
      <w:r w:rsidRPr="00471F4A">
        <w:rPr>
          <w:b/>
          <w:bCs/>
        </w:rPr>
        <w:t>conception, la validation et l’adoption de l’architecture cible</w:t>
      </w:r>
      <w:r w:rsidRPr="00471F4A">
        <w:t xml:space="preserve"> pour la plateforme </w:t>
      </w:r>
      <w:proofErr w:type="spellStart"/>
      <w:r w:rsidRPr="00471F4A">
        <w:t>Foosus</w:t>
      </w:r>
      <w:proofErr w:type="spellEnd"/>
      <w:r w:rsidRPr="00471F4A">
        <w:t xml:space="preserve"> ;</w:t>
      </w:r>
    </w:p>
    <w:p w14:paraId="32A3554D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la</w:t>
      </w:r>
      <w:proofErr w:type="gramEnd"/>
      <w:r w:rsidRPr="00471F4A">
        <w:t xml:space="preserve"> </w:t>
      </w:r>
      <w:r w:rsidRPr="00471F4A">
        <w:rPr>
          <w:b/>
          <w:bCs/>
        </w:rPr>
        <w:t>phase de refonte initiale</w:t>
      </w:r>
      <w:r w:rsidRPr="00471F4A">
        <w:t xml:space="preserve"> (</w:t>
      </w:r>
      <w:proofErr w:type="spellStart"/>
      <w:r w:rsidRPr="00471F4A">
        <w:t>MVPs</w:t>
      </w:r>
      <w:proofErr w:type="spellEnd"/>
      <w:r w:rsidRPr="00471F4A">
        <w:t xml:space="preserve"> techniques et fonctionnels) ;</w:t>
      </w:r>
    </w:p>
    <w:p w14:paraId="3F0C3BBF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les</w:t>
      </w:r>
      <w:proofErr w:type="gramEnd"/>
      <w:r w:rsidRPr="00471F4A">
        <w:t xml:space="preserve"> </w:t>
      </w:r>
      <w:r w:rsidRPr="00471F4A">
        <w:rPr>
          <w:b/>
          <w:bCs/>
        </w:rPr>
        <w:t>premiers cas d’usage pilotes</w:t>
      </w:r>
      <w:r w:rsidRPr="00471F4A">
        <w:t xml:space="preserve"> liés aux objectifs business (localisation, panier multi-producteurs, etc.) ;</w:t>
      </w:r>
    </w:p>
    <w:p w14:paraId="535CE0E2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la</w:t>
      </w:r>
      <w:proofErr w:type="gramEnd"/>
      <w:r w:rsidRPr="00471F4A">
        <w:t xml:space="preserve"> </w:t>
      </w:r>
      <w:r w:rsidRPr="00471F4A">
        <w:rPr>
          <w:b/>
          <w:bCs/>
        </w:rPr>
        <w:t>documentation, gouvernance, conformité</w:t>
      </w:r>
      <w:r w:rsidRPr="00471F4A">
        <w:t xml:space="preserve"> et </w:t>
      </w:r>
      <w:r w:rsidRPr="00471F4A">
        <w:rPr>
          <w:b/>
          <w:bCs/>
        </w:rPr>
        <w:t xml:space="preserve">pilotage </w:t>
      </w:r>
      <w:proofErr w:type="gramStart"/>
      <w:r w:rsidRPr="00471F4A">
        <w:rPr>
          <w:b/>
          <w:bCs/>
        </w:rPr>
        <w:t>qualité</w:t>
      </w:r>
      <w:r w:rsidRPr="00471F4A">
        <w:t xml:space="preserve"> liés</w:t>
      </w:r>
      <w:proofErr w:type="gramEnd"/>
      <w:r w:rsidRPr="00471F4A">
        <w:t xml:space="preserve"> aux décisions d’architecture.</w:t>
      </w:r>
    </w:p>
    <w:p w14:paraId="4D42071B" w14:textId="2C91D00C" w:rsidR="00471F4A" w:rsidRPr="00471F4A" w:rsidRDefault="00471F4A" w:rsidP="00471F4A">
      <w:r w:rsidRPr="00471F4A">
        <w:rPr>
          <w:rFonts w:ascii="Segoe UI Emoji" w:hAnsi="Segoe UI Emoji" w:cs="Segoe UI Emoji"/>
        </w:rPr>
        <w:t>❗</w:t>
      </w:r>
      <w:r w:rsidRPr="00471F4A">
        <w:t xml:space="preserve"> Le </w:t>
      </w:r>
      <w:proofErr w:type="spellStart"/>
      <w:r w:rsidRPr="00471F4A">
        <w:rPr>
          <w:b/>
          <w:bCs/>
        </w:rPr>
        <w:t>legacy</w:t>
      </w:r>
      <w:proofErr w:type="spellEnd"/>
      <w:r w:rsidRPr="00471F4A">
        <w:rPr>
          <w:b/>
          <w:bCs/>
        </w:rPr>
        <w:t xml:space="preserve"> n’est pas concerné</w:t>
      </w:r>
      <w:r w:rsidRPr="00471F4A">
        <w:t xml:space="preserve"> par ce contrat, sauf pour les interfaces de transition nécessaires à l’adoption.</w:t>
      </w:r>
    </w:p>
    <w:p w14:paraId="61C6D6A7" w14:textId="664AD912" w:rsidR="00796BE8" w:rsidRDefault="008A7765" w:rsidP="00796BE8">
      <w:pPr>
        <w:pStyle w:val="Titre3"/>
        <w:numPr>
          <w:ilvl w:val="1"/>
          <w:numId w:val="3"/>
        </w:numPr>
      </w:pPr>
      <w:bookmarkStart w:id="8" w:name="_Toc206615135"/>
      <w:r w:rsidRPr="008A7765">
        <w:t>Parties prenantes, préoccupations et visions</w:t>
      </w:r>
      <w:bookmarkEnd w:id="8"/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4626"/>
        <w:gridCol w:w="4304"/>
      </w:tblGrid>
      <w:tr w:rsidR="00471F4A" w:rsidRPr="00471F4A" w14:paraId="458E3C57" w14:textId="77777777" w:rsidTr="00471F4A">
        <w:trPr>
          <w:tblHeader/>
          <w:tblCellSpacing w:w="15" w:type="dxa"/>
        </w:trPr>
        <w:tc>
          <w:tcPr>
            <w:tcW w:w="1941" w:type="dxa"/>
            <w:vAlign w:val="center"/>
            <w:hideMark/>
          </w:tcPr>
          <w:p w14:paraId="6473D93E" w14:textId="77777777" w:rsidR="00471F4A" w:rsidRPr="00471F4A" w:rsidRDefault="00471F4A" w:rsidP="00471F4A">
            <w:pPr>
              <w:rPr>
                <w:b/>
                <w:bCs/>
              </w:rPr>
            </w:pPr>
            <w:r w:rsidRPr="00471F4A">
              <w:rPr>
                <w:b/>
                <w:bCs/>
              </w:rPr>
              <w:t>Partie prenante</w:t>
            </w:r>
          </w:p>
        </w:tc>
        <w:tc>
          <w:tcPr>
            <w:tcW w:w="4596" w:type="dxa"/>
            <w:vAlign w:val="center"/>
            <w:hideMark/>
          </w:tcPr>
          <w:p w14:paraId="4B620C3E" w14:textId="77777777" w:rsidR="00471F4A" w:rsidRPr="00471F4A" w:rsidRDefault="00471F4A" w:rsidP="00471F4A">
            <w:pPr>
              <w:rPr>
                <w:b/>
                <w:bCs/>
              </w:rPr>
            </w:pPr>
            <w:r w:rsidRPr="00471F4A">
              <w:rPr>
                <w:b/>
                <w:bCs/>
              </w:rPr>
              <w:t>Préoccupations / Attentes</w:t>
            </w:r>
          </w:p>
        </w:tc>
        <w:tc>
          <w:tcPr>
            <w:tcW w:w="4259" w:type="dxa"/>
            <w:vAlign w:val="center"/>
            <w:hideMark/>
          </w:tcPr>
          <w:p w14:paraId="0B7C95DF" w14:textId="77777777" w:rsidR="00471F4A" w:rsidRPr="00471F4A" w:rsidRDefault="00471F4A" w:rsidP="00471F4A">
            <w:pPr>
              <w:rPr>
                <w:b/>
                <w:bCs/>
              </w:rPr>
            </w:pPr>
            <w:r w:rsidRPr="00471F4A">
              <w:rPr>
                <w:b/>
                <w:bCs/>
              </w:rPr>
              <w:t>Vision attendue de l’architecture</w:t>
            </w:r>
          </w:p>
        </w:tc>
      </w:tr>
      <w:tr w:rsidR="00471F4A" w:rsidRPr="00471F4A" w14:paraId="74C0F91E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7CADB583" w14:textId="77777777" w:rsidR="00471F4A" w:rsidRPr="00471F4A" w:rsidRDefault="00471F4A" w:rsidP="00471F4A">
            <w:r w:rsidRPr="00471F4A">
              <w:rPr>
                <w:b/>
                <w:bCs/>
              </w:rPr>
              <w:t>CPO</w:t>
            </w:r>
          </w:p>
        </w:tc>
        <w:tc>
          <w:tcPr>
            <w:tcW w:w="4596" w:type="dxa"/>
            <w:vAlign w:val="center"/>
            <w:hideMark/>
          </w:tcPr>
          <w:p w14:paraId="2F194F9D" w14:textId="77777777" w:rsidR="00471F4A" w:rsidRPr="00471F4A" w:rsidRDefault="00471F4A" w:rsidP="00471F4A">
            <w:r w:rsidRPr="00471F4A">
              <w:t>Time-to-</w:t>
            </w:r>
            <w:proofErr w:type="spellStart"/>
            <w:r w:rsidRPr="00471F4A">
              <w:t>market</w:t>
            </w:r>
            <w:proofErr w:type="spellEnd"/>
            <w:r w:rsidRPr="00471F4A">
              <w:t>, expérimentation rapide, priorisation produit</w:t>
            </w:r>
          </w:p>
        </w:tc>
        <w:tc>
          <w:tcPr>
            <w:tcW w:w="4259" w:type="dxa"/>
            <w:vAlign w:val="center"/>
            <w:hideMark/>
          </w:tcPr>
          <w:p w14:paraId="790FF899" w14:textId="77777777" w:rsidR="00471F4A" w:rsidRPr="00471F4A" w:rsidRDefault="00471F4A" w:rsidP="00471F4A">
            <w:r w:rsidRPr="00471F4A">
              <w:t>Architecture modulaire, découplée, déployable à chaud</w:t>
            </w:r>
          </w:p>
        </w:tc>
      </w:tr>
      <w:tr w:rsidR="00471F4A" w:rsidRPr="00471F4A" w14:paraId="258EC3E2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2A21F7B3" w14:textId="77777777" w:rsidR="00471F4A" w:rsidRPr="00471F4A" w:rsidRDefault="00471F4A" w:rsidP="00471F4A">
            <w:r w:rsidRPr="00471F4A">
              <w:rPr>
                <w:b/>
                <w:bCs/>
              </w:rPr>
              <w:t>PO</w:t>
            </w:r>
          </w:p>
        </w:tc>
        <w:tc>
          <w:tcPr>
            <w:tcW w:w="4596" w:type="dxa"/>
            <w:vAlign w:val="center"/>
            <w:hideMark/>
          </w:tcPr>
          <w:p w14:paraId="742854FB" w14:textId="77777777" w:rsidR="00471F4A" w:rsidRPr="00471F4A" w:rsidRDefault="00471F4A" w:rsidP="00471F4A">
            <w:r w:rsidRPr="00471F4A">
              <w:t xml:space="preserve">Respect des parcours utilisateurs, fiabilité des </w:t>
            </w:r>
            <w:proofErr w:type="spellStart"/>
            <w:r w:rsidRPr="00471F4A">
              <w:t>features</w:t>
            </w:r>
            <w:proofErr w:type="spellEnd"/>
          </w:p>
        </w:tc>
        <w:tc>
          <w:tcPr>
            <w:tcW w:w="4259" w:type="dxa"/>
            <w:vAlign w:val="center"/>
            <w:hideMark/>
          </w:tcPr>
          <w:p w14:paraId="4A5121E9" w14:textId="77777777" w:rsidR="00471F4A" w:rsidRPr="00471F4A" w:rsidRDefault="00471F4A" w:rsidP="00471F4A">
            <w:r w:rsidRPr="00471F4A">
              <w:t>Composants métiers réutilisables, testabilité</w:t>
            </w:r>
          </w:p>
        </w:tc>
      </w:tr>
      <w:tr w:rsidR="00471F4A" w:rsidRPr="00471F4A" w14:paraId="1B56F49D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70FD7F94" w14:textId="77777777" w:rsidR="00471F4A" w:rsidRPr="00471F4A" w:rsidRDefault="00471F4A" w:rsidP="00471F4A">
            <w:r w:rsidRPr="00471F4A">
              <w:rPr>
                <w:b/>
                <w:bCs/>
              </w:rPr>
              <w:t>Support</w:t>
            </w:r>
          </w:p>
        </w:tc>
        <w:tc>
          <w:tcPr>
            <w:tcW w:w="4596" w:type="dxa"/>
            <w:vAlign w:val="center"/>
            <w:hideMark/>
          </w:tcPr>
          <w:p w14:paraId="48143FBC" w14:textId="77777777" w:rsidR="00471F4A" w:rsidRPr="00471F4A" w:rsidRDefault="00471F4A" w:rsidP="00471F4A">
            <w:r w:rsidRPr="00471F4A">
              <w:t>Résolution des incidents, logs clairs, visibilité</w:t>
            </w:r>
          </w:p>
        </w:tc>
        <w:tc>
          <w:tcPr>
            <w:tcW w:w="4259" w:type="dxa"/>
            <w:vAlign w:val="center"/>
            <w:hideMark/>
          </w:tcPr>
          <w:p w14:paraId="4BDDE996" w14:textId="77777777" w:rsidR="00471F4A" w:rsidRPr="00471F4A" w:rsidRDefault="00471F4A" w:rsidP="00471F4A">
            <w:r w:rsidRPr="00471F4A">
              <w:t>Observabilité intégrée, traçabilité des erreurs</w:t>
            </w:r>
          </w:p>
        </w:tc>
      </w:tr>
      <w:tr w:rsidR="00471F4A" w:rsidRPr="00471F4A" w14:paraId="1C37CF97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71F2EBB2" w14:textId="77777777" w:rsidR="00471F4A" w:rsidRPr="00471F4A" w:rsidRDefault="00471F4A" w:rsidP="00471F4A">
            <w:r w:rsidRPr="00471F4A">
              <w:rPr>
                <w:b/>
                <w:bCs/>
              </w:rPr>
              <w:lastRenderedPageBreak/>
              <w:t>Sécurité / DPO</w:t>
            </w:r>
          </w:p>
        </w:tc>
        <w:tc>
          <w:tcPr>
            <w:tcW w:w="4596" w:type="dxa"/>
            <w:vAlign w:val="center"/>
            <w:hideMark/>
          </w:tcPr>
          <w:p w14:paraId="0F490281" w14:textId="77777777" w:rsidR="00471F4A" w:rsidRPr="00471F4A" w:rsidRDefault="00471F4A" w:rsidP="00471F4A">
            <w:r w:rsidRPr="00471F4A">
              <w:t>RGPD, logs, accès, anonymisation</w:t>
            </w:r>
          </w:p>
        </w:tc>
        <w:tc>
          <w:tcPr>
            <w:tcW w:w="4259" w:type="dxa"/>
            <w:vAlign w:val="center"/>
            <w:hideMark/>
          </w:tcPr>
          <w:p w14:paraId="7EF1C5A2" w14:textId="77777777" w:rsidR="00471F4A" w:rsidRPr="00471F4A" w:rsidRDefault="00471F4A" w:rsidP="00471F4A">
            <w:r w:rsidRPr="00471F4A">
              <w:t xml:space="preserve">Architecture </w:t>
            </w:r>
            <w:proofErr w:type="spellStart"/>
            <w:r w:rsidRPr="00471F4A">
              <w:t>privacy</w:t>
            </w:r>
            <w:proofErr w:type="spellEnd"/>
            <w:r w:rsidRPr="00471F4A">
              <w:t xml:space="preserve"> by design</w:t>
            </w:r>
          </w:p>
        </w:tc>
      </w:tr>
      <w:tr w:rsidR="00471F4A" w:rsidRPr="00471F4A" w14:paraId="1432E3D7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24239186" w14:textId="77777777" w:rsidR="00471F4A" w:rsidRPr="00471F4A" w:rsidRDefault="00471F4A" w:rsidP="00471F4A">
            <w:r w:rsidRPr="00471F4A">
              <w:rPr>
                <w:b/>
                <w:bCs/>
              </w:rPr>
              <w:t>Développeurs</w:t>
            </w:r>
          </w:p>
        </w:tc>
        <w:tc>
          <w:tcPr>
            <w:tcW w:w="4596" w:type="dxa"/>
            <w:vAlign w:val="center"/>
            <w:hideMark/>
          </w:tcPr>
          <w:p w14:paraId="039287F7" w14:textId="77777777" w:rsidR="00471F4A" w:rsidRPr="00471F4A" w:rsidRDefault="00471F4A" w:rsidP="00471F4A">
            <w:r w:rsidRPr="00471F4A">
              <w:t>Clarté des interfaces, documentation, liberté d’implémentation</w:t>
            </w:r>
          </w:p>
        </w:tc>
        <w:tc>
          <w:tcPr>
            <w:tcW w:w="4259" w:type="dxa"/>
            <w:vAlign w:val="center"/>
            <w:hideMark/>
          </w:tcPr>
          <w:p w14:paraId="2776D0BE" w14:textId="77777777" w:rsidR="00471F4A" w:rsidRPr="00471F4A" w:rsidRDefault="00471F4A" w:rsidP="00471F4A">
            <w:r w:rsidRPr="00471F4A">
              <w:t xml:space="preserve">Standards API, ADR, DevOps </w:t>
            </w:r>
            <w:proofErr w:type="spellStart"/>
            <w:r w:rsidRPr="00471F4A">
              <w:t>friendly</w:t>
            </w:r>
            <w:proofErr w:type="spellEnd"/>
          </w:p>
        </w:tc>
      </w:tr>
    </w:tbl>
    <w:p w14:paraId="6CA7A748" w14:textId="77777777" w:rsidR="00471F4A" w:rsidRPr="00471F4A" w:rsidRDefault="00471F4A" w:rsidP="00471F4A"/>
    <w:p w14:paraId="4F15FB1B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9" w:name="_Toc206615136"/>
      <w:r>
        <w:t>Conditions requises pour la conformité</w:t>
      </w:r>
      <w:bookmarkEnd w:id="9"/>
    </w:p>
    <w:p w14:paraId="4D7938FC" w14:textId="77777777" w:rsidR="000F145A" w:rsidRPr="000F145A" w:rsidRDefault="000F145A" w:rsidP="000F145A">
      <w:r w:rsidRPr="000F145A">
        <w:t xml:space="preserve">L’architecture cible doit respecter un ensemble de </w:t>
      </w:r>
      <w:r w:rsidRPr="000F145A">
        <w:rPr>
          <w:b/>
          <w:bCs/>
        </w:rPr>
        <w:t>contraintes de conformité et de standards</w:t>
      </w:r>
      <w:r w:rsidRPr="000F145A">
        <w:t>, imposés par :</w:t>
      </w:r>
    </w:p>
    <w:p w14:paraId="3E8C0D37" w14:textId="77777777" w:rsidR="000F145A" w:rsidRPr="000F145A" w:rsidRDefault="000F145A" w:rsidP="000F145A">
      <w:pPr>
        <w:numPr>
          <w:ilvl w:val="0"/>
          <w:numId w:val="11"/>
        </w:numPr>
      </w:pPr>
      <w:proofErr w:type="gramStart"/>
      <w:r w:rsidRPr="000F145A">
        <w:t>les</w:t>
      </w:r>
      <w:proofErr w:type="gramEnd"/>
      <w:r w:rsidRPr="000F145A">
        <w:t xml:space="preserve"> </w:t>
      </w:r>
      <w:r w:rsidRPr="000F145A">
        <w:rPr>
          <w:b/>
          <w:bCs/>
        </w:rPr>
        <w:t>réglementations en vigueur</w:t>
      </w:r>
      <w:r w:rsidRPr="000F145A">
        <w:t xml:space="preserve"> (notamment RGPD),</w:t>
      </w:r>
    </w:p>
    <w:p w14:paraId="1DE3BF83" w14:textId="77777777" w:rsidR="000F145A" w:rsidRPr="000F145A" w:rsidRDefault="000F145A" w:rsidP="000F145A">
      <w:pPr>
        <w:numPr>
          <w:ilvl w:val="0"/>
          <w:numId w:val="11"/>
        </w:numPr>
      </w:pPr>
      <w:proofErr w:type="gramStart"/>
      <w:r w:rsidRPr="000F145A">
        <w:t>les</w:t>
      </w:r>
      <w:proofErr w:type="gramEnd"/>
      <w:r w:rsidRPr="000F145A">
        <w:t xml:space="preserve"> </w:t>
      </w:r>
      <w:r w:rsidRPr="000F145A">
        <w:rPr>
          <w:b/>
          <w:bCs/>
        </w:rPr>
        <w:t>bonnes pratiques du secteur numérique</w:t>
      </w:r>
      <w:r w:rsidRPr="000F145A">
        <w:t>,</w:t>
      </w:r>
    </w:p>
    <w:p w14:paraId="4536D7D6" w14:textId="77777777" w:rsidR="000F145A" w:rsidRPr="000F145A" w:rsidRDefault="000F145A" w:rsidP="000F145A">
      <w:pPr>
        <w:numPr>
          <w:ilvl w:val="0"/>
          <w:numId w:val="11"/>
        </w:numPr>
      </w:pPr>
      <w:proofErr w:type="gramStart"/>
      <w:r w:rsidRPr="000F145A">
        <w:t>les</w:t>
      </w:r>
      <w:proofErr w:type="gramEnd"/>
      <w:r w:rsidRPr="000F145A">
        <w:t xml:space="preserve"> </w:t>
      </w:r>
      <w:r w:rsidRPr="000F145A">
        <w:rPr>
          <w:b/>
          <w:bCs/>
        </w:rPr>
        <w:t>normes internes de qualité, de sécurité, et de gouvernance</w:t>
      </w:r>
      <w:r w:rsidRPr="000F145A">
        <w:t xml:space="preserve"> de </w:t>
      </w:r>
      <w:proofErr w:type="spellStart"/>
      <w:r w:rsidRPr="000F145A">
        <w:t>Foosus</w:t>
      </w:r>
      <w:proofErr w:type="spellEnd"/>
      <w:r w:rsidRPr="000F145A">
        <w:t>.</w:t>
      </w:r>
    </w:p>
    <w:p w14:paraId="6402FF03" w14:textId="77777777" w:rsidR="000F145A" w:rsidRPr="000F145A" w:rsidRDefault="000F145A" w:rsidP="000F145A">
      <w:r w:rsidRPr="000F145A">
        <w:t xml:space="preserve">Ces conditions sont obligatoires pour garantir la </w:t>
      </w:r>
      <w:r w:rsidRPr="000F145A">
        <w:rPr>
          <w:b/>
          <w:bCs/>
        </w:rPr>
        <w:t>viabilité légale, technique et opérationnelle</w:t>
      </w:r>
      <w:r w:rsidRPr="000F145A">
        <w:t xml:space="preserve"> des solutions proposées.</w:t>
      </w:r>
    </w:p>
    <w:p w14:paraId="1D2E4848" w14:textId="4C839651" w:rsidR="000F145A" w:rsidRPr="00DF614F" w:rsidRDefault="00DF614F" w:rsidP="000F145A">
      <w:pPr>
        <w:rPr>
          <w:b/>
          <w:bCs/>
        </w:rPr>
      </w:pPr>
      <w:r w:rsidRPr="00DF614F">
        <w:rPr>
          <w:b/>
          <w:bCs/>
        </w:rPr>
        <w:t>Conformité réglementaire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2466"/>
        <w:gridCol w:w="5047"/>
      </w:tblGrid>
      <w:tr w:rsidR="00DF614F" w:rsidRPr="00DF614F" w14:paraId="32FDE328" w14:textId="77777777" w:rsidTr="00DF614F">
        <w:trPr>
          <w:tblHeader/>
          <w:tblCellSpacing w:w="15" w:type="dxa"/>
        </w:trPr>
        <w:tc>
          <w:tcPr>
            <w:tcW w:w="3358" w:type="dxa"/>
            <w:vAlign w:val="center"/>
            <w:hideMark/>
          </w:tcPr>
          <w:p w14:paraId="73080404" w14:textId="77777777" w:rsidR="00DF614F" w:rsidRPr="00DF614F" w:rsidRDefault="00DF614F" w:rsidP="00DF614F">
            <w:pPr>
              <w:jc w:val="center"/>
              <w:rPr>
                <w:b/>
                <w:bCs/>
              </w:rPr>
            </w:pPr>
            <w:r w:rsidRPr="00DF614F">
              <w:rPr>
                <w:b/>
                <w:bCs/>
              </w:rPr>
              <w:t>Exigence</w:t>
            </w:r>
          </w:p>
        </w:tc>
        <w:tc>
          <w:tcPr>
            <w:tcW w:w="2436" w:type="dxa"/>
            <w:vAlign w:val="center"/>
            <w:hideMark/>
          </w:tcPr>
          <w:p w14:paraId="158F14DA" w14:textId="77777777" w:rsidR="00DF614F" w:rsidRPr="00DF614F" w:rsidRDefault="00DF614F" w:rsidP="00DF614F">
            <w:pPr>
              <w:jc w:val="center"/>
              <w:rPr>
                <w:b/>
                <w:bCs/>
              </w:rPr>
            </w:pPr>
            <w:r w:rsidRPr="00DF614F">
              <w:rPr>
                <w:b/>
                <w:bCs/>
              </w:rPr>
              <w:t>Référence</w:t>
            </w:r>
          </w:p>
        </w:tc>
        <w:tc>
          <w:tcPr>
            <w:tcW w:w="5002" w:type="dxa"/>
            <w:vAlign w:val="center"/>
            <w:hideMark/>
          </w:tcPr>
          <w:p w14:paraId="2D1FAB5D" w14:textId="77777777" w:rsidR="00DF614F" w:rsidRPr="00DF614F" w:rsidRDefault="00DF614F" w:rsidP="00DF614F">
            <w:pPr>
              <w:jc w:val="center"/>
              <w:rPr>
                <w:b/>
                <w:bCs/>
              </w:rPr>
            </w:pPr>
            <w:r w:rsidRPr="00DF614F">
              <w:rPr>
                <w:b/>
                <w:bCs/>
              </w:rPr>
              <w:t>Implication sur l’architecture</w:t>
            </w:r>
          </w:p>
        </w:tc>
      </w:tr>
      <w:tr w:rsidR="00DF614F" w:rsidRPr="00DF614F" w14:paraId="6A5A2F62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51003D3D" w14:textId="77777777" w:rsidR="00DF614F" w:rsidRPr="00DF614F" w:rsidRDefault="00DF614F" w:rsidP="00DF614F">
            <w:r w:rsidRPr="00DF614F">
              <w:rPr>
                <w:b/>
                <w:bCs/>
              </w:rPr>
              <w:t>Protection des données personnelles</w:t>
            </w:r>
          </w:p>
        </w:tc>
        <w:tc>
          <w:tcPr>
            <w:tcW w:w="2436" w:type="dxa"/>
            <w:vAlign w:val="center"/>
            <w:hideMark/>
          </w:tcPr>
          <w:p w14:paraId="113A207C" w14:textId="77777777" w:rsidR="00DF614F" w:rsidRPr="00DF614F" w:rsidRDefault="00DF614F" w:rsidP="00DF614F">
            <w:r w:rsidRPr="00DF614F">
              <w:t>RGPD articles 5, 12 à 23</w:t>
            </w:r>
          </w:p>
        </w:tc>
        <w:tc>
          <w:tcPr>
            <w:tcW w:w="5002" w:type="dxa"/>
            <w:vAlign w:val="center"/>
            <w:hideMark/>
          </w:tcPr>
          <w:p w14:paraId="7DFCE7EB" w14:textId="77777777" w:rsidR="00DF614F" w:rsidRPr="00DF614F" w:rsidRDefault="00DF614F" w:rsidP="00DF614F">
            <w:r w:rsidRPr="00DF614F">
              <w:t xml:space="preserve">Anonymisation, droit à l’oubli, </w:t>
            </w:r>
            <w:proofErr w:type="spellStart"/>
            <w:r w:rsidRPr="00DF614F">
              <w:t>exportabilité</w:t>
            </w:r>
            <w:proofErr w:type="spellEnd"/>
            <w:r w:rsidRPr="00DF614F">
              <w:t xml:space="preserve"> des données</w:t>
            </w:r>
          </w:p>
        </w:tc>
      </w:tr>
      <w:tr w:rsidR="00DF614F" w:rsidRPr="00DF614F" w14:paraId="0FBC2A37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20D8BD1D" w14:textId="77777777" w:rsidR="00DF614F" w:rsidRPr="00DF614F" w:rsidRDefault="00DF614F" w:rsidP="00DF614F">
            <w:r w:rsidRPr="00DF614F">
              <w:rPr>
                <w:b/>
                <w:bCs/>
              </w:rPr>
              <w:t>Gestion des consentements</w:t>
            </w:r>
          </w:p>
        </w:tc>
        <w:tc>
          <w:tcPr>
            <w:tcW w:w="2436" w:type="dxa"/>
            <w:vAlign w:val="center"/>
            <w:hideMark/>
          </w:tcPr>
          <w:p w14:paraId="35DBB456" w14:textId="77777777" w:rsidR="00DF614F" w:rsidRPr="00DF614F" w:rsidRDefault="00DF614F" w:rsidP="00DF614F">
            <w:r w:rsidRPr="00DF614F">
              <w:t>RGPD articles 6 et 7</w:t>
            </w:r>
          </w:p>
        </w:tc>
        <w:tc>
          <w:tcPr>
            <w:tcW w:w="5002" w:type="dxa"/>
            <w:vAlign w:val="center"/>
            <w:hideMark/>
          </w:tcPr>
          <w:p w14:paraId="48A226ED" w14:textId="77777777" w:rsidR="00DF614F" w:rsidRPr="00DF614F" w:rsidRDefault="00DF614F" w:rsidP="00DF614F">
            <w:r w:rsidRPr="00DF614F">
              <w:t>Stockage des consentements, interface utilisateur explicite</w:t>
            </w:r>
          </w:p>
        </w:tc>
      </w:tr>
      <w:tr w:rsidR="00DF614F" w:rsidRPr="00DF614F" w14:paraId="0C2E6427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40AC4AD6" w14:textId="77777777" w:rsidR="00DF614F" w:rsidRPr="00DF614F" w:rsidRDefault="00DF614F" w:rsidP="00DF614F">
            <w:r w:rsidRPr="00DF614F">
              <w:rPr>
                <w:b/>
                <w:bCs/>
              </w:rPr>
              <w:t>Traçabilité et audit</w:t>
            </w:r>
          </w:p>
        </w:tc>
        <w:tc>
          <w:tcPr>
            <w:tcW w:w="2436" w:type="dxa"/>
            <w:vAlign w:val="center"/>
            <w:hideMark/>
          </w:tcPr>
          <w:p w14:paraId="2CBFB8D4" w14:textId="77777777" w:rsidR="00DF614F" w:rsidRPr="00DF614F" w:rsidRDefault="00DF614F" w:rsidP="00DF614F">
            <w:r w:rsidRPr="00DF614F">
              <w:t>CNIL / RGPD</w:t>
            </w:r>
          </w:p>
        </w:tc>
        <w:tc>
          <w:tcPr>
            <w:tcW w:w="5002" w:type="dxa"/>
            <w:vAlign w:val="center"/>
            <w:hideMark/>
          </w:tcPr>
          <w:p w14:paraId="522262A0" w14:textId="77777777" w:rsidR="00DF614F" w:rsidRPr="00DF614F" w:rsidRDefault="00DF614F" w:rsidP="00DF614F">
            <w:r w:rsidRPr="00DF614F">
              <w:t>Historisation des accès, journalisation horodatée</w:t>
            </w:r>
          </w:p>
        </w:tc>
      </w:tr>
      <w:tr w:rsidR="00DF614F" w:rsidRPr="00DF614F" w14:paraId="3E9200C1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6AC4DF57" w14:textId="77777777" w:rsidR="00DF614F" w:rsidRPr="00DF614F" w:rsidRDefault="00DF614F" w:rsidP="00DF614F">
            <w:r w:rsidRPr="00DF614F">
              <w:rPr>
                <w:b/>
                <w:bCs/>
              </w:rPr>
              <w:t>Stockage des données</w:t>
            </w:r>
          </w:p>
        </w:tc>
        <w:tc>
          <w:tcPr>
            <w:tcW w:w="2436" w:type="dxa"/>
            <w:vAlign w:val="center"/>
            <w:hideMark/>
          </w:tcPr>
          <w:p w14:paraId="1DB90F22" w14:textId="77777777" w:rsidR="00DF614F" w:rsidRPr="00DF614F" w:rsidRDefault="00DF614F" w:rsidP="00DF614F">
            <w:r w:rsidRPr="00DF614F">
              <w:t>Hébergement en UE requis</w:t>
            </w:r>
          </w:p>
        </w:tc>
        <w:tc>
          <w:tcPr>
            <w:tcW w:w="5002" w:type="dxa"/>
            <w:vAlign w:val="center"/>
            <w:hideMark/>
          </w:tcPr>
          <w:p w14:paraId="5F864F03" w14:textId="77777777" w:rsidR="00DF614F" w:rsidRPr="00DF614F" w:rsidRDefault="00DF614F" w:rsidP="00DF614F">
            <w:r w:rsidRPr="00DF614F">
              <w:t>Utilisation de services cloud conformes (</w:t>
            </w:r>
            <w:proofErr w:type="spellStart"/>
            <w:r w:rsidRPr="00DF614F">
              <w:t>SecNumCloud</w:t>
            </w:r>
            <w:proofErr w:type="spellEnd"/>
            <w:r w:rsidRPr="00DF614F">
              <w:t xml:space="preserve"> ou équivalent)</w:t>
            </w:r>
          </w:p>
        </w:tc>
      </w:tr>
    </w:tbl>
    <w:p w14:paraId="4EA79044" w14:textId="77777777" w:rsidR="00DF614F" w:rsidRDefault="00DF614F" w:rsidP="000F145A"/>
    <w:p w14:paraId="273D4F22" w14:textId="3A0C0647" w:rsidR="00494170" w:rsidRPr="00494170" w:rsidRDefault="00494170" w:rsidP="000F145A">
      <w:pPr>
        <w:rPr>
          <w:b/>
          <w:bCs/>
        </w:rPr>
      </w:pPr>
      <w:r w:rsidRPr="00494170">
        <w:rPr>
          <w:b/>
          <w:bCs/>
        </w:rPr>
        <w:t>Sécurité applicative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685"/>
        <w:gridCol w:w="4820"/>
      </w:tblGrid>
      <w:tr w:rsidR="00494170" w:rsidRPr="00494170" w14:paraId="79F686C5" w14:textId="77777777" w:rsidTr="00494170">
        <w:trPr>
          <w:tblHeader/>
          <w:tblCellSpacing w:w="15" w:type="dxa"/>
        </w:trPr>
        <w:tc>
          <w:tcPr>
            <w:tcW w:w="2366" w:type="dxa"/>
            <w:vAlign w:val="center"/>
            <w:hideMark/>
          </w:tcPr>
          <w:p w14:paraId="56120AFC" w14:textId="77777777" w:rsidR="00494170" w:rsidRPr="00494170" w:rsidRDefault="00494170" w:rsidP="00494170">
            <w:pPr>
              <w:jc w:val="center"/>
              <w:rPr>
                <w:b/>
                <w:bCs/>
              </w:rPr>
            </w:pPr>
            <w:r w:rsidRPr="00494170">
              <w:rPr>
                <w:b/>
                <w:bCs/>
              </w:rPr>
              <w:lastRenderedPageBreak/>
              <w:t>Standard</w:t>
            </w:r>
          </w:p>
        </w:tc>
        <w:tc>
          <w:tcPr>
            <w:tcW w:w="3655" w:type="dxa"/>
            <w:vAlign w:val="center"/>
            <w:hideMark/>
          </w:tcPr>
          <w:p w14:paraId="0D3C5951" w14:textId="77777777" w:rsidR="00494170" w:rsidRPr="00494170" w:rsidRDefault="00494170" w:rsidP="00494170">
            <w:pPr>
              <w:jc w:val="center"/>
              <w:rPr>
                <w:b/>
                <w:bCs/>
              </w:rPr>
            </w:pPr>
            <w:r w:rsidRPr="00494170">
              <w:rPr>
                <w:b/>
                <w:bCs/>
              </w:rPr>
              <w:t>Référence</w:t>
            </w:r>
          </w:p>
        </w:tc>
        <w:tc>
          <w:tcPr>
            <w:tcW w:w="4775" w:type="dxa"/>
            <w:vAlign w:val="center"/>
            <w:hideMark/>
          </w:tcPr>
          <w:p w14:paraId="5F3B1DE3" w14:textId="77777777" w:rsidR="00494170" w:rsidRPr="00494170" w:rsidRDefault="00494170" w:rsidP="00494170">
            <w:pPr>
              <w:jc w:val="center"/>
              <w:rPr>
                <w:b/>
                <w:bCs/>
              </w:rPr>
            </w:pPr>
            <w:r w:rsidRPr="00494170">
              <w:rPr>
                <w:b/>
                <w:bCs/>
              </w:rPr>
              <w:t xml:space="preserve">Application à </w:t>
            </w:r>
            <w:proofErr w:type="spellStart"/>
            <w:r w:rsidRPr="00494170">
              <w:rPr>
                <w:b/>
                <w:bCs/>
              </w:rPr>
              <w:t>Foosus</w:t>
            </w:r>
            <w:proofErr w:type="spellEnd"/>
          </w:p>
        </w:tc>
      </w:tr>
      <w:tr w:rsidR="00494170" w:rsidRPr="00494170" w14:paraId="733D3DA3" w14:textId="77777777" w:rsidTr="0049417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019D36B2" w14:textId="77777777" w:rsidR="00494170" w:rsidRPr="00494170" w:rsidRDefault="00494170" w:rsidP="00494170">
            <w:r w:rsidRPr="00494170">
              <w:rPr>
                <w:b/>
                <w:bCs/>
              </w:rPr>
              <w:t>OWASP Top 10</w:t>
            </w:r>
          </w:p>
        </w:tc>
        <w:tc>
          <w:tcPr>
            <w:tcW w:w="3655" w:type="dxa"/>
            <w:vAlign w:val="center"/>
            <w:hideMark/>
          </w:tcPr>
          <w:p w14:paraId="0747F959" w14:textId="77777777" w:rsidR="00494170" w:rsidRPr="00494170" w:rsidRDefault="00494170" w:rsidP="00494170">
            <w:r w:rsidRPr="00494170">
              <w:t xml:space="preserve">OWASP </w:t>
            </w:r>
            <w:proofErr w:type="spellStart"/>
            <w:r w:rsidRPr="00494170">
              <w:t>Foundation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14:paraId="6F358507" w14:textId="77777777" w:rsidR="00494170" w:rsidRPr="00494170" w:rsidRDefault="00494170" w:rsidP="00494170">
            <w:r w:rsidRPr="00494170">
              <w:t>Contrôles d’entrée, gestion des sessions, XSS, CSRF</w:t>
            </w:r>
          </w:p>
        </w:tc>
      </w:tr>
      <w:tr w:rsidR="00494170" w:rsidRPr="00494170" w14:paraId="00861537" w14:textId="77777777" w:rsidTr="0049417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0F728197" w14:textId="77777777" w:rsidR="00494170" w:rsidRPr="00494170" w:rsidRDefault="00494170" w:rsidP="00494170">
            <w:r w:rsidRPr="00494170">
              <w:rPr>
                <w:b/>
                <w:bCs/>
              </w:rPr>
              <w:t>Sécurité des accès</w:t>
            </w:r>
          </w:p>
        </w:tc>
        <w:tc>
          <w:tcPr>
            <w:tcW w:w="3655" w:type="dxa"/>
            <w:vAlign w:val="center"/>
            <w:hideMark/>
          </w:tcPr>
          <w:p w14:paraId="36E23C92" w14:textId="77777777" w:rsidR="00494170" w:rsidRPr="00494170" w:rsidRDefault="00494170" w:rsidP="00494170">
            <w:r w:rsidRPr="00494170">
              <w:t>RBAC / OAuth2 / SSO</w:t>
            </w:r>
          </w:p>
        </w:tc>
        <w:tc>
          <w:tcPr>
            <w:tcW w:w="4775" w:type="dxa"/>
            <w:vAlign w:val="center"/>
            <w:hideMark/>
          </w:tcPr>
          <w:p w14:paraId="203A8827" w14:textId="77777777" w:rsidR="00494170" w:rsidRPr="00494170" w:rsidRDefault="00494170" w:rsidP="00494170">
            <w:r w:rsidRPr="00494170">
              <w:t>Authentification forte, séparation des rôles</w:t>
            </w:r>
          </w:p>
        </w:tc>
      </w:tr>
      <w:tr w:rsidR="00494170" w:rsidRPr="00494170" w14:paraId="4D09BCDD" w14:textId="77777777" w:rsidTr="0049417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32E898AD" w14:textId="77777777" w:rsidR="00494170" w:rsidRPr="00494170" w:rsidRDefault="00494170" w:rsidP="00494170">
            <w:r w:rsidRPr="00494170">
              <w:rPr>
                <w:b/>
                <w:bCs/>
              </w:rPr>
              <w:t>Chiffrement</w:t>
            </w:r>
          </w:p>
        </w:tc>
        <w:tc>
          <w:tcPr>
            <w:tcW w:w="3655" w:type="dxa"/>
            <w:vAlign w:val="center"/>
            <w:hideMark/>
          </w:tcPr>
          <w:p w14:paraId="2035F972" w14:textId="77777777" w:rsidR="00494170" w:rsidRPr="00494170" w:rsidRDefault="00494170" w:rsidP="00494170">
            <w:r w:rsidRPr="00494170">
              <w:t>TLS 1.3, chiffrement des données sensibles en base</w:t>
            </w:r>
          </w:p>
        </w:tc>
        <w:tc>
          <w:tcPr>
            <w:tcW w:w="4775" w:type="dxa"/>
            <w:vAlign w:val="center"/>
            <w:hideMark/>
          </w:tcPr>
          <w:p w14:paraId="51AF4C2A" w14:textId="77777777" w:rsidR="00494170" w:rsidRPr="00494170" w:rsidRDefault="00494170" w:rsidP="00494170">
            <w:r w:rsidRPr="00494170">
              <w:t>Implémentation obligatoire sur toutes les interfaces critiques</w:t>
            </w:r>
          </w:p>
        </w:tc>
      </w:tr>
    </w:tbl>
    <w:p w14:paraId="5E36CAB8" w14:textId="77777777" w:rsidR="00494170" w:rsidRDefault="00494170" w:rsidP="000F145A"/>
    <w:p w14:paraId="259ECE02" w14:textId="68346B73" w:rsidR="009918D0" w:rsidRPr="009918D0" w:rsidRDefault="009918D0" w:rsidP="000F145A">
      <w:pPr>
        <w:rPr>
          <w:b/>
          <w:bCs/>
        </w:rPr>
      </w:pPr>
      <w:r w:rsidRPr="009918D0">
        <w:rPr>
          <w:b/>
          <w:bCs/>
        </w:rPr>
        <w:t>Conformité technique et documentaire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2701"/>
        <w:gridCol w:w="4670"/>
      </w:tblGrid>
      <w:tr w:rsidR="009918D0" w:rsidRPr="009918D0" w14:paraId="64D13065" w14:textId="77777777" w:rsidTr="009918D0">
        <w:trPr>
          <w:tblHeader/>
          <w:tblCellSpacing w:w="15" w:type="dxa"/>
        </w:trPr>
        <w:tc>
          <w:tcPr>
            <w:tcW w:w="3500" w:type="dxa"/>
            <w:vAlign w:val="center"/>
            <w:hideMark/>
          </w:tcPr>
          <w:p w14:paraId="2D682157" w14:textId="77777777" w:rsidR="009918D0" w:rsidRPr="009918D0" w:rsidRDefault="009918D0" w:rsidP="009918D0">
            <w:pPr>
              <w:jc w:val="center"/>
              <w:rPr>
                <w:b/>
                <w:bCs/>
              </w:rPr>
            </w:pPr>
            <w:r w:rsidRPr="009918D0">
              <w:rPr>
                <w:b/>
                <w:bCs/>
              </w:rPr>
              <w:t>Exigence</w:t>
            </w:r>
          </w:p>
        </w:tc>
        <w:tc>
          <w:tcPr>
            <w:tcW w:w="2671" w:type="dxa"/>
            <w:vAlign w:val="center"/>
            <w:hideMark/>
          </w:tcPr>
          <w:p w14:paraId="0ED3DC54" w14:textId="77777777" w:rsidR="009918D0" w:rsidRPr="009918D0" w:rsidRDefault="009918D0" w:rsidP="009918D0">
            <w:pPr>
              <w:jc w:val="center"/>
              <w:rPr>
                <w:b/>
                <w:bCs/>
              </w:rPr>
            </w:pPr>
            <w:r w:rsidRPr="009918D0">
              <w:rPr>
                <w:b/>
                <w:bCs/>
              </w:rPr>
              <w:t>Standard / Source</w:t>
            </w:r>
          </w:p>
        </w:tc>
        <w:tc>
          <w:tcPr>
            <w:tcW w:w="4625" w:type="dxa"/>
            <w:vAlign w:val="center"/>
            <w:hideMark/>
          </w:tcPr>
          <w:p w14:paraId="70B82E32" w14:textId="77777777" w:rsidR="009918D0" w:rsidRPr="009918D0" w:rsidRDefault="009918D0" w:rsidP="009918D0">
            <w:pPr>
              <w:jc w:val="center"/>
              <w:rPr>
                <w:b/>
                <w:bCs/>
              </w:rPr>
            </w:pPr>
            <w:r w:rsidRPr="009918D0">
              <w:rPr>
                <w:b/>
                <w:bCs/>
              </w:rPr>
              <w:t>Impact</w:t>
            </w:r>
          </w:p>
        </w:tc>
      </w:tr>
      <w:tr w:rsidR="009918D0" w:rsidRPr="009918D0" w14:paraId="4D3DEB4A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483A72D3" w14:textId="77777777" w:rsidR="009918D0" w:rsidRPr="009918D0" w:rsidRDefault="009918D0" w:rsidP="009918D0">
            <w:r w:rsidRPr="009918D0">
              <w:rPr>
                <w:b/>
                <w:bCs/>
              </w:rPr>
              <w:t>Documentation des APIs</w:t>
            </w:r>
          </w:p>
        </w:tc>
        <w:tc>
          <w:tcPr>
            <w:tcW w:w="2671" w:type="dxa"/>
            <w:vAlign w:val="center"/>
            <w:hideMark/>
          </w:tcPr>
          <w:p w14:paraId="0553E438" w14:textId="77777777" w:rsidR="009918D0" w:rsidRPr="009918D0" w:rsidRDefault="009918D0" w:rsidP="009918D0">
            <w:proofErr w:type="spellStart"/>
            <w:r w:rsidRPr="009918D0">
              <w:t>OpenAPI</w:t>
            </w:r>
            <w:proofErr w:type="spellEnd"/>
            <w:r w:rsidRPr="009918D0">
              <w:t xml:space="preserve"> 3.x</w:t>
            </w:r>
          </w:p>
        </w:tc>
        <w:tc>
          <w:tcPr>
            <w:tcW w:w="4625" w:type="dxa"/>
            <w:vAlign w:val="center"/>
            <w:hideMark/>
          </w:tcPr>
          <w:p w14:paraId="7E66EA78" w14:textId="77777777" w:rsidR="009918D0" w:rsidRPr="009918D0" w:rsidRDefault="009918D0" w:rsidP="009918D0">
            <w:r w:rsidRPr="009918D0">
              <w:t>Génération automatisée + validation CI/CD</w:t>
            </w:r>
          </w:p>
        </w:tc>
      </w:tr>
      <w:tr w:rsidR="009918D0" w:rsidRPr="009918D0" w14:paraId="7B5DCA19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5B784CB9" w14:textId="77777777" w:rsidR="009918D0" w:rsidRPr="009918D0" w:rsidRDefault="009918D0" w:rsidP="009918D0">
            <w:r w:rsidRPr="009918D0">
              <w:rPr>
                <w:b/>
                <w:bCs/>
              </w:rPr>
              <w:t>Standardisation des décisions</w:t>
            </w:r>
          </w:p>
        </w:tc>
        <w:tc>
          <w:tcPr>
            <w:tcW w:w="2671" w:type="dxa"/>
            <w:vAlign w:val="center"/>
            <w:hideMark/>
          </w:tcPr>
          <w:p w14:paraId="3124430E" w14:textId="77777777" w:rsidR="009918D0" w:rsidRPr="009918D0" w:rsidRDefault="009918D0" w:rsidP="009918D0">
            <w:r w:rsidRPr="009918D0">
              <w:t xml:space="preserve">ADR (Architecture </w:t>
            </w:r>
            <w:proofErr w:type="spellStart"/>
            <w:r w:rsidRPr="009918D0">
              <w:t>Decision</w:t>
            </w:r>
            <w:proofErr w:type="spellEnd"/>
            <w:r w:rsidRPr="009918D0">
              <w:t xml:space="preserve"> Record)</w:t>
            </w:r>
          </w:p>
        </w:tc>
        <w:tc>
          <w:tcPr>
            <w:tcW w:w="4625" w:type="dxa"/>
            <w:vAlign w:val="center"/>
            <w:hideMark/>
          </w:tcPr>
          <w:p w14:paraId="572D2E80" w14:textId="77777777" w:rsidR="009918D0" w:rsidRPr="009918D0" w:rsidRDefault="009918D0" w:rsidP="009918D0">
            <w:r w:rsidRPr="009918D0">
              <w:t>Chaque décision structurante documentée et versionnée</w:t>
            </w:r>
          </w:p>
        </w:tc>
      </w:tr>
      <w:tr w:rsidR="009918D0" w:rsidRPr="009918D0" w14:paraId="2CBC338D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581F2CF9" w14:textId="77777777" w:rsidR="009918D0" w:rsidRPr="009918D0" w:rsidRDefault="009918D0" w:rsidP="009918D0">
            <w:r w:rsidRPr="009918D0">
              <w:rPr>
                <w:b/>
                <w:bCs/>
              </w:rPr>
              <w:t>Gestion des erreurs et logs</w:t>
            </w:r>
          </w:p>
        </w:tc>
        <w:tc>
          <w:tcPr>
            <w:tcW w:w="2671" w:type="dxa"/>
            <w:vAlign w:val="center"/>
            <w:hideMark/>
          </w:tcPr>
          <w:p w14:paraId="3F0D2B18" w14:textId="77777777" w:rsidR="009918D0" w:rsidRPr="009918D0" w:rsidRDefault="009918D0" w:rsidP="009918D0">
            <w:r w:rsidRPr="009918D0">
              <w:t>Stack ELK, observabilité centralisée</w:t>
            </w:r>
          </w:p>
        </w:tc>
        <w:tc>
          <w:tcPr>
            <w:tcW w:w="4625" w:type="dxa"/>
            <w:vAlign w:val="center"/>
            <w:hideMark/>
          </w:tcPr>
          <w:p w14:paraId="773AFB00" w14:textId="77777777" w:rsidR="009918D0" w:rsidRPr="009918D0" w:rsidRDefault="009918D0" w:rsidP="009918D0">
            <w:r w:rsidRPr="009918D0">
              <w:t>Logs structurés, consultables, filtrables en temps réel</w:t>
            </w:r>
          </w:p>
        </w:tc>
      </w:tr>
      <w:tr w:rsidR="009918D0" w:rsidRPr="009918D0" w14:paraId="4131DFC1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4B126823" w14:textId="77777777" w:rsidR="009918D0" w:rsidRPr="009918D0" w:rsidRDefault="009918D0" w:rsidP="009918D0">
            <w:r w:rsidRPr="009918D0">
              <w:rPr>
                <w:b/>
                <w:bCs/>
              </w:rPr>
              <w:t xml:space="preserve">Monitoring et </w:t>
            </w:r>
            <w:proofErr w:type="spellStart"/>
            <w:r w:rsidRPr="009918D0">
              <w:rPr>
                <w:b/>
                <w:bCs/>
              </w:rPr>
              <w:t>alerting</w:t>
            </w:r>
            <w:proofErr w:type="spellEnd"/>
          </w:p>
        </w:tc>
        <w:tc>
          <w:tcPr>
            <w:tcW w:w="2671" w:type="dxa"/>
            <w:vAlign w:val="center"/>
            <w:hideMark/>
          </w:tcPr>
          <w:p w14:paraId="1C31DE3C" w14:textId="77777777" w:rsidR="009918D0" w:rsidRPr="009918D0" w:rsidRDefault="009918D0" w:rsidP="009918D0">
            <w:proofErr w:type="spellStart"/>
            <w:r w:rsidRPr="009918D0">
              <w:t>Grafana</w:t>
            </w:r>
            <w:proofErr w:type="spellEnd"/>
            <w:r w:rsidRPr="009918D0">
              <w:t xml:space="preserve"> / </w:t>
            </w:r>
            <w:proofErr w:type="spellStart"/>
            <w:r w:rsidRPr="009918D0">
              <w:t>Prometheus</w:t>
            </w:r>
            <w:proofErr w:type="spellEnd"/>
            <w:r w:rsidRPr="009918D0">
              <w:t xml:space="preserve"> ou équivalent</w:t>
            </w:r>
          </w:p>
        </w:tc>
        <w:tc>
          <w:tcPr>
            <w:tcW w:w="4625" w:type="dxa"/>
            <w:vAlign w:val="center"/>
            <w:hideMark/>
          </w:tcPr>
          <w:p w14:paraId="40275D44" w14:textId="77777777" w:rsidR="009918D0" w:rsidRPr="009918D0" w:rsidRDefault="009918D0" w:rsidP="009918D0">
            <w:r w:rsidRPr="009918D0">
              <w:t xml:space="preserve">Mise en place de </w:t>
            </w:r>
            <w:proofErr w:type="spellStart"/>
            <w:r w:rsidRPr="009918D0">
              <w:t>SLOs</w:t>
            </w:r>
            <w:proofErr w:type="spellEnd"/>
            <w:r w:rsidRPr="009918D0">
              <w:t xml:space="preserve"> / </w:t>
            </w:r>
            <w:proofErr w:type="spellStart"/>
            <w:r w:rsidRPr="009918D0">
              <w:t>SLIs</w:t>
            </w:r>
            <w:proofErr w:type="spellEnd"/>
            <w:r w:rsidRPr="009918D0">
              <w:t xml:space="preserve"> dès la phase MVP</w:t>
            </w:r>
          </w:p>
        </w:tc>
      </w:tr>
    </w:tbl>
    <w:p w14:paraId="4964D462" w14:textId="77777777" w:rsidR="009918D0" w:rsidRDefault="009918D0" w:rsidP="000F145A"/>
    <w:p w14:paraId="612869B4" w14:textId="28A635BD" w:rsidR="00EF6C89" w:rsidRPr="00EF6C89" w:rsidRDefault="00EF6C89" w:rsidP="00EF6C89">
      <w:pPr>
        <w:rPr>
          <w:b/>
          <w:bCs/>
        </w:rPr>
      </w:pPr>
      <w:r w:rsidRPr="00EF6C89">
        <w:rPr>
          <w:b/>
          <w:bCs/>
        </w:rPr>
        <w:t>Gouvernance et qualité</w:t>
      </w:r>
      <w:r>
        <w:rPr>
          <w:b/>
          <w:bCs/>
        </w:rPr>
        <w:t> :</w:t>
      </w:r>
    </w:p>
    <w:p w14:paraId="666C17FF" w14:textId="77777777" w:rsidR="00EF6C89" w:rsidRPr="00EF6C89" w:rsidRDefault="00EF6C89" w:rsidP="00EF6C89">
      <w:pPr>
        <w:numPr>
          <w:ilvl w:val="0"/>
          <w:numId w:val="12"/>
        </w:numPr>
      </w:pPr>
      <w:r w:rsidRPr="00EF6C89">
        <w:t xml:space="preserve">Les décisions sont validées via un </w:t>
      </w:r>
      <w:r w:rsidRPr="00EF6C89">
        <w:rPr>
          <w:b/>
          <w:bCs/>
        </w:rPr>
        <w:t>Comité d’Architecture</w:t>
      </w:r>
      <w:r w:rsidRPr="00EF6C89">
        <w:t>.</w:t>
      </w:r>
    </w:p>
    <w:p w14:paraId="5BE18A45" w14:textId="77777777" w:rsidR="00EF6C89" w:rsidRPr="00EF6C89" w:rsidRDefault="00EF6C89" w:rsidP="00EF6C89">
      <w:pPr>
        <w:numPr>
          <w:ilvl w:val="0"/>
          <w:numId w:val="12"/>
        </w:numPr>
      </w:pPr>
      <w:r w:rsidRPr="00EF6C89">
        <w:t xml:space="preserve">Toute </w:t>
      </w:r>
      <w:r w:rsidRPr="00EF6C89">
        <w:rPr>
          <w:b/>
          <w:bCs/>
        </w:rPr>
        <w:t>non-conformité</w:t>
      </w:r>
      <w:r w:rsidRPr="00EF6C89">
        <w:t xml:space="preserve"> détectée fait l’objet d’un </w:t>
      </w:r>
      <w:r w:rsidRPr="00EF6C89">
        <w:rPr>
          <w:b/>
          <w:bCs/>
        </w:rPr>
        <w:t>ticket de correction</w:t>
      </w:r>
      <w:r w:rsidRPr="00EF6C89">
        <w:t xml:space="preserve"> et d’un suivi dans le plan qualité.</w:t>
      </w:r>
    </w:p>
    <w:p w14:paraId="0FAC972F" w14:textId="5A024184" w:rsidR="00494170" w:rsidRPr="000F145A" w:rsidRDefault="00EF6C89" w:rsidP="000F145A">
      <w:pPr>
        <w:numPr>
          <w:ilvl w:val="0"/>
          <w:numId w:val="12"/>
        </w:numPr>
      </w:pPr>
      <w:r w:rsidRPr="00EF6C89">
        <w:t xml:space="preserve">Le respect des exigences de conformité est </w:t>
      </w:r>
      <w:r w:rsidRPr="00EF6C89">
        <w:rPr>
          <w:b/>
          <w:bCs/>
        </w:rPr>
        <w:t>contrôlé à chaque jalon</w:t>
      </w:r>
      <w:r w:rsidRPr="00EF6C89">
        <w:t xml:space="preserve"> produit/technique.</w:t>
      </w:r>
    </w:p>
    <w:p w14:paraId="194F2941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0" w:name="_Toc206615137"/>
      <w:r>
        <w:t>Personnes adoptant l’architecture</w:t>
      </w:r>
      <w:bookmarkEnd w:id="10"/>
    </w:p>
    <w:p w14:paraId="2886ED36" w14:textId="77777777" w:rsidR="00EF6C89" w:rsidRPr="00EF6C89" w:rsidRDefault="00EF6C89" w:rsidP="00EF6C89">
      <w:r w:rsidRPr="00EF6C89">
        <w:t xml:space="preserve">L’adoption de l’architecture cible ne se limite pas à son implémentation technique. Elle implique une </w:t>
      </w:r>
      <w:r w:rsidRPr="00EF6C89">
        <w:rPr>
          <w:b/>
          <w:bCs/>
        </w:rPr>
        <w:t>appropriation active</w:t>
      </w:r>
      <w:r w:rsidRPr="00EF6C89">
        <w:t xml:space="preserve"> par les </w:t>
      </w:r>
      <w:r w:rsidRPr="00EF6C89">
        <w:rPr>
          <w:b/>
          <w:bCs/>
        </w:rPr>
        <w:t>équipes métier, produit, support et sécurité</w:t>
      </w:r>
      <w:r w:rsidRPr="00EF6C89">
        <w:t>, qui doivent l’intégrer dans leurs usages, décisions, processus et outils.</w:t>
      </w:r>
    </w:p>
    <w:p w14:paraId="5B47091B" w14:textId="77777777" w:rsidR="00EF6C89" w:rsidRPr="00EF6C89" w:rsidRDefault="00EF6C89" w:rsidP="00EF6C89">
      <w:r w:rsidRPr="00EF6C89">
        <w:lastRenderedPageBreak/>
        <w:t xml:space="preserve">Ce sont ces personnes et fonctions qui, par leur collaboration et engagement, permettent la </w:t>
      </w:r>
      <w:r w:rsidRPr="00EF6C89">
        <w:rPr>
          <w:b/>
          <w:bCs/>
        </w:rPr>
        <w:t>réussite de la transformation architecturale</w:t>
      </w:r>
      <w:r w:rsidRPr="00EF6C89">
        <w:t>.</w:t>
      </w:r>
    </w:p>
    <w:p w14:paraId="25DC7AA0" w14:textId="5322520F" w:rsidR="00EF6C89" w:rsidRPr="00DA05E0" w:rsidRDefault="00DA05E0" w:rsidP="00EF6C89">
      <w:pPr>
        <w:rPr>
          <w:b/>
          <w:bCs/>
        </w:rPr>
      </w:pPr>
      <w:r w:rsidRPr="00DA05E0">
        <w:rPr>
          <w:b/>
          <w:bCs/>
        </w:rPr>
        <w:t>Parties prenantes adoptantes :</w:t>
      </w:r>
    </w:p>
    <w:tbl>
      <w:tblPr>
        <w:tblW w:w="11199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372"/>
        <w:gridCol w:w="4275"/>
      </w:tblGrid>
      <w:tr w:rsidR="00DA05E0" w:rsidRPr="00DA05E0" w14:paraId="7B992278" w14:textId="77777777" w:rsidTr="00911517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0E581B88" w14:textId="77777777" w:rsidR="00DA05E0" w:rsidRPr="00DA05E0" w:rsidRDefault="00DA05E0" w:rsidP="00DA05E0">
            <w:pPr>
              <w:jc w:val="center"/>
              <w:rPr>
                <w:b/>
                <w:bCs/>
              </w:rPr>
            </w:pPr>
            <w:r w:rsidRPr="00DA05E0">
              <w:rPr>
                <w:b/>
                <w:bCs/>
              </w:rPr>
              <w:t>Rôle / Fonction</w:t>
            </w:r>
          </w:p>
        </w:tc>
        <w:tc>
          <w:tcPr>
            <w:tcW w:w="4342" w:type="dxa"/>
            <w:vAlign w:val="center"/>
            <w:hideMark/>
          </w:tcPr>
          <w:p w14:paraId="6524DC3D" w14:textId="77777777" w:rsidR="00DA05E0" w:rsidRPr="00DA05E0" w:rsidRDefault="00DA05E0" w:rsidP="00DA05E0">
            <w:pPr>
              <w:jc w:val="center"/>
              <w:rPr>
                <w:b/>
                <w:bCs/>
              </w:rPr>
            </w:pPr>
            <w:r w:rsidRPr="00DA05E0">
              <w:rPr>
                <w:b/>
                <w:bCs/>
              </w:rPr>
              <w:t>Responsabilités vis-à-vis de l’architecture</w:t>
            </w:r>
          </w:p>
        </w:tc>
        <w:tc>
          <w:tcPr>
            <w:tcW w:w="4230" w:type="dxa"/>
            <w:vAlign w:val="center"/>
            <w:hideMark/>
          </w:tcPr>
          <w:p w14:paraId="5221F3F7" w14:textId="77777777" w:rsidR="00DA05E0" w:rsidRPr="00DA05E0" w:rsidRDefault="00DA05E0" w:rsidP="00DA05E0">
            <w:pPr>
              <w:jc w:val="center"/>
              <w:rPr>
                <w:b/>
                <w:bCs/>
              </w:rPr>
            </w:pPr>
            <w:r w:rsidRPr="00DA05E0">
              <w:rPr>
                <w:b/>
                <w:bCs/>
              </w:rPr>
              <w:t>Impacts de l’adoption</w:t>
            </w:r>
          </w:p>
        </w:tc>
      </w:tr>
      <w:tr w:rsidR="00DA05E0" w:rsidRPr="00DA05E0" w14:paraId="54472D57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CCC4A55" w14:textId="77777777" w:rsidR="00DA05E0" w:rsidRPr="00DA05E0" w:rsidRDefault="00DA05E0" w:rsidP="00DA05E0">
            <w:r w:rsidRPr="00DA05E0">
              <w:rPr>
                <w:b/>
                <w:bCs/>
              </w:rPr>
              <w:t xml:space="preserve">Chief Product </w:t>
            </w:r>
            <w:proofErr w:type="spellStart"/>
            <w:r w:rsidRPr="00DA05E0">
              <w:rPr>
                <w:b/>
                <w:bCs/>
              </w:rPr>
              <w:t>Officer</w:t>
            </w:r>
            <w:proofErr w:type="spellEnd"/>
            <w:r w:rsidRPr="00DA05E0">
              <w:rPr>
                <w:b/>
                <w:bCs/>
              </w:rPr>
              <w:t xml:space="preserve"> (CPO)</w:t>
            </w:r>
          </w:p>
        </w:tc>
        <w:tc>
          <w:tcPr>
            <w:tcW w:w="4342" w:type="dxa"/>
            <w:vAlign w:val="center"/>
            <w:hideMark/>
          </w:tcPr>
          <w:p w14:paraId="044C78B9" w14:textId="77777777" w:rsidR="00DA05E0" w:rsidRPr="00DA05E0" w:rsidRDefault="00DA05E0" w:rsidP="00DA05E0">
            <w:r w:rsidRPr="00DA05E0">
              <w:t>Valide la vision produit et l’alignement de l’architecture avec la stratégie</w:t>
            </w:r>
          </w:p>
        </w:tc>
        <w:tc>
          <w:tcPr>
            <w:tcW w:w="4230" w:type="dxa"/>
            <w:vAlign w:val="center"/>
            <w:hideMark/>
          </w:tcPr>
          <w:p w14:paraId="04BFFC85" w14:textId="77777777" w:rsidR="00DA05E0" w:rsidRPr="00DA05E0" w:rsidRDefault="00DA05E0" w:rsidP="00DA05E0">
            <w:r w:rsidRPr="00DA05E0">
              <w:t>Vision long terme, arbitrages fonctionnels</w:t>
            </w:r>
          </w:p>
        </w:tc>
      </w:tr>
      <w:tr w:rsidR="00DA05E0" w:rsidRPr="00DA05E0" w14:paraId="10F85238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9A35732" w14:textId="77777777" w:rsidR="00DA05E0" w:rsidRPr="00DA05E0" w:rsidRDefault="00DA05E0" w:rsidP="00DA05E0">
            <w:r w:rsidRPr="00DA05E0">
              <w:rPr>
                <w:b/>
                <w:bCs/>
              </w:rPr>
              <w:t xml:space="preserve">Product </w:t>
            </w:r>
            <w:proofErr w:type="spellStart"/>
            <w:r w:rsidRPr="00DA05E0">
              <w:rPr>
                <w:b/>
                <w:bCs/>
              </w:rPr>
              <w:t>Owners</w:t>
            </w:r>
            <w:proofErr w:type="spellEnd"/>
            <w:r w:rsidRPr="00DA05E0">
              <w:rPr>
                <w:b/>
                <w:bCs/>
              </w:rPr>
              <w:t xml:space="preserve"> (</w:t>
            </w:r>
            <w:proofErr w:type="spellStart"/>
            <w:r w:rsidRPr="00DA05E0">
              <w:rPr>
                <w:b/>
                <w:bCs/>
              </w:rPr>
              <w:t>POs</w:t>
            </w:r>
            <w:proofErr w:type="spellEnd"/>
            <w:r w:rsidRPr="00DA05E0">
              <w:rPr>
                <w:b/>
                <w:bCs/>
              </w:rPr>
              <w:t>)</w:t>
            </w:r>
          </w:p>
        </w:tc>
        <w:tc>
          <w:tcPr>
            <w:tcW w:w="4342" w:type="dxa"/>
            <w:vAlign w:val="center"/>
            <w:hideMark/>
          </w:tcPr>
          <w:p w14:paraId="1A54E4EB" w14:textId="77777777" w:rsidR="00DA05E0" w:rsidRPr="00DA05E0" w:rsidRDefault="00DA05E0" w:rsidP="00DA05E0">
            <w:r w:rsidRPr="00DA05E0">
              <w:t>Intègrent les contraintes et opportunités de l’architecture dans la roadmap</w:t>
            </w:r>
          </w:p>
        </w:tc>
        <w:tc>
          <w:tcPr>
            <w:tcW w:w="4230" w:type="dxa"/>
            <w:vAlign w:val="center"/>
            <w:hideMark/>
          </w:tcPr>
          <w:p w14:paraId="45DED759" w14:textId="77777777" w:rsidR="00DA05E0" w:rsidRPr="00DA05E0" w:rsidRDefault="00DA05E0" w:rsidP="00DA05E0">
            <w:r w:rsidRPr="00DA05E0">
              <w:t xml:space="preserve">Priorisation des </w:t>
            </w:r>
            <w:proofErr w:type="spellStart"/>
            <w:r w:rsidRPr="00DA05E0">
              <w:t>features</w:t>
            </w:r>
            <w:proofErr w:type="spellEnd"/>
            <w:r w:rsidRPr="00DA05E0">
              <w:t>, évaluation des coûts techniques</w:t>
            </w:r>
          </w:p>
        </w:tc>
      </w:tr>
      <w:tr w:rsidR="00DA05E0" w:rsidRPr="00DA05E0" w14:paraId="6BD7764E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176DC80" w14:textId="77777777" w:rsidR="00DA05E0" w:rsidRPr="00DA05E0" w:rsidRDefault="00DA05E0" w:rsidP="00DA05E0">
            <w:r w:rsidRPr="00DA05E0">
              <w:rPr>
                <w:b/>
                <w:bCs/>
              </w:rPr>
              <w:t>Responsable Sécurité / DPO</w:t>
            </w:r>
          </w:p>
        </w:tc>
        <w:tc>
          <w:tcPr>
            <w:tcW w:w="4342" w:type="dxa"/>
            <w:vAlign w:val="center"/>
            <w:hideMark/>
          </w:tcPr>
          <w:p w14:paraId="67F5F024" w14:textId="77777777" w:rsidR="00DA05E0" w:rsidRPr="00DA05E0" w:rsidRDefault="00DA05E0" w:rsidP="00DA05E0">
            <w:r w:rsidRPr="00DA05E0">
              <w:t>S’assure de la conformité RGPD et de la sécurité applicative</w:t>
            </w:r>
          </w:p>
        </w:tc>
        <w:tc>
          <w:tcPr>
            <w:tcW w:w="4230" w:type="dxa"/>
            <w:vAlign w:val="center"/>
            <w:hideMark/>
          </w:tcPr>
          <w:p w14:paraId="610A8685" w14:textId="77777777" w:rsidR="00DA05E0" w:rsidRPr="00DA05E0" w:rsidRDefault="00DA05E0" w:rsidP="00DA05E0">
            <w:r w:rsidRPr="00DA05E0">
              <w:t>Acceptation du modèle de gouvernance des données</w:t>
            </w:r>
          </w:p>
        </w:tc>
      </w:tr>
      <w:tr w:rsidR="00DA05E0" w:rsidRPr="00DA05E0" w14:paraId="02078C19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3E26DF2" w14:textId="77777777" w:rsidR="00DA05E0" w:rsidRPr="00DA05E0" w:rsidRDefault="00DA05E0" w:rsidP="00DA05E0">
            <w:r w:rsidRPr="00DA05E0">
              <w:rPr>
                <w:b/>
                <w:bCs/>
              </w:rPr>
              <w:t xml:space="preserve">Support &amp; Customer </w:t>
            </w:r>
            <w:proofErr w:type="spellStart"/>
            <w:r w:rsidRPr="00DA05E0">
              <w:rPr>
                <w:b/>
                <w:bCs/>
              </w:rPr>
              <w:t>Success</w:t>
            </w:r>
            <w:proofErr w:type="spellEnd"/>
          </w:p>
        </w:tc>
        <w:tc>
          <w:tcPr>
            <w:tcW w:w="4342" w:type="dxa"/>
            <w:vAlign w:val="center"/>
            <w:hideMark/>
          </w:tcPr>
          <w:p w14:paraId="60A0AE0F" w14:textId="77777777" w:rsidR="00DA05E0" w:rsidRPr="00DA05E0" w:rsidRDefault="00DA05E0" w:rsidP="00DA05E0">
            <w:r w:rsidRPr="00DA05E0">
              <w:t>Utilise les capacités de traçabilité, logs et gestion des incidents</w:t>
            </w:r>
          </w:p>
        </w:tc>
        <w:tc>
          <w:tcPr>
            <w:tcW w:w="4230" w:type="dxa"/>
            <w:vAlign w:val="center"/>
            <w:hideMark/>
          </w:tcPr>
          <w:p w14:paraId="0F426ACA" w14:textId="77777777" w:rsidR="00DA05E0" w:rsidRPr="00DA05E0" w:rsidRDefault="00DA05E0" w:rsidP="00DA05E0">
            <w:r w:rsidRPr="00DA05E0">
              <w:t>Réduction des délais de résolution, meilleure visibilité</w:t>
            </w:r>
          </w:p>
        </w:tc>
      </w:tr>
      <w:tr w:rsidR="00DA05E0" w:rsidRPr="00DA05E0" w14:paraId="2C52178D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6963DD9" w14:textId="77777777" w:rsidR="00DA05E0" w:rsidRPr="00DA05E0" w:rsidRDefault="00DA05E0" w:rsidP="00DA05E0">
            <w:r w:rsidRPr="00DA05E0">
              <w:rPr>
                <w:b/>
                <w:bCs/>
              </w:rPr>
              <w:t>Marketing &amp; Communication</w:t>
            </w:r>
          </w:p>
        </w:tc>
        <w:tc>
          <w:tcPr>
            <w:tcW w:w="4342" w:type="dxa"/>
            <w:vAlign w:val="center"/>
            <w:hideMark/>
          </w:tcPr>
          <w:p w14:paraId="7CCF9276" w14:textId="77777777" w:rsidR="00DA05E0" w:rsidRPr="00DA05E0" w:rsidRDefault="00DA05E0" w:rsidP="00DA05E0">
            <w:r w:rsidRPr="00DA05E0">
              <w:t>Valorise les nouvelles capacités techniques dans l’offre client</w:t>
            </w:r>
          </w:p>
        </w:tc>
        <w:tc>
          <w:tcPr>
            <w:tcW w:w="4230" w:type="dxa"/>
            <w:vAlign w:val="center"/>
            <w:hideMark/>
          </w:tcPr>
          <w:p w14:paraId="4232A789" w14:textId="77777777" w:rsidR="00DA05E0" w:rsidRPr="00DA05E0" w:rsidRDefault="00DA05E0" w:rsidP="00DA05E0">
            <w:r w:rsidRPr="00DA05E0">
              <w:t>Repositionnement du message (scalabilité, personnalisation)</w:t>
            </w:r>
          </w:p>
        </w:tc>
      </w:tr>
      <w:tr w:rsidR="00DA05E0" w:rsidRPr="00DA05E0" w14:paraId="1B9E31EF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45E3B76" w14:textId="77777777" w:rsidR="00DA05E0" w:rsidRPr="00DA05E0" w:rsidRDefault="00DA05E0" w:rsidP="00DA05E0">
            <w:r w:rsidRPr="00DA05E0">
              <w:rPr>
                <w:b/>
                <w:bCs/>
              </w:rPr>
              <w:t>Responsable Analytics</w:t>
            </w:r>
          </w:p>
        </w:tc>
        <w:tc>
          <w:tcPr>
            <w:tcW w:w="4342" w:type="dxa"/>
            <w:vAlign w:val="center"/>
            <w:hideMark/>
          </w:tcPr>
          <w:p w14:paraId="0E1C0366" w14:textId="77777777" w:rsidR="00DA05E0" w:rsidRPr="00DA05E0" w:rsidRDefault="00DA05E0" w:rsidP="00DA05E0">
            <w:r w:rsidRPr="00DA05E0">
              <w:t>Intègre les points de mesure et événements dans l’infrastructure cible</w:t>
            </w:r>
          </w:p>
        </w:tc>
        <w:tc>
          <w:tcPr>
            <w:tcW w:w="4230" w:type="dxa"/>
            <w:vAlign w:val="center"/>
            <w:hideMark/>
          </w:tcPr>
          <w:p w14:paraId="63BB1840" w14:textId="77777777" w:rsidR="00DA05E0" w:rsidRPr="00DA05E0" w:rsidRDefault="00DA05E0" w:rsidP="00DA05E0">
            <w:r w:rsidRPr="00DA05E0">
              <w:t>Meilleure mesure de l’impact des fonctionnalités</w:t>
            </w:r>
          </w:p>
        </w:tc>
      </w:tr>
      <w:tr w:rsidR="00DA05E0" w:rsidRPr="00DA05E0" w14:paraId="337F6105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EEE59C5" w14:textId="77777777" w:rsidR="00DA05E0" w:rsidRPr="00DA05E0" w:rsidRDefault="00DA05E0" w:rsidP="00DA05E0">
            <w:r w:rsidRPr="00DA05E0">
              <w:rPr>
                <w:b/>
                <w:bCs/>
              </w:rPr>
              <w:t>Direction Générale (CEO/COO)</w:t>
            </w:r>
          </w:p>
        </w:tc>
        <w:tc>
          <w:tcPr>
            <w:tcW w:w="4342" w:type="dxa"/>
            <w:vAlign w:val="center"/>
            <w:hideMark/>
          </w:tcPr>
          <w:p w14:paraId="38F69A08" w14:textId="77777777" w:rsidR="00DA05E0" w:rsidRPr="00DA05E0" w:rsidRDefault="00DA05E0" w:rsidP="00DA05E0">
            <w:r w:rsidRPr="00DA05E0">
              <w:t>Donne l’impulsion stratégique et le soutien budgétaire</w:t>
            </w:r>
          </w:p>
        </w:tc>
        <w:tc>
          <w:tcPr>
            <w:tcW w:w="4230" w:type="dxa"/>
            <w:vAlign w:val="center"/>
            <w:hideMark/>
          </w:tcPr>
          <w:p w14:paraId="677FF8F9" w14:textId="77777777" w:rsidR="00DA05E0" w:rsidRPr="00DA05E0" w:rsidRDefault="00DA05E0" w:rsidP="00DA05E0">
            <w:r w:rsidRPr="00DA05E0">
              <w:t>Garant de l’alignement architecture ↔ objectifs business</w:t>
            </w:r>
          </w:p>
        </w:tc>
      </w:tr>
    </w:tbl>
    <w:p w14:paraId="263BD29E" w14:textId="77777777" w:rsidR="00A94E63" w:rsidRDefault="00A94E63" w:rsidP="00911517"/>
    <w:p w14:paraId="6CC7D4BD" w14:textId="5BB768C9" w:rsidR="00911517" w:rsidRPr="00911517" w:rsidRDefault="00911517" w:rsidP="00911517">
      <w:r w:rsidRPr="00911517">
        <w:t xml:space="preserve">Ces personnes devront être </w:t>
      </w:r>
      <w:r w:rsidRPr="00911517">
        <w:rPr>
          <w:b/>
          <w:bCs/>
        </w:rPr>
        <w:t>informées, formées, impliquées</w:t>
      </w:r>
      <w:r w:rsidRPr="00911517">
        <w:t xml:space="preserve"> via les actions </w:t>
      </w:r>
      <w:proofErr w:type="gramStart"/>
      <w:r w:rsidRPr="00911517">
        <w:t>suivantes:</w:t>
      </w:r>
      <w:proofErr w:type="gramEnd"/>
    </w:p>
    <w:p w14:paraId="493936DE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Présentation des schémas cibles et des principes directeurs</w:t>
      </w:r>
    </w:p>
    <w:p w14:paraId="32FAC52E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Revue des décisions structurantes (</w:t>
      </w:r>
      <w:proofErr w:type="spellStart"/>
      <w:r w:rsidRPr="00911517">
        <w:t>ADRs</w:t>
      </w:r>
      <w:proofErr w:type="spellEnd"/>
      <w:r w:rsidRPr="00911517">
        <w:t>)</w:t>
      </w:r>
    </w:p>
    <w:p w14:paraId="596B4A14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Sessions de démo ou pilotes utilisateurs (POC/MVP)</w:t>
      </w:r>
    </w:p>
    <w:p w14:paraId="0405CF57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Documentation vulgarisée de l’architecture</w:t>
      </w:r>
    </w:p>
    <w:p w14:paraId="6DEFE98F" w14:textId="77777777" w:rsidR="00911517" w:rsidRPr="00911517" w:rsidRDefault="00911517" w:rsidP="00911517">
      <w:r w:rsidRPr="00911517">
        <w:t xml:space="preserve">L’adoption est un </w:t>
      </w:r>
      <w:r w:rsidRPr="00911517">
        <w:rPr>
          <w:b/>
          <w:bCs/>
        </w:rPr>
        <w:t>indicateur clé de succès</w:t>
      </w:r>
      <w:r w:rsidRPr="00911517">
        <w:t xml:space="preserve"> du présent contrat.</w:t>
      </w:r>
    </w:p>
    <w:p w14:paraId="0CEE726A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1" w:name="_Toc206615138"/>
      <w:r>
        <w:lastRenderedPageBreak/>
        <w:t>Fenêtre temporelle</w:t>
      </w:r>
      <w:bookmarkEnd w:id="11"/>
    </w:p>
    <w:p w14:paraId="141D3B8A" w14:textId="2D934FA2" w:rsidR="00317BDE" w:rsidRDefault="00A722DD" w:rsidP="00317BDE">
      <w:r w:rsidRPr="00A722DD">
        <w:t xml:space="preserve">Ce contrat d’architecture est établi pour couvrir la </w:t>
      </w:r>
      <w:r w:rsidRPr="00A722DD">
        <w:rPr>
          <w:b/>
          <w:bCs/>
        </w:rPr>
        <w:t>phase de refonte initiale</w:t>
      </w:r>
      <w:r w:rsidRPr="00A722DD">
        <w:t xml:space="preserve"> de la plateforme </w:t>
      </w:r>
      <w:proofErr w:type="spellStart"/>
      <w:r w:rsidRPr="00A722DD">
        <w:t>Foosus</w:t>
      </w:r>
      <w:proofErr w:type="spellEnd"/>
      <w:r w:rsidRPr="00A722DD">
        <w:t xml:space="preserve"> ainsi que </w:t>
      </w:r>
      <w:r w:rsidRPr="00A722DD">
        <w:rPr>
          <w:b/>
          <w:bCs/>
        </w:rPr>
        <w:t>l’adoption opérationnelle de l’architecture cible</w:t>
      </w:r>
      <w:r w:rsidRPr="00A722DD">
        <w:t>.</w:t>
      </w:r>
    </w:p>
    <w:p w14:paraId="6B7878CF" w14:textId="0007B7F2" w:rsidR="00317BDE" w:rsidRPr="00A722DD" w:rsidRDefault="00A722DD" w:rsidP="00317BDE">
      <w:pPr>
        <w:rPr>
          <w:b/>
          <w:bCs/>
        </w:rPr>
      </w:pPr>
      <w:r w:rsidRPr="00A722DD">
        <w:rPr>
          <w:b/>
          <w:bCs/>
        </w:rPr>
        <w:t>Période de validité du contrat :</w:t>
      </w:r>
    </w:p>
    <w:tbl>
      <w:tblPr>
        <w:tblW w:w="11199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4071"/>
        <w:gridCol w:w="4395"/>
      </w:tblGrid>
      <w:tr w:rsidR="00A722DD" w:rsidRPr="00A722DD" w14:paraId="6E57C8FD" w14:textId="77777777" w:rsidTr="00A722DD">
        <w:trPr>
          <w:tblHeader/>
          <w:tblCellSpacing w:w="15" w:type="dxa"/>
        </w:trPr>
        <w:tc>
          <w:tcPr>
            <w:tcW w:w="2688" w:type="dxa"/>
            <w:vAlign w:val="center"/>
            <w:hideMark/>
          </w:tcPr>
          <w:p w14:paraId="3ED634E6" w14:textId="77777777" w:rsidR="00A722DD" w:rsidRPr="00A722DD" w:rsidRDefault="00A722DD" w:rsidP="00A722DD">
            <w:pPr>
              <w:jc w:val="center"/>
              <w:rPr>
                <w:b/>
                <w:bCs/>
              </w:rPr>
            </w:pPr>
            <w:r w:rsidRPr="00A722DD">
              <w:rPr>
                <w:b/>
                <w:bCs/>
              </w:rPr>
              <w:t>Date de début</w:t>
            </w:r>
          </w:p>
        </w:tc>
        <w:tc>
          <w:tcPr>
            <w:tcW w:w="4041" w:type="dxa"/>
            <w:vAlign w:val="center"/>
            <w:hideMark/>
          </w:tcPr>
          <w:p w14:paraId="3AB83BB0" w14:textId="77777777" w:rsidR="00A722DD" w:rsidRPr="00A722DD" w:rsidRDefault="00A722DD" w:rsidP="00A722DD">
            <w:pPr>
              <w:jc w:val="center"/>
              <w:rPr>
                <w:b/>
                <w:bCs/>
              </w:rPr>
            </w:pPr>
            <w:r w:rsidRPr="00A722DD">
              <w:rPr>
                <w:b/>
                <w:bCs/>
              </w:rPr>
              <w:t>Date de fin prévisionnelle</w:t>
            </w:r>
          </w:p>
        </w:tc>
        <w:tc>
          <w:tcPr>
            <w:tcW w:w="4350" w:type="dxa"/>
            <w:vAlign w:val="center"/>
            <w:hideMark/>
          </w:tcPr>
          <w:p w14:paraId="48D6AA80" w14:textId="77777777" w:rsidR="00A722DD" w:rsidRPr="00A722DD" w:rsidRDefault="00A722DD" w:rsidP="00A722DD">
            <w:pPr>
              <w:jc w:val="center"/>
              <w:rPr>
                <w:b/>
                <w:bCs/>
              </w:rPr>
            </w:pPr>
            <w:r w:rsidRPr="00A722DD">
              <w:rPr>
                <w:b/>
                <w:bCs/>
              </w:rPr>
              <w:t>Commentaires</w:t>
            </w:r>
          </w:p>
        </w:tc>
      </w:tr>
      <w:tr w:rsidR="00A722DD" w:rsidRPr="00A722DD" w14:paraId="2F7A5C16" w14:textId="77777777" w:rsidTr="00A722DD">
        <w:trPr>
          <w:tblCellSpacing w:w="15" w:type="dxa"/>
        </w:trPr>
        <w:tc>
          <w:tcPr>
            <w:tcW w:w="2688" w:type="dxa"/>
            <w:vAlign w:val="center"/>
            <w:hideMark/>
          </w:tcPr>
          <w:p w14:paraId="38C67F9B" w14:textId="77777777" w:rsidR="00A722DD" w:rsidRPr="00A722DD" w:rsidRDefault="00A722DD" w:rsidP="00A722DD">
            <w:r w:rsidRPr="00A722DD">
              <w:t>01/09/2025</w:t>
            </w:r>
          </w:p>
        </w:tc>
        <w:tc>
          <w:tcPr>
            <w:tcW w:w="4041" w:type="dxa"/>
            <w:vAlign w:val="center"/>
            <w:hideMark/>
          </w:tcPr>
          <w:p w14:paraId="321A3427" w14:textId="77777777" w:rsidR="00A722DD" w:rsidRPr="00A722DD" w:rsidRDefault="00A722DD" w:rsidP="00A722DD">
            <w:r w:rsidRPr="00A722DD">
              <w:t>31/03/2026</w:t>
            </w:r>
          </w:p>
        </w:tc>
        <w:tc>
          <w:tcPr>
            <w:tcW w:w="4350" w:type="dxa"/>
            <w:vAlign w:val="center"/>
            <w:hideMark/>
          </w:tcPr>
          <w:p w14:paraId="324F83A7" w14:textId="77777777" w:rsidR="00A722DD" w:rsidRPr="00A722DD" w:rsidRDefault="00A722DD" w:rsidP="00A722DD">
            <w:r w:rsidRPr="00A722DD">
              <w:t>Période initiale, révisable selon les jalons MVP</w:t>
            </w:r>
          </w:p>
        </w:tc>
      </w:tr>
    </w:tbl>
    <w:p w14:paraId="2060147E" w14:textId="569FC229" w:rsidR="00BD6E6D" w:rsidRPr="00BD6E6D" w:rsidRDefault="00BD6E6D" w:rsidP="00BD6E6D">
      <w:pPr>
        <w:rPr>
          <w:b/>
          <w:bCs/>
        </w:rPr>
      </w:pPr>
      <w:r w:rsidRPr="00BD6E6D">
        <w:rPr>
          <w:b/>
          <w:bCs/>
        </w:rPr>
        <w:t>Jalon de révision</w:t>
      </w:r>
      <w:r>
        <w:rPr>
          <w:b/>
          <w:bCs/>
        </w:rPr>
        <w:t> :</w:t>
      </w:r>
    </w:p>
    <w:p w14:paraId="20FEF7F9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 xml:space="preserve">Un </w:t>
      </w:r>
      <w:r w:rsidRPr="00BD6E6D">
        <w:rPr>
          <w:b/>
          <w:bCs/>
        </w:rPr>
        <w:t>point d’étape officiel</w:t>
      </w:r>
      <w:r w:rsidRPr="00BD6E6D">
        <w:t xml:space="preserve"> est prévu à mi-parcours (fin décembre 2025) pour :</w:t>
      </w:r>
    </w:p>
    <w:p w14:paraId="707BC8E5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>Évaluer l’adoption réelle par les parties prenantes métier ;</w:t>
      </w:r>
    </w:p>
    <w:p w14:paraId="57D6F74B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>Réviser les exigences ou le périmètre si besoin (</w:t>
      </w:r>
      <w:proofErr w:type="gramStart"/>
      <w:r w:rsidRPr="00BD6E6D">
        <w:t>suite à</w:t>
      </w:r>
      <w:proofErr w:type="gramEnd"/>
      <w:r w:rsidRPr="00BD6E6D">
        <w:t xml:space="preserve"> feedback ou réalité terrain) ;</w:t>
      </w:r>
    </w:p>
    <w:p w14:paraId="6CD9ED0F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>Mettre à jour ce contrat (nouveaux objectifs, nouveaux acteurs, itérations supplémentaires).</w:t>
      </w:r>
    </w:p>
    <w:p w14:paraId="4D014AD6" w14:textId="22AF0F0A" w:rsidR="00BD6E6D" w:rsidRPr="00BD6E6D" w:rsidRDefault="00BD6E6D" w:rsidP="00BD6E6D">
      <w:pPr>
        <w:rPr>
          <w:b/>
          <w:bCs/>
        </w:rPr>
      </w:pPr>
      <w:r w:rsidRPr="00BD6E6D">
        <w:rPr>
          <w:b/>
          <w:bCs/>
        </w:rPr>
        <w:t>Possibilités d’évolution</w:t>
      </w:r>
      <w:r>
        <w:rPr>
          <w:b/>
          <w:bCs/>
        </w:rPr>
        <w:t> :</w:t>
      </w:r>
    </w:p>
    <w:p w14:paraId="45A0C869" w14:textId="77777777" w:rsidR="00BD6E6D" w:rsidRPr="00BD6E6D" w:rsidRDefault="00BD6E6D" w:rsidP="00BD6E6D">
      <w:pPr>
        <w:numPr>
          <w:ilvl w:val="0"/>
          <w:numId w:val="15"/>
        </w:numPr>
      </w:pPr>
      <w:r w:rsidRPr="00BD6E6D">
        <w:t xml:space="preserve">Le contrat pourra être </w:t>
      </w:r>
      <w:r w:rsidRPr="00BD6E6D">
        <w:rPr>
          <w:b/>
          <w:bCs/>
        </w:rPr>
        <w:t>prolongé</w:t>
      </w:r>
      <w:r w:rsidRPr="00BD6E6D">
        <w:t xml:space="preserve"> pour inclure d’autres domaines métier (logistique, data, gestion des stocks…).</w:t>
      </w:r>
    </w:p>
    <w:p w14:paraId="443547B9" w14:textId="77777777" w:rsidR="00BD6E6D" w:rsidRPr="00BD6E6D" w:rsidRDefault="00BD6E6D" w:rsidP="00BD6E6D">
      <w:pPr>
        <w:numPr>
          <w:ilvl w:val="0"/>
          <w:numId w:val="15"/>
        </w:numPr>
      </w:pPr>
      <w:r w:rsidRPr="00BD6E6D">
        <w:t xml:space="preserve">Il pourra également faire l’objet de </w:t>
      </w:r>
      <w:r w:rsidRPr="00BD6E6D">
        <w:rPr>
          <w:b/>
          <w:bCs/>
        </w:rPr>
        <w:t>versions mineures</w:t>
      </w:r>
      <w:r w:rsidRPr="00BD6E6D">
        <w:t>, si certaines exigences ou priorités évoluent significativement (nouvelle orientation business, fusion, contrainte réglementaire…).</w:t>
      </w:r>
    </w:p>
    <w:p w14:paraId="7FCACE3E" w14:textId="17756622" w:rsidR="00A722DD" w:rsidRPr="00317BDE" w:rsidRDefault="00BD6E6D" w:rsidP="00317BDE">
      <w:pPr>
        <w:numPr>
          <w:ilvl w:val="0"/>
          <w:numId w:val="15"/>
        </w:numPr>
      </w:pPr>
      <w:r w:rsidRPr="00BD6E6D">
        <w:t xml:space="preserve">La version actuelle (v1.0) est considérée comme </w:t>
      </w:r>
      <w:r w:rsidRPr="00BD6E6D">
        <w:rPr>
          <w:b/>
          <w:bCs/>
        </w:rPr>
        <w:t>active</w:t>
      </w:r>
      <w:r w:rsidRPr="00BD6E6D">
        <w:t xml:space="preserve"> dès la validation conjointe des signataires en section 10.</w:t>
      </w:r>
    </w:p>
    <w:p w14:paraId="32A81125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2" w:name="_Toc206615139"/>
      <w:r>
        <w:t>Métriques business de l’architecture</w:t>
      </w:r>
      <w:bookmarkEnd w:id="12"/>
    </w:p>
    <w:p w14:paraId="2C5FA155" w14:textId="7C35F9D0" w:rsidR="00C25BDD" w:rsidRPr="00C25BDD" w:rsidRDefault="00C25BDD" w:rsidP="00C25BDD">
      <w:r w:rsidRPr="00C25BDD">
        <w:t xml:space="preserve">L’évaluation du succès de l’architecture ne se limite pas à sa mise en œuvre technique. Elle doit se mesurer également à travers </w:t>
      </w:r>
      <w:r w:rsidRPr="00C25BDD">
        <w:rPr>
          <w:b/>
          <w:bCs/>
        </w:rPr>
        <w:t>des indicateurs business tangibles</w:t>
      </w:r>
      <w:r w:rsidRPr="00C25BDD">
        <w:t xml:space="preserve">, </w:t>
      </w:r>
      <w:proofErr w:type="gramStart"/>
      <w:r w:rsidRPr="00C25BDD">
        <w:t>reflétant:</w:t>
      </w:r>
      <w:proofErr w:type="gramEnd"/>
    </w:p>
    <w:p w14:paraId="6BBCFEBC" w14:textId="77777777" w:rsidR="00C25BDD" w:rsidRPr="00C25BDD" w:rsidRDefault="00C25BDD" w:rsidP="00C25BDD">
      <w:pPr>
        <w:numPr>
          <w:ilvl w:val="0"/>
          <w:numId w:val="16"/>
        </w:numPr>
      </w:pPr>
      <w:proofErr w:type="gramStart"/>
      <w:r w:rsidRPr="00C25BDD">
        <w:t>l’impact</w:t>
      </w:r>
      <w:proofErr w:type="gramEnd"/>
      <w:r w:rsidRPr="00C25BDD">
        <w:t xml:space="preserve"> de l’architecture sur l’expérience utilisateur,</w:t>
      </w:r>
    </w:p>
    <w:p w14:paraId="4C856FBA" w14:textId="77777777" w:rsidR="00C25BDD" w:rsidRPr="00C25BDD" w:rsidRDefault="00C25BDD" w:rsidP="00C25BDD">
      <w:pPr>
        <w:numPr>
          <w:ilvl w:val="0"/>
          <w:numId w:val="16"/>
        </w:numPr>
      </w:pPr>
      <w:proofErr w:type="gramStart"/>
      <w:r w:rsidRPr="00C25BDD">
        <w:t>sa</w:t>
      </w:r>
      <w:proofErr w:type="gramEnd"/>
      <w:r w:rsidRPr="00C25BDD">
        <w:t xml:space="preserve"> capacité à soutenir la croissance produit,</w:t>
      </w:r>
    </w:p>
    <w:p w14:paraId="361C0F1C" w14:textId="77777777" w:rsidR="00C25BDD" w:rsidRPr="00C25BDD" w:rsidRDefault="00C25BDD" w:rsidP="00C25BDD">
      <w:pPr>
        <w:numPr>
          <w:ilvl w:val="0"/>
          <w:numId w:val="16"/>
        </w:numPr>
      </w:pPr>
      <w:proofErr w:type="gramStart"/>
      <w:r w:rsidRPr="00C25BDD">
        <w:t>sa</w:t>
      </w:r>
      <w:proofErr w:type="gramEnd"/>
      <w:r w:rsidRPr="00C25BDD">
        <w:t xml:space="preserve"> contribution à la performance opérationnelle de </w:t>
      </w:r>
      <w:proofErr w:type="spellStart"/>
      <w:r w:rsidRPr="00C25BDD">
        <w:t>Foosus</w:t>
      </w:r>
      <w:proofErr w:type="spellEnd"/>
      <w:r w:rsidRPr="00C25BDD">
        <w:t>.</w:t>
      </w:r>
    </w:p>
    <w:p w14:paraId="484B9426" w14:textId="10E9BD5F" w:rsidR="00C25BDD" w:rsidRPr="00C25BDD" w:rsidRDefault="00C25BDD" w:rsidP="00C25BDD">
      <w:pPr>
        <w:rPr>
          <w:b/>
          <w:bCs/>
        </w:rPr>
      </w:pPr>
      <w:r w:rsidRPr="00C25BDD">
        <w:rPr>
          <w:b/>
          <w:bCs/>
        </w:rPr>
        <w:lastRenderedPageBreak/>
        <w:t>Indicateurs business suivis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2268"/>
        <w:gridCol w:w="1490"/>
        <w:gridCol w:w="3897"/>
      </w:tblGrid>
      <w:tr w:rsidR="00C25BDD" w:rsidRPr="00C25BDD" w14:paraId="6C3C665A" w14:textId="77777777" w:rsidTr="00C25BDD">
        <w:trPr>
          <w:tblHeader/>
          <w:tblCellSpacing w:w="15" w:type="dxa"/>
        </w:trPr>
        <w:tc>
          <w:tcPr>
            <w:tcW w:w="3358" w:type="dxa"/>
            <w:vAlign w:val="center"/>
            <w:hideMark/>
          </w:tcPr>
          <w:p w14:paraId="75A1788F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Métrique</w:t>
            </w:r>
          </w:p>
        </w:tc>
        <w:tc>
          <w:tcPr>
            <w:tcW w:w="2238" w:type="dxa"/>
            <w:vAlign w:val="center"/>
            <w:hideMark/>
          </w:tcPr>
          <w:p w14:paraId="4E9AFE0F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Unité de mesure</w:t>
            </w:r>
          </w:p>
        </w:tc>
        <w:tc>
          <w:tcPr>
            <w:tcW w:w="1460" w:type="dxa"/>
            <w:vAlign w:val="center"/>
            <w:hideMark/>
          </w:tcPr>
          <w:p w14:paraId="2B1165E2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Valeur cible</w:t>
            </w:r>
          </w:p>
        </w:tc>
        <w:tc>
          <w:tcPr>
            <w:tcW w:w="3852" w:type="dxa"/>
            <w:vAlign w:val="center"/>
            <w:hideMark/>
          </w:tcPr>
          <w:p w14:paraId="557E602C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Justification métier</w:t>
            </w:r>
          </w:p>
        </w:tc>
      </w:tr>
      <w:tr w:rsidR="00C25BDD" w:rsidRPr="00C25BDD" w14:paraId="0B2845CA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642F79E3" w14:textId="77777777" w:rsidR="00C25BDD" w:rsidRPr="00C25BDD" w:rsidRDefault="00C25BDD" w:rsidP="00C25BDD">
            <w:r w:rsidRPr="00C25BDD">
              <w:rPr>
                <w:b/>
                <w:bCs/>
              </w:rPr>
              <w:t>Temps moyen de chargement d’une page (mobile)</w:t>
            </w:r>
          </w:p>
        </w:tc>
        <w:tc>
          <w:tcPr>
            <w:tcW w:w="2238" w:type="dxa"/>
            <w:vAlign w:val="center"/>
            <w:hideMark/>
          </w:tcPr>
          <w:p w14:paraId="0C63E896" w14:textId="77777777" w:rsidR="00C25BDD" w:rsidRPr="00C25BDD" w:rsidRDefault="00C25BDD" w:rsidP="00C25BDD">
            <w:proofErr w:type="gramStart"/>
            <w:r w:rsidRPr="00C25BDD">
              <w:t>secondes</w:t>
            </w:r>
            <w:proofErr w:type="gramEnd"/>
          </w:p>
        </w:tc>
        <w:tc>
          <w:tcPr>
            <w:tcW w:w="1460" w:type="dxa"/>
            <w:vAlign w:val="center"/>
            <w:hideMark/>
          </w:tcPr>
          <w:p w14:paraId="6FDE8447" w14:textId="77777777" w:rsidR="00C25BDD" w:rsidRPr="00C25BDD" w:rsidRDefault="00C25BDD" w:rsidP="00C25BDD">
            <w:r w:rsidRPr="00C25BDD">
              <w:t>≤ 1,5 s</w:t>
            </w:r>
          </w:p>
        </w:tc>
        <w:tc>
          <w:tcPr>
            <w:tcW w:w="3852" w:type="dxa"/>
            <w:vAlign w:val="center"/>
            <w:hideMark/>
          </w:tcPr>
          <w:p w14:paraId="46858410" w14:textId="77777777" w:rsidR="00C25BDD" w:rsidRPr="00C25BDD" w:rsidRDefault="00C25BDD" w:rsidP="00C25BDD">
            <w:r w:rsidRPr="00C25BDD">
              <w:t>Réduction du taux de rebond, amélioration de l’engagement</w:t>
            </w:r>
          </w:p>
        </w:tc>
      </w:tr>
      <w:tr w:rsidR="00C25BDD" w:rsidRPr="00C25BDD" w14:paraId="2AAFAA0C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230A000C" w14:textId="77777777" w:rsidR="00C25BDD" w:rsidRPr="00C25BDD" w:rsidRDefault="00C25BDD" w:rsidP="00C25BDD">
            <w:r w:rsidRPr="00C25BDD">
              <w:rPr>
                <w:b/>
                <w:bCs/>
              </w:rPr>
              <w:t>Taux d’erreur sur transaction</w:t>
            </w:r>
          </w:p>
        </w:tc>
        <w:tc>
          <w:tcPr>
            <w:tcW w:w="2238" w:type="dxa"/>
            <w:vAlign w:val="center"/>
            <w:hideMark/>
          </w:tcPr>
          <w:p w14:paraId="51B07F89" w14:textId="77777777" w:rsidR="00C25BDD" w:rsidRPr="00C25BDD" w:rsidRDefault="00C25BDD" w:rsidP="00C25BDD">
            <w:r w:rsidRPr="00C25BDD">
              <w:t>% d’échecs (API / commande)</w:t>
            </w:r>
          </w:p>
        </w:tc>
        <w:tc>
          <w:tcPr>
            <w:tcW w:w="1460" w:type="dxa"/>
            <w:vAlign w:val="center"/>
            <w:hideMark/>
          </w:tcPr>
          <w:p w14:paraId="7B1986EE" w14:textId="77777777" w:rsidR="00C25BDD" w:rsidRPr="00C25BDD" w:rsidRDefault="00C25BDD" w:rsidP="00C25BDD">
            <w:r w:rsidRPr="00C25BDD">
              <w:t>&lt; 0,5 %</w:t>
            </w:r>
          </w:p>
        </w:tc>
        <w:tc>
          <w:tcPr>
            <w:tcW w:w="3852" w:type="dxa"/>
            <w:vAlign w:val="center"/>
            <w:hideMark/>
          </w:tcPr>
          <w:p w14:paraId="1D5A4256" w14:textId="77777777" w:rsidR="00C25BDD" w:rsidRPr="00C25BDD" w:rsidRDefault="00C25BDD" w:rsidP="00C25BDD">
            <w:r w:rsidRPr="00C25BDD">
              <w:t>Fiabilité du parcours client jusqu’au paiement</w:t>
            </w:r>
          </w:p>
        </w:tc>
      </w:tr>
      <w:tr w:rsidR="00C25BDD" w:rsidRPr="00C25BDD" w14:paraId="7C4065B9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301B48CE" w14:textId="77777777" w:rsidR="00C25BDD" w:rsidRPr="00C25BDD" w:rsidRDefault="00C25BDD" w:rsidP="00C25BDD">
            <w:r w:rsidRPr="00C25BDD">
              <w:rPr>
                <w:b/>
                <w:bCs/>
              </w:rPr>
              <w:t>Délai moyen de mise en production d’une fonctionnalité</w:t>
            </w:r>
          </w:p>
        </w:tc>
        <w:tc>
          <w:tcPr>
            <w:tcW w:w="2238" w:type="dxa"/>
            <w:vAlign w:val="center"/>
            <w:hideMark/>
          </w:tcPr>
          <w:p w14:paraId="21C4D464" w14:textId="77777777" w:rsidR="00C25BDD" w:rsidRPr="00C25BDD" w:rsidRDefault="00C25BDD" w:rsidP="00C25BDD">
            <w:proofErr w:type="gramStart"/>
            <w:r w:rsidRPr="00C25BDD">
              <w:t>jours</w:t>
            </w:r>
            <w:proofErr w:type="gramEnd"/>
            <w:r w:rsidRPr="00C25BDD">
              <w:t xml:space="preserve"> ouvrés</w:t>
            </w:r>
          </w:p>
        </w:tc>
        <w:tc>
          <w:tcPr>
            <w:tcW w:w="1460" w:type="dxa"/>
            <w:vAlign w:val="center"/>
            <w:hideMark/>
          </w:tcPr>
          <w:p w14:paraId="1714B3BB" w14:textId="77777777" w:rsidR="00C25BDD" w:rsidRPr="00C25BDD" w:rsidRDefault="00C25BDD" w:rsidP="00C25BDD">
            <w:r w:rsidRPr="00C25BDD">
              <w:t>≤ 10 j</w:t>
            </w:r>
          </w:p>
        </w:tc>
        <w:tc>
          <w:tcPr>
            <w:tcW w:w="3852" w:type="dxa"/>
            <w:vAlign w:val="center"/>
            <w:hideMark/>
          </w:tcPr>
          <w:p w14:paraId="103FD7A4" w14:textId="77777777" w:rsidR="00C25BDD" w:rsidRPr="00C25BDD" w:rsidRDefault="00C25BDD" w:rsidP="00C25BDD">
            <w:r w:rsidRPr="00C25BDD">
              <w:t>Time-to-</w:t>
            </w:r>
            <w:proofErr w:type="spellStart"/>
            <w:r w:rsidRPr="00C25BDD">
              <w:t>market</w:t>
            </w:r>
            <w:proofErr w:type="spellEnd"/>
            <w:r w:rsidRPr="00C25BDD">
              <w:t xml:space="preserve"> accéléré via modularité + CI/CD</w:t>
            </w:r>
          </w:p>
        </w:tc>
      </w:tr>
      <w:tr w:rsidR="00C25BDD" w:rsidRPr="00C25BDD" w14:paraId="3F61E253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4D8B5E6C" w14:textId="77777777" w:rsidR="00C25BDD" w:rsidRPr="00C25BDD" w:rsidRDefault="00C25BDD" w:rsidP="00C25BDD">
            <w:r w:rsidRPr="00C25BDD">
              <w:rPr>
                <w:b/>
                <w:bCs/>
              </w:rPr>
              <w:t xml:space="preserve">Nombre de rollbacks </w:t>
            </w:r>
            <w:proofErr w:type="gramStart"/>
            <w:r w:rsidRPr="00C25BDD">
              <w:rPr>
                <w:b/>
                <w:bCs/>
              </w:rPr>
              <w:t>suite à</w:t>
            </w:r>
            <w:proofErr w:type="gramEnd"/>
            <w:r w:rsidRPr="00C25BDD">
              <w:rPr>
                <w:b/>
                <w:bCs/>
              </w:rPr>
              <w:t xml:space="preserve"> mise en prod</w:t>
            </w:r>
          </w:p>
        </w:tc>
        <w:tc>
          <w:tcPr>
            <w:tcW w:w="2238" w:type="dxa"/>
            <w:vAlign w:val="center"/>
            <w:hideMark/>
          </w:tcPr>
          <w:p w14:paraId="76B22495" w14:textId="77777777" w:rsidR="00C25BDD" w:rsidRPr="00C25BDD" w:rsidRDefault="00C25BDD" w:rsidP="00C25BDD">
            <w:proofErr w:type="gramStart"/>
            <w:r w:rsidRPr="00C25BDD">
              <w:t>par</w:t>
            </w:r>
            <w:proofErr w:type="gramEnd"/>
            <w:r w:rsidRPr="00C25BDD">
              <w:t xml:space="preserve"> trimestre</w:t>
            </w:r>
          </w:p>
        </w:tc>
        <w:tc>
          <w:tcPr>
            <w:tcW w:w="1460" w:type="dxa"/>
            <w:vAlign w:val="center"/>
            <w:hideMark/>
          </w:tcPr>
          <w:p w14:paraId="2B324FAE" w14:textId="77777777" w:rsidR="00C25BDD" w:rsidRPr="00C25BDD" w:rsidRDefault="00C25BDD" w:rsidP="00C25BDD">
            <w:r w:rsidRPr="00C25BDD">
              <w:t>0 à 1</w:t>
            </w:r>
          </w:p>
        </w:tc>
        <w:tc>
          <w:tcPr>
            <w:tcW w:w="3852" w:type="dxa"/>
            <w:vAlign w:val="center"/>
            <w:hideMark/>
          </w:tcPr>
          <w:p w14:paraId="4427A140" w14:textId="77777777" w:rsidR="00C25BDD" w:rsidRPr="00C25BDD" w:rsidRDefault="00C25BDD" w:rsidP="00C25BDD">
            <w:r w:rsidRPr="00C25BDD">
              <w:t>Qualité des livrables, stabilité technique, confiance produit</w:t>
            </w:r>
          </w:p>
        </w:tc>
      </w:tr>
      <w:tr w:rsidR="00C25BDD" w:rsidRPr="00C25BDD" w14:paraId="39C93BFD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29346E55" w14:textId="77777777" w:rsidR="00C25BDD" w:rsidRPr="00C25BDD" w:rsidRDefault="00C25BDD" w:rsidP="00C25BDD">
            <w:r w:rsidRPr="00C25BDD">
              <w:rPr>
                <w:b/>
                <w:bCs/>
              </w:rPr>
              <w:t>Disponibilité de la plateforme (hors maintenance)</w:t>
            </w:r>
          </w:p>
        </w:tc>
        <w:tc>
          <w:tcPr>
            <w:tcW w:w="2238" w:type="dxa"/>
            <w:vAlign w:val="center"/>
            <w:hideMark/>
          </w:tcPr>
          <w:p w14:paraId="5B798719" w14:textId="77777777" w:rsidR="00C25BDD" w:rsidRPr="00C25BDD" w:rsidRDefault="00C25BDD" w:rsidP="00C25BDD">
            <w:r w:rsidRPr="00C25BDD">
              <w:t>% uptime mensuel</w:t>
            </w:r>
          </w:p>
        </w:tc>
        <w:tc>
          <w:tcPr>
            <w:tcW w:w="1460" w:type="dxa"/>
            <w:vAlign w:val="center"/>
            <w:hideMark/>
          </w:tcPr>
          <w:p w14:paraId="6040AA37" w14:textId="77777777" w:rsidR="00C25BDD" w:rsidRPr="00C25BDD" w:rsidRDefault="00C25BDD" w:rsidP="00C25BDD">
            <w:r w:rsidRPr="00C25BDD">
              <w:t>≥ 99,9 %</w:t>
            </w:r>
          </w:p>
        </w:tc>
        <w:tc>
          <w:tcPr>
            <w:tcW w:w="3852" w:type="dxa"/>
            <w:vAlign w:val="center"/>
            <w:hideMark/>
          </w:tcPr>
          <w:p w14:paraId="2BCEDB8B" w14:textId="77777777" w:rsidR="00C25BDD" w:rsidRPr="00C25BDD" w:rsidRDefault="00C25BDD" w:rsidP="00C25BDD">
            <w:r w:rsidRPr="00C25BDD">
              <w:t>Acceptabilité client et SLA marketing</w:t>
            </w:r>
          </w:p>
        </w:tc>
      </w:tr>
      <w:tr w:rsidR="00C25BDD" w:rsidRPr="00C25BDD" w14:paraId="03417B12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780F203D" w14:textId="77777777" w:rsidR="00C25BDD" w:rsidRPr="00C25BDD" w:rsidRDefault="00C25BDD" w:rsidP="00C25BDD">
            <w:r w:rsidRPr="00C25BDD">
              <w:rPr>
                <w:b/>
                <w:bCs/>
              </w:rPr>
              <w:t xml:space="preserve">% des </w:t>
            </w:r>
            <w:proofErr w:type="spellStart"/>
            <w:r w:rsidRPr="00C25BDD">
              <w:rPr>
                <w:b/>
                <w:bCs/>
              </w:rPr>
              <w:t>features</w:t>
            </w:r>
            <w:proofErr w:type="spellEnd"/>
            <w:r w:rsidRPr="00C25BDD">
              <w:rPr>
                <w:b/>
                <w:bCs/>
              </w:rPr>
              <w:t xml:space="preserve"> activables indépendamment (</w:t>
            </w:r>
            <w:proofErr w:type="spellStart"/>
            <w:r w:rsidRPr="00C25BDD">
              <w:rPr>
                <w:b/>
                <w:bCs/>
              </w:rPr>
              <w:t>feature</w:t>
            </w:r>
            <w:proofErr w:type="spellEnd"/>
            <w:r w:rsidRPr="00C25BDD">
              <w:rPr>
                <w:b/>
                <w:bCs/>
              </w:rPr>
              <w:t xml:space="preserve"> </w:t>
            </w:r>
            <w:proofErr w:type="spellStart"/>
            <w:r w:rsidRPr="00C25BDD">
              <w:rPr>
                <w:b/>
                <w:bCs/>
              </w:rPr>
              <w:t>toggles</w:t>
            </w:r>
            <w:proofErr w:type="spellEnd"/>
            <w:r w:rsidRPr="00C25BDD">
              <w:rPr>
                <w:b/>
                <w:bCs/>
              </w:rPr>
              <w:t>)</w:t>
            </w:r>
          </w:p>
        </w:tc>
        <w:tc>
          <w:tcPr>
            <w:tcW w:w="2238" w:type="dxa"/>
            <w:vAlign w:val="center"/>
            <w:hideMark/>
          </w:tcPr>
          <w:p w14:paraId="7754C15D" w14:textId="77777777" w:rsidR="00C25BDD" w:rsidRPr="00C25BDD" w:rsidRDefault="00C25BDD" w:rsidP="00C25BDD">
            <w:r w:rsidRPr="00C25BDD">
              <w:t>%</w:t>
            </w:r>
          </w:p>
        </w:tc>
        <w:tc>
          <w:tcPr>
            <w:tcW w:w="1460" w:type="dxa"/>
            <w:vAlign w:val="center"/>
            <w:hideMark/>
          </w:tcPr>
          <w:p w14:paraId="098AFAB5" w14:textId="77777777" w:rsidR="00C25BDD" w:rsidRPr="00C25BDD" w:rsidRDefault="00C25BDD" w:rsidP="00C25BDD">
            <w:r w:rsidRPr="00C25BDD">
              <w:t>≥ 70 %</w:t>
            </w:r>
          </w:p>
        </w:tc>
        <w:tc>
          <w:tcPr>
            <w:tcW w:w="3852" w:type="dxa"/>
            <w:vAlign w:val="center"/>
            <w:hideMark/>
          </w:tcPr>
          <w:p w14:paraId="33C0B737" w14:textId="77777777" w:rsidR="00C25BDD" w:rsidRPr="00C25BDD" w:rsidRDefault="00C25BDD" w:rsidP="00C25BDD">
            <w:r w:rsidRPr="00C25BDD">
              <w:t>Flexibilité produit, tests A/B, lancements progressifs</w:t>
            </w:r>
          </w:p>
        </w:tc>
      </w:tr>
    </w:tbl>
    <w:p w14:paraId="2781C27F" w14:textId="77777777" w:rsidR="00A94E63" w:rsidRDefault="00A94E63" w:rsidP="00C25BDD"/>
    <w:p w14:paraId="2FA321A5" w14:textId="7950B020" w:rsidR="00C25BDD" w:rsidRPr="00C25BDD" w:rsidRDefault="00353054" w:rsidP="00C25BDD">
      <w:r w:rsidRPr="00353054">
        <w:t xml:space="preserve">Ces métriques sont </w:t>
      </w:r>
      <w:r w:rsidRPr="00353054">
        <w:rPr>
          <w:b/>
          <w:bCs/>
        </w:rPr>
        <w:t>suivies dans les outils analytiques et DevOps</w:t>
      </w:r>
      <w:r w:rsidRPr="00353054">
        <w:t xml:space="preserve"> (</w:t>
      </w:r>
      <w:proofErr w:type="spellStart"/>
      <w:r w:rsidRPr="00353054">
        <w:t>Datadog</w:t>
      </w:r>
      <w:proofErr w:type="spellEnd"/>
      <w:r w:rsidRPr="00353054">
        <w:t xml:space="preserve">, </w:t>
      </w:r>
      <w:proofErr w:type="spellStart"/>
      <w:r w:rsidRPr="00353054">
        <w:t>Grafana</w:t>
      </w:r>
      <w:proofErr w:type="spellEnd"/>
      <w:r w:rsidRPr="00353054">
        <w:t xml:space="preserve">, Jira, etc.), et font l’objet de </w:t>
      </w:r>
      <w:r w:rsidRPr="00353054">
        <w:rPr>
          <w:b/>
          <w:bCs/>
        </w:rPr>
        <w:t>revues croisées</w:t>
      </w:r>
      <w:r w:rsidRPr="00353054">
        <w:t xml:space="preserve"> entre équipes produit et architecture à chaque fin d’itération majeure.</w:t>
      </w:r>
    </w:p>
    <w:p w14:paraId="74A67A9A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3" w:name="_Toc206615140"/>
      <w:r>
        <w:t>Accords de service pour l’architecture (y compris accord du niveau de service [ANS])</w:t>
      </w:r>
      <w:bookmarkEnd w:id="13"/>
    </w:p>
    <w:p w14:paraId="0D443E91" w14:textId="77777777" w:rsidR="00DB77D3" w:rsidRPr="00DB77D3" w:rsidRDefault="00DB77D3" w:rsidP="00DB77D3">
      <w:r w:rsidRPr="00DB77D3">
        <w:t xml:space="preserve">Afin d’assurer que l’architecture cible répond durablement aux attentes métier, un </w:t>
      </w:r>
      <w:r w:rsidRPr="00DB77D3">
        <w:rPr>
          <w:b/>
          <w:bCs/>
        </w:rPr>
        <w:t>ensemble d’accords de service</w:t>
      </w:r>
      <w:r w:rsidRPr="00DB77D3">
        <w:t xml:space="preserve"> est défini. Ils précisent les </w:t>
      </w:r>
      <w:r w:rsidRPr="00DB77D3">
        <w:rPr>
          <w:b/>
          <w:bCs/>
        </w:rPr>
        <w:t>niveaux de qualité attendus</w:t>
      </w:r>
      <w:r w:rsidRPr="00DB77D3">
        <w:t xml:space="preserve"> en production, en lien avec les </w:t>
      </w:r>
      <w:r w:rsidRPr="00DB77D3">
        <w:rPr>
          <w:b/>
          <w:bCs/>
        </w:rPr>
        <w:t>objectifs business et techniques</w:t>
      </w:r>
      <w:r w:rsidRPr="00DB77D3">
        <w:t>.</w:t>
      </w:r>
    </w:p>
    <w:p w14:paraId="0E20E95D" w14:textId="77777777" w:rsidR="00DB77D3" w:rsidRPr="00DB77D3" w:rsidRDefault="00DB77D3" w:rsidP="00DB77D3">
      <w:r w:rsidRPr="00DB77D3">
        <w:t xml:space="preserve">Ces engagements sont alignés avec les </w:t>
      </w:r>
      <w:r w:rsidRPr="00DB77D3">
        <w:rPr>
          <w:b/>
          <w:bCs/>
        </w:rPr>
        <w:t>pratiques DevOps</w:t>
      </w:r>
      <w:r w:rsidRPr="00DB77D3">
        <w:t xml:space="preserve"> et intègrent la </w:t>
      </w:r>
      <w:r w:rsidRPr="00DB77D3">
        <w:rPr>
          <w:b/>
          <w:bCs/>
        </w:rPr>
        <w:t>gouvernance opérationnelle</w:t>
      </w:r>
      <w:r w:rsidRPr="00DB77D3">
        <w:t xml:space="preserve"> du système.</w:t>
      </w:r>
    </w:p>
    <w:p w14:paraId="1A66693C" w14:textId="0EF2889B" w:rsidR="00353054" w:rsidRPr="00DB77D3" w:rsidRDefault="00DB77D3" w:rsidP="00353054">
      <w:pPr>
        <w:rPr>
          <w:b/>
          <w:bCs/>
        </w:rPr>
      </w:pPr>
      <w:r w:rsidRPr="00DB77D3">
        <w:rPr>
          <w:b/>
          <w:bCs/>
        </w:rPr>
        <w:t>Accords de Niveau de Service (SLA)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843"/>
        <w:gridCol w:w="2676"/>
        <w:gridCol w:w="3278"/>
      </w:tblGrid>
      <w:tr w:rsidR="00DB77D3" w:rsidRPr="00DB77D3" w14:paraId="687598B4" w14:textId="77777777" w:rsidTr="00DB77D3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4EDACD40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lastRenderedPageBreak/>
              <w:t>Service ou Composant</w:t>
            </w:r>
          </w:p>
        </w:tc>
        <w:tc>
          <w:tcPr>
            <w:tcW w:w="1813" w:type="dxa"/>
            <w:vAlign w:val="center"/>
            <w:hideMark/>
          </w:tcPr>
          <w:p w14:paraId="3B00F0FC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t>SLA Cible</w:t>
            </w:r>
          </w:p>
        </w:tc>
        <w:tc>
          <w:tcPr>
            <w:tcW w:w="2646" w:type="dxa"/>
            <w:vAlign w:val="center"/>
            <w:hideMark/>
          </w:tcPr>
          <w:p w14:paraId="2E29BA21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t>Fréquence de mesure</w:t>
            </w:r>
          </w:p>
        </w:tc>
        <w:tc>
          <w:tcPr>
            <w:tcW w:w="3233" w:type="dxa"/>
            <w:vAlign w:val="center"/>
            <w:hideMark/>
          </w:tcPr>
          <w:p w14:paraId="11D661E0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t>Mécanisme de suivi</w:t>
            </w:r>
          </w:p>
        </w:tc>
      </w:tr>
      <w:tr w:rsidR="00DB77D3" w:rsidRPr="00DB77D3" w14:paraId="3EF57296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270126D" w14:textId="77777777" w:rsidR="00DB77D3" w:rsidRPr="00DB77D3" w:rsidRDefault="00DB77D3" w:rsidP="00DB77D3">
            <w:r w:rsidRPr="00DB77D3">
              <w:t>API de recherche producteurs</w:t>
            </w:r>
          </w:p>
        </w:tc>
        <w:tc>
          <w:tcPr>
            <w:tcW w:w="1813" w:type="dxa"/>
            <w:vAlign w:val="center"/>
            <w:hideMark/>
          </w:tcPr>
          <w:p w14:paraId="207F9BB1" w14:textId="77777777" w:rsidR="00DB77D3" w:rsidRPr="00DB77D3" w:rsidRDefault="00DB77D3" w:rsidP="00DB77D3">
            <w:r w:rsidRPr="00DB77D3">
              <w:t>≥ 99,9 % de disponibilité</w:t>
            </w:r>
          </w:p>
        </w:tc>
        <w:tc>
          <w:tcPr>
            <w:tcW w:w="2646" w:type="dxa"/>
            <w:vAlign w:val="center"/>
            <w:hideMark/>
          </w:tcPr>
          <w:p w14:paraId="5A84A2B4" w14:textId="77777777" w:rsidR="00DB77D3" w:rsidRPr="00DB77D3" w:rsidRDefault="00DB77D3" w:rsidP="00DB77D3">
            <w:r w:rsidRPr="00DB77D3">
              <w:t>Mensuel</w:t>
            </w:r>
          </w:p>
        </w:tc>
        <w:tc>
          <w:tcPr>
            <w:tcW w:w="3233" w:type="dxa"/>
            <w:vAlign w:val="center"/>
            <w:hideMark/>
          </w:tcPr>
          <w:p w14:paraId="2D62B639" w14:textId="77777777" w:rsidR="00DB77D3" w:rsidRPr="00DB77D3" w:rsidRDefault="00DB77D3" w:rsidP="00DB77D3">
            <w:r w:rsidRPr="00DB77D3">
              <w:t>Monitoring Uptime / API Gateway</w:t>
            </w:r>
          </w:p>
        </w:tc>
      </w:tr>
      <w:tr w:rsidR="00DB77D3" w:rsidRPr="00DB77D3" w14:paraId="7C96F58A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939C213" w14:textId="77777777" w:rsidR="00DB77D3" w:rsidRPr="00DB77D3" w:rsidRDefault="00DB77D3" w:rsidP="00DB77D3">
            <w:r w:rsidRPr="00DB77D3">
              <w:t>Système de paiement</w:t>
            </w:r>
          </w:p>
        </w:tc>
        <w:tc>
          <w:tcPr>
            <w:tcW w:w="1813" w:type="dxa"/>
            <w:vAlign w:val="center"/>
            <w:hideMark/>
          </w:tcPr>
          <w:p w14:paraId="67D74E15" w14:textId="77777777" w:rsidR="00DB77D3" w:rsidRPr="00DB77D3" w:rsidRDefault="00DB77D3" w:rsidP="00DB77D3">
            <w:r w:rsidRPr="00DB77D3">
              <w:t>≥ 99,95 % de disponibilité</w:t>
            </w:r>
          </w:p>
        </w:tc>
        <w:tc>
          <w:tcPr>
            <w:tcW w:w="2646" w:type="dxa"/>
            <w:vAlign w:val="center"/>
            <w:hideMark/>
          </w:tcPr>
          <w:p w14:paraId="49DB6D25" w14:textId="77777777" w:rsidR="00DB77D3" w:rsidRPr="00DB77D3" w:rsidRDefault="00DB77D3" w:rsidP="00DB77D3">
            <w:r w:rsidRPr="00DB77D3">
              <w:t>Hebdomadaire</w:t>
            </w:r>
          </w:p>
        </w:tc>
        <w:tc>
          <w:tcPr>
            <w:tcW w:w="3233" w:type="dxa"/>
            <w:vAlign w:val="center"/>
            <w:hideMark/>
          </w:tcPr>
          <w:p w14:paraId="01F70567" w14:textId="77777777" w:rsidR="00DB77D3" w:rsidRPr="00DB77D3" w:rsidRDefault="00DB77D3" w:rsidP="00DB77D3">
            <w:r w:rsidRPr="00DB77D3">
              <w:t>Monitoring + alertes critiques</w:t>
            </w:r>
          </w:p>
        </w:tc>
      </w:tr>
      <w:tr w:rsidR="00DB77D3" w:rsidRPr="00DB77D3" w14:paraId="2B782A67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656A705" w14:textId="77777777" w:rsidR="00DB77D3" w:rsidRPr="00DB77D3" w:rsidRDefault="00DB77D3" w:rsidP="00DB77D3">
            <w:r w:rsidRPr="00DB77D3">
              <w:t xml:space="preserve">Temps de réponse </w:t>
            </w:r>
            <w:proofErr w:type="spellStart"/>
            <w:r w:rsidRPr="00DB77D3">
              <w:t>back-end</w:t>
            </w:r>
            <w:proofErr w:type="spellEnd"/>
            <w:r w:rsidRPr="00DB77D3">
              <w:t xml:space="preserve"> (95e percentile)</w:t>
            </w:r>
          </w:p>
        </w:tc>
        <w:tc>
          <w:tcPr>
            <w:tcW w:w="1813" w:type="dxa"/>
            <w:vAlign w:val="center"/>
            <w:hideMark/>
          </w:tcPr>
          <w:p w14:paraId="05524D5A" w14:textId="77777777" w:rsidR="00DB77D3" w:rsidRPr="00DB77D3" w:rsidRDefault="00DB77D3" w:rsidP="00DB77D3">
            <w:r w:rsidRPr="00DB77D3">
              <w:t>≤ 1,5 s</w:t>
            </w:r>
          </w:p>
        </w:tc>
        <w:tc>
          <w:tcPr>
            <w:tcW w:w="2646" w:type="dxa"/>
            <w:vAlign w:val="center"/>
            <w:hideMark/>
          </w:tcPr>
          <w:p w14:paraId="416E23B4" w14:textId="77777777" w:rsidR="00DB77D3" w:rsidRPr="00DB77D3" w:rsidRDefault="00DB77D3" w:rsidP="00DB77D3">
            <w:r w:rsidRPr="00DB77D3">
              <w:t>Quotidien</w:t>
            </w:r>
          </w:p>
        </w:tc>
        <w:tc>
          <w:tcPr>
            <w:tcW w:w="3233" w:type="dxa"/>
            <w:vAlign w:val="center"/>
            <w:hideMark/>
          </w:tcPr>
          <w:p w14:paraId="395C7819" w14:textId="77777777" w:rsidR="00DB77D3" w:rsidRPr="00DB77D3" w:rsidRDefault="00DB77D3" w:rsidP="00DB77D3">
            <w:r w:rsidRPr="00DB77D3">
              <w:t xml:space="preserve">Logs + </w:t>
            </w:r>
            <w:proofErr w:type="spellStart"/>
            <w:r w:rsidRPr="00DB77D3">
              <w:t>Prometheus</w:t>
            </w:r>
            <w:proofErr w:type="spellEnd"/>
            <w:r w:rsidRPr="00DB77D3">
              <w:t xml:space="preserve"> + </w:t>
            </w:r>
            <w:proofErr w:type="spellStart"/>
            <w:r w:rsidRPr="00DB77D3">
              <w:t>Grafana</w:t>
            </w:r>
            <w:proofErr w:type="spellEnd"/>
          </w:p>
        </w:tc>
      </w:tr>
      <w:tr w:rsidR="00DB77D3" w:rsidRPr="00DB77D3" w14:paraId="7135D2A0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BFF8AA8" w14:textId="77777777" w:rsidR="00DB77D3" w:rsidRPr="00DB77D3" w:rsidRDefault="00DB77D3" w:rsidP="00DB77D3">
            <w:r w:rsidRPr="00DB77D3">
              <w:t>Taux d’erreurs critiques (500, timeouts…)</w:t>
            </w:r>
          </w:p>
        </w:tc>
        <w:tc>
          <w:tcPr>
            <w:tcW w:w="1813" w:type="dxa"/>
            <w:vAlign w:val="center"/>
            <w:hideMark/>
          </w:tcPr>
          <w:p w14:paraId="557735AF" w14:textId="77777777" w:rsidR="00DB77D3" w:rsidRPr="00DB77D3" w:rsidRDefault="00DB77D3" w:rsidP="00DB77D3">
            <w:r w:rsidRPr="00DB77D3">
              <w:t>≤ 0,2 %</w:t>
            </w:r>
          </w:p>
        </w:tc>
        <w:tc>
          <w:tcPr>
            <w:tcW w:w="2646" w:type="dxa"/>
            <w:vAlign w:val="center"/>
            <w:hideMark/>
          </w:tcPr>
          <w:p w14:paraId="59534E91" w14:textId="77777777" w:rsidR="00DB77D3" w:rsidRPr="00DB77D3" w:rsidRDefault="00DB77D3" w:rsidP="00DB77D3">
            <w:r w:rsidRPr="00DB77D3">
              <w:t>Hebdomadaire</w:t>
            </w:r>
          </w:p>
        </w:tc>
        <w:tc>
          <w:tcPr>
            <w:tcW w:w="3233" w:type="dxa"/>
            <w:vAlign w:val="center"/>
            <w:hideMark/>
          </w:tcPr>
          <w:p w14:paraId="6BFA0244" w14:textId="77777777" w:rsidR="00DB77D3" w:rsidRPr="00DB77D3" w:rsidRDefault="00DB77D3" w:rsidP="00DB77D3">
            <w:proofErr w:type="spellStart"/>
            <w:r w:rsidRPr="00DB77D3">
              <w:t>Dashboards</w:t>
            </w:r>
            <w:proofErr w:type="spellEnd"/>
            <w:r w:rsidRPr="00DB77D3">
              <w:t xml:space="preserve"> ELK / </w:t>
            </w:r>
            <w:proofErr w:type="spellStart"/>
            <w:r w:rsidRPr="00DB77D3">
              <w:t>Alertmanager</w:t>
            </w:r>
            <w:proofErr w:type="spellEnd"/>
          </w:p>
        </w:tc>
      </w:tr>
      <w:tr w:rsidR="00DB77D3" w:rsidRPr="00DB77D3" w14:paraId="3EF947AC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8DE41EE" w14:textId="77777777" w:rsidR="00DB77D3" w:rsidRPr="00DB77D3" w:rsidRDefault="00DB77D3" w:rsidP="00DB77D3">
            <w:r w:rsidRPr="00DB77D3">
              <w:t>Délai de rollback en cas d’échec de mise en prod</w:t>
            </w:r>
          </w:p>
        </w:tc>
        <w:tc>
          <w:tcPr>
            <w:tcW w:w="1813" w:type="dxa"/>
            <w:vAlign w:val="center"/>
            <w:hideMark/>
          </w:tcPr>
          <w:p w14:paraId="41942067" w14:textId="77777777" w:rsidR="00DB77D3" w:rsidRPr="00DB77D3" w:rsidRDefault="00DB77D3" w:rsidP="00DB77D3">
            <w:r w:rsidRPr="00DB77D3">
              <w:t>≤ 30 minutes</w:t>
            </w:r>
          </w:p>
        </w:tc>
        <w:tc>
          <w:tcPr>
            <w:tcW w:w="2646" w:type="dxa"/>
            <w:vAlign w:val="center"/>
            <w:hideMark/>
          </w:tcPr>
          <w:p w14:paraId="6AABDA32" w14:textId="77777777" w:rsidR="00DB77D3" w:rsidRPr="00DB77D3" w:rsidRDefault="00DB77D3" w:rsidP="00DB77D3">
            <w:r w:rsidRPr="00DB77D3">
              <w:t>À la demande</w:t>
            </w:r>
          </w:p>
        </w:tc>
        <w:tc>
          <w:tcPr>
            <w:tcW w:w="3233" w:type="dxa"/>
            <w:vAlign w:val="center"/>
            <w:hideMark/>
          </w:tcPr>
          <w:p w14:paraId="5DDE94A4" w14:textId="77777777" w:rsidR="00DB77D3" w:rsidRPr="00DB77D3" w:rsidRDefault="00DB77D3" w:rsidP="00DB77D3">
            <w:r w:rsidRPr="00DB77D3">
              <w:t>Script CI/CD + PRA validé</w:t>
            </w:r>
          </w:p>
        </w:tc>
      </w:tr>
      <w:tr w:rsidR="00DB77D3" w:rsidRPr="00DB77D3" w14:paraId="4743BC0F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C3F6121" w14:textId="77777777" w:rsidR="00DB77D3" w:rsidRPr="00DB77D3" w:rsidRDefault="00DB77D3" w:rsidP="00DB77D3">
            <w:r w:rsidRPr="00DB77D3">
              <w:t xml:space="preserve">Documentation à jour (APIs et </w:t>
            </w:r>
            <w:proofErr w:type="spellStart"/>
            <w:r w:rsidRPr="00DB77D3">
              <w:t>ADRs</w:t>
            </w:r>
            <w:proofErr w:type="spellEnd"/>
            <w:r w:rsidRPr="00DB77D3">
              <w:t>)</w:t>
            </w:r>
          </w:p>
        </w:tc>
        <w:tc>
          <w:tcPr>
            <w:tcW w:w="1813" w:type="dxa"/>
            <w:vAlign w:val="center"/>
            <w:hideMark/>
          </w:tcPr>
          <w:p w14:paraId="267E326A" w14:textId="77777777" w:rsidR="00DB77D3" w:rsidRPr="00DB77D3" w:rsidRDefault="00DB77D3" w:rsidP="00DB77D3">
            <w:r w:rsidRPr="00DB77D3">
              <w:t>100 % à chaque release</w:t>
            </w:r>
          </w:p>
        </w:tc>
        <w:tc>
          <w:tcPr>
            <w:tcW w:w="2646" w:type="dxa"/>
            <w:vAlign w:val="center"/>
            <w:hideMark/>
          </w:tcPr>
          <w:p w14:paraId="5260D710" w14:textId="77777777" w:rsidR="00DB77D3" w:rsidRPr="00DB77D3" w:rsidRDefault="00DB77D3" w:rsidP="00DB77D3">
            <w:r w:rsidRPr="00DB77D3">
              <w:t>Sprint / CI</w:t>
            </w:r>
          </w:p>
        </w:tc>
        <w:tc>
          <w:tcPr>
            <w:tcW w:w="3233" w:type="dxa"/>
            <w:vAlign w:val="center"/>
            <w:hideMark/>
          </w:tcPr>
          <w:p w14:paraId="68275062" w14:textId="77777777" w:rsidR="00DB77D3" w:rsidRPr="00DB77D3" w:rsidRDefault="00DB77D3" w:rsidP="00DB77D3">
            <w:proofErr w:type="spellStart"/>
            <w:r w:rsidRPr="00DB77D3">
              <w:t>Linting</w:t>
            </w:r>
            <w:proofErr w:type="spellEnd"/>
            <w:r w:rsidRPr="00DB77D3">
              <w:t xml:space="preserve"> </w:t>
            </w:r>
            <w:proofErr w:type="spellStart"/>
            <w:r w:rsidRPr="00DB77D3">
              <w:t>OpenAPI</w:t>
            </w:r>
            <w:proofErr w:type="spellEnd"/>
            <w:r w:rsidRPr="00DB77D3">
              <w:t xml:space="preserve"> + Git </w:t>
            </w:r>
            <w:proofErr w:type="spellStart"/>
            <w:r w:rsidRPr="00DB77D3">
              <w:t>rules</w:t>
            </w:r>
            <w:proofErr w:type="spellEnd"/>
          </w:p>
        </w:tc>
      </w:tr>
    </w:tbl>
    <w:p w14:paraId="40035A99" w14:textId="77777777" w:rsidR="00A94E63" w:rsidRDefault="00A94E63" w:rsidP="00353054">
      <w:pPr>
        <w:rPr>
          <w:i/>
          <w:iCs/>
        </w:rPr>
      </w:pPr>
    </w:p>
    <w:p w14:paraId="1037C650" w14:textId="380F5A2E" w:rsidR="00DB77D3" w:rsidRDefault="004C0C05" w:rsidP="00353054">
      <w:r w:rsidRPr="004C0C05">
        <w:rPr>
          <w:i/>
          <w:iCs/>
        </w:rPr>
        <w:t xml:space="preserve">Toutes les décisions structurantes sont archivées dans le </w:t>
      </w:r>
      <w:hyperlink r:id="rId9" w:tgtFrame="_new" w:history="1">
        <w:r w:rsidRPr="004C0C05">
          <w:rPr>
            <w:rStyle w:val="Lienhypertexte"/>
            <w:i/>
            <w:iCs/>
          </w:rPr>
          <w:t xml:space="preserve">registre des </w:t>
        </w:r>
        <w:proofErr w:type="spellStart"/>
        <w:r w:rsidRPr="004C0C05">
          <w:rPr>
            <w:rStyle w:val="Lienhypertexte"/>
            <w:i/>
            <w:iCs/>
          </w:rPr>
          <w:t>ADRs</w:t>
        </w:r>
        <w:proofErr w:type="spellEnd"/>
        <w:r w:rsidRPr="004C0C05">
          <w:rPr>
            <w:rStyle w:val="Lienhypertexte"/>
            <w:i/>
            <w:iCs/>
          </w:rPr>
          <w:t xml:space="preserve"> de l’équipe architecture</w:t>
        </w:r>
      </w:hyperlink>
      <w:r w:rsidRPr="004C0C05">
        <w:rPr>
          <w:i/>
          <w:iCs/>
        </w:rPr>
        <w:t>.</w:t>
      </w:r>
      <w:r w:rsidRPr="004C0C05">
        <w:br/>
        <w:t>Ce registre est mis à jour à chaque itération produit ou technique, et constitue la base de la gouvernance des décisions.</w:t>
      </w:r>
    </w:p>
    <w:p w14:paraId="196B7284" w14:textId="77777777" w:rsidR="004C0C05" w:rsidRDefault="004C0C05" w:rsidP="00353054"/>
    <w:p w14:paraId="58BFD00B" w14:textId="2CDF4500" w:rsidR="00D135EC" w:rsidRPr="00D135EC" w:rsidRDefault="00D135EC" w:rsidP="00353054">
      <w:pPr>
        <w:rPr>
          <w:b/>
          <w:bCs/>
        </w:rPr>
      </w:pPr>
      <w:r w:rsidRPr="00D135EC">
        <w:rPr>
          <w:b/>
          <w:bCs/>
        </w:rPr>
        <w:t>Engagements d’architecture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2376"/>
        <w:gridCol w:w="4003"/>
      </w:tblGrid>
      <w:tr w:rsidR="00D135EC" w:rsidRPr="00D135EC" w14:paraId="04EE67BE" w14:textId="77777777" w:rsidTr="00D135EC">
        <w:trPr>
          <w:tblHeader/>
          <w:tblCellSpacing w:w="15" w:type="dxa"/>
        </w:trPr>
        <w:tc>
          <w:tcPr>
            <w:tcW w:w="4634" w:type="dxa"/>
            <w:vAlign w:val="center"/>
            <w:hideMark/>
          </w:tcPr>
          <w:p w14:paraId="0BC1307C" w14:textId="77777777" w:rsidR="00D135EC" w:rsidRPr="00D135EC" w:rsidRDefault="00D135EC" w:rsidP="00D135EC">
            <w:pPr>
              <w:jc w:val="center"/>
              <w:rPr>
                <w:b/>
                <w:bCs/>
              </w:rPr>
            </w:pPr>
            <w:r w:rsidRPr="00D135EC">
              <w:rPr>
                <w:b/>
                <w:bCs/>
              </w:rPr>
              <w:t>Engagement</w:t>
            </w:r>
          </w:p>
        </w:tc>
        <w:tc>
          <w:tcPr>
            <w:tcW w:w="2346" w:type="dxa"/>
            <w:vAlign w:val="center"/>
            <w:hideMark/>
          </w:tcPr>
          <w:p w14:paraId="0D6DB348" w14:textId="77777777" w:rsidR="00D135EC" w:rsidRPr="00D135EC" w:rsidRDefault="00D135EC" w:rsidP="00D135EC">
            <w:pPr>
              <w:jc w:val="center"/>
              <w:rPr>
                <w:b/>
                <w:bCs/>
              </w:rPr>
            </w:pPr>
            <w:r w:rsidRPr="00D135EC">
              <w:rPr>
                <w:b/>
                <w:bCs/>
              </w:rPr>
              <w:t>Responsable</w:t>
            </w:r>
          </w:p>
        </w:tc>
        <w:tc>
          <w:tcPr>
            <w:tcW w:w="3958" w:type="dxa"/>
            <w:vAlign w:val="center"/>
            <w:hideMark/>
          </w:tcPr>
          <w:p w14:paraId="44838768" w14:textId="77777777" w:rsidR="00D135EC" w:rsidRPr="00D135EC" w:rsidRDefault="00D135EC" w:rsidP="00D135EC">
            <w:pPr>
              <w:jc w:val="center"/>
              <w:rPr>
                <w:b/>
                <w:bCs/>
              </w:rPr>
            </w:pPr>
            <w:r w:rsidRPr="00D135EC">
              <w:rPr>
                <w:b/>
                <w:bCs/>
              </w:rPr>
              <w:t>Critère de réussite</w:t>
            </w:r>
          </w:p>
        </w:tc>
      </w:tr>
      <w:tr w:rsidR="00D135EC" w:rsidRPr="00D135EC" w14:paraId="1F686286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490E9806" w14:textId="77777777" w:rsidR="00D135EC" w:rsidRPr="00D135EC" w:rsidRDefault="00D135EC" w:rsidP="00D135EC">
            <w:r w:rsidRPr="00D135EC">
              <w:t>Publication des ADR pour toute décision structurante</w:t>
            </w:r>
          </w:p>
        </w:tc>
        <w:tc>
          <w:tcPr>
            <w:tcW w:w="2346" w:type="dxa"/>
            <w:vAlign w:val="center"/>
            <w:hideMark/>
          </w:tcPr>
          <w:p w14:paraId="4FEAFA44" w14:textId="77777777" w:rsidR="00D135EC" w:rsidRPr="00D135EC" w:rsidRDefault="00D135EC" w:rsidP="00D135EC">
            <w:r w:rsidRPr="00D135EC">
              <w:t>Architecte / CTO</w:t>
            </w:r>
          </w:p>
        </w:tc>
        <w:tc>
          <w:tcPr>
            <w:tcW w:w="3958" w:type="dxa"/>
            <w:vAlign w:val="center"/>
            <w:hideMark/>
          </w:tcPr>
          <w:p w14:paraId="048FE59D" w14:textId="77777777" w:rsidR="00D135EC" w:rsidRPr="00D135EC" w:rsidRDefault="00D135EC" w:rsidP="00D135EC">
            <w:r w:rsidRPr="00D135EC">
              <w:t>ADR validé + versionné dans Git</w:t>
            </w:r>
          </w:p>
        </w:tc>
      </w:tr>
      <w:tr w:rsidR="00D135EC" w:rsidRPr="00D135EC" w14:paraId="2650EC5F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029861C9" w14:textId="77777777" w:rsidR="00D135EC" w:rsidRPr="00D135EC" w:rsidRDefault="00D135EC" w:rsidP="00D135EC">
            <w:r w:rsidRPr="00D135EC">
              <w:t>Mise à disposition d’une architecture de référence</w:t>
            </w:r>
          </w:p>
        </w:tc>
        <w:tc>
          <w:tcPr>
            <w:tcW w:w="2346" w:type="dxa"/>
            <w:vAlign w:val="center"/>
            <w:hideMark/>
          </w:tcPr>
          <w:p w14:paraId="2AEC0ADA" w14:textId="77777777" w:rsidR="00D135EC" w:rsidRPr="00D135EC" w:rsidRDefault="00D135EC" w:rsidP="00D135EC">
            <w:r w:rsidRPr="00D135EC">
              <w:t>Architecte</w:t>
            </w:r>
          </w:p>
        </w:tc>
        <w:tc>
          <w:tcPr>
            <w:tcW w:w="3958" w:type="dxa"/>
            <w:vAlign w:val="center"/>
            <w:hideMark/>
          </w:tcPr>
          <w:p w14:paraId="3C6914D4" w14:textId="77777777" w:rsidR="00D135EC" w:rsidRPr="00D135EC" w:rsidRDefault="00D135EC" w:rsidP="00D135EC">
            <w:r w:rsidRPr="00D135EC">
              <w:t>Diagrammes C4 à jour, validés</w:t>
            </w:r>
          </w:p>
        </w:tc>
      </w:tr>
      <w:tr w:rsidR="00D135EC" w:rsidRPr="00D135EC" w14:paraId="0E4E785B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0988CCCF" w14:textId="77777777" w:rsidR="00D135EC" w:rsidRPr="00D135EC" w:rsidRDefault="00D135EC" w:rsidP="00D135EC">
            <w:r w:rsidRPr="00D135EC">
              <w:t>Disponibilité des composants techniques réutilisables</w:t>
            </w:r>
          </w:p>
        </w:tc>
        <w:tc>
          <w:tcPr>
            <w:tcW w:w="2346" w:type="dxa"/>
            <w:vAlign w:val="center"/>
            <w:hideMark/>
          </w:tcPr>
          <w:p w14:paraId="6025E1F0" w14:textId="77777777" w:rsidR="00D135EC" w:rsidRPr="00D135EC" w:rsidRDefault="00D135EC" w:rsidP="00D135EC">
            <w:r w:rsidRPr="00D135EC">
              <w:t>Équipe Tech</w:t>
            </w:r>
          </w:p>
        </w:tc>
        <w:tc>
          <w:tcPr>
            <w:tcW w:w="3958" w:type="dxa"/>
            <w:vAlign w:val="center"/>
            <w:hideMark/>
          </w:tcPr>
          <w:p w14:paraId="28598BA1" w14:textId="77777777" w:rsidR="00D135EC" w:rsidRPr="00D135EC" w:rsidRDefault="00D135EC" w:rsidP="00D135EC">
            <w:r w:rsidRPr="00D135EC">
              <w:t>Packaging, doc, versioning</w:t>
            </w:r>
          </w:p>
        </w:tc>
      </w:tr>
      <w:tr w:rsidR="00D135EC" w:rsidRPr="00D135EC" w14:paraId="3F8B387B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736BFEDE" w14:textId="77777777" w:rsidR="00D135EC" w:rsidRPr="00D135EC" w:rsidRDefault="00D135EC" w:rsidP="00D135EC">
            <w:r w:rsidRPr="00D135EC">
              <w:lastRenderedPageBreak/>
              <w:t>Mise en place des métriques observables</w:t>
            </w:r>
          </w:p>
        </w:tc>
        <w:tc>
          <w:tcPr>
            <w:tcW w:w="2346" w:type="dxa"/>
            <w:vAlign w:val="center"/>
            <w:hideMark/>
          </w:tcPr>
          <w:p w14:paraId="111D7340" w14:textId="77777777" w:rsidR="00D135EC" w:rsidRPr="00D135EC" w:rsidRDefault="00D135EC" w:rsidP="00D135EC">
            <w:r w:rsidRPr="00D135EC">
              <w:t>DevOps / Tech Lead</w:t>
            </w:r>
          </w:p>
        </w:tc>
        <w:tc>
          <w:tcPr>
            <w:tcW w:w="3958" w:type="dxa"/>
            <w:vAlign w:val="center"/>
            <w:hideMark/>
          </w:tcPr>
          <w:p w14:paraId="31DB279B" w14:textId="77777777" w:rsidR="00D135EC" w:rsidRPr="00D135EC" w:rsidRDefault="00D135EC" w:rsidP="00D135EC">
            <w:r w:rsidRPr="00D135EC">
              <w:t>Dashboard live opérationnel</w:t>
            </w:r>
          </w:p>
        </w:tc>
      </w:tr>
      <w:tr w:rsidR="00D135EC" w:rsidRPr="00D135EC" w14:paraId="414046E2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5B0291FC" w14:textId="77777777" w:rsidR="00D135EC" w:rsidRPr="00D135EC" w:rsidRDefault="00D135EC" w:rsidP="00D135EC">
            <w:r w:rsidRPr="00D135EC">
              <w:t xml:space="preserve">Capacité à déployer sans </w:t>
            </w:r>
            <w:proofErr w:type="spellStart"/>
            <w:r w:rsidRPr="00D135EC">
              <w:t>downtime</w:t>
            </w:r>
            <w:proofErr w:type="spellEnd"/>
          </w:p>
        </w:tc>
        <w:tc>
          <w:tcPr>
            <w:tcW w:w="2346" w:type="dxa"/>
            <w:vAlign w:val="center"/>
            <w:hideMark/>
          </w:tcPr>
          <w:p w14:paraId="0CA75F72" w14:textId="77777777" w:rsidR="00D135EC" w:rsidRPr="00D135EC" w:rsidRDefault="00D135EC" w:rsidP="00D135EC">
            <w:r w:rsidRPr="00D135EC">
              <w:t>DevOps / PO</w:t>
            </w:r>
          </w:p>
        </w:tc>
        <w:tc>
          <w:tcPr>
            <w:tcW w:w="3958" w:type="dxa"/>
            <w:vAlign w:val="center"/>
            <w:hideMark/>
          </w:tcPr>
          <w:p w14:paraId="0C05454D" w14:textId="77777777" w:rsidR="00D135EC" w:rsidRPr="00D135EC" w:rsidRDefault="00D135EC" w:rsidP="00D135EC">
            <w:r w:rsidRPr="00D135EC">
              <w:t>Taux de déploiement à chaud ≥ 90 %</w:t>
            </w:r>
          </w:p>
        </w:tc>
      </w:tr>
    </w:tbl>
    <w:p w14:paraId="1A3356D9" w14:textId="7F63EF6C" w:rsidR="00353054" w:rsidRDefault="00072AB9" w:rsidP="00353054">
      <w:r w:rsidRPr="00072AB9">
        <w:t>Ces accords peuvent faire l’objet d’ajustements à chaque jalon MVP ou en cas de changement de contexte (nouvelle infrastructure, montée en charge imprévue…).</w:t>
      </w:r>
    </w:p>
    <w:p w14:paraId="365179AF" w14:textId="5B8E8D61" w:rsidR="009E3E73" w:rsidRPr="006E624C" w:rsidRDefault="006E624C" w:rsidP="00353054">
      <w:pPr>
        <w:rPr>
          <w:b/>
          <w:bCs/>
        </w:rPr>
      </w:pPr>
      <w:r w:rsidRPr="006E624C">
        <w:rPr>
          <w:b/>
          <w:bCs/>
        </w:rPr>
        <w:t>Révision du contrat :</w:t>
      </w:r>
    </w:p>
    <w:p w14:paraId="5805CF25" w14:textId="77777777" w:rsidR="006E624C" w:rsidRPr="006E624C" w:rsidRDefault="006E624C" w:rsidP="006E624C">
      <w:r w:rsidRPr="006E624C">
        <w:t xml:space="preserve">Ce contrat pourra faire l’objet de </w:t>
      </w:r>
      <w:r w:rsidRPr="006E624C">
        <w:rPr>
          <w:b/>
          <w:bCs/>
        </w:rPr>
        <w:t>modifications ou d’avenants</w:t>
      </w:r>
      <w:r w:rsidRPr="006E624C">
        <w:t xml:space="preserve"> dans les cas suivants :</w:t>
      </w:r>
    </w:p>
    <w:p w14:paraId="71E897FA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Changement stratégique ou priorités business impactant la cible d’architecture,</w:t>
      </w:r>
    </w:p>
    <w:p w14:paraId="031B5459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Évolution réglementaire (ex. RGPD, sécurité),</w:t>
      </w:r>
    </w:p>
    <w:p w14:paraId="4A7F9DFE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Élargissement du périmètre fonctionnel ou technique initialement couvert,</w:t>
      </w:r>
    </w:p>
    <w:p w14:paraId="1CDCF3F1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Arrivée de nouvelles parties prenantes avec responsabilités d’adoption.</w:t>
      </w:r>
    </w:p>
    <w:p w14:paraId="638726C9" w14:textId="77777777" w:rsidR="006E624C" w:rsidRPr="006E624C" w:rsidRDefault="006E624C" w:rsidP="006E624C">
      <w:r w:rsidRPr="006E624C">
        <w:t>Toute révision sera :</w:t>
      </w:r>
    </w:p>
    <w:p w14:paraId="52E7DCBD" w14:textId="77777777" w:rsidR="006E624C" w:rsidRPr="006E624C" w:rsidRDefault="006E624C" w:rsidP="006E624C">
      <w:pPr>
        <w:numPr>
          <w:ilvl w:val="0"/>
          <w:numId w:val="19"/>
        </w:numPr>
      </w:pPr>
      <w:proofErr w:type="gramStart"/>
      <w:r w:rsidRPr="006E624C">
        <w:rPr>
          <w:b/>
          <w:bCs/>
        </w:rPr>
        <w:t>documentée</w:t>
      </w:r>
      <w:proofErr w:type="gramEnd"/>
      <w:r w:rsidRPr="006E624C">
        <w:t xml:space="preserve"> dans une nouvelle version de ce document (ex. v1.1, v2.0),</w:t>
      </w:r>
    </w:p>
    <w:p w14:paraId="240C11D5" w14:textId="77777777" w:rsidR="006E624C" w:rsidRPr="006E624C" w:rsidRDefault="006E624C" w:rsidP="006E624C">
      <w:pPr>
        <w:numPr>
          <w:ilvl w:val="0"/>
          <w:numId w:val="19"/>
        </w:numPr>
      </w:pPr>
      <w:proofErr w:type="gramStart"/>
      <w:r w:rsidRPr="006E624C">
        <w:rPr>
          <w:b/>
          <w:bCs/>
        </w:rPr>
        <w:t>soumise</w:t>
      </w:r>
      <w:proofErr w:type="gramEnd"/>
      <w:r w:rsidRPr="006E624C">
        <w:rPr>
          <w:b/>
          <w:bCs/>
        </w:rPr>
        <w:t xml:space="preserve"> à relecture et signature</w:t>
      </w:r>
      <w:r w:rsidRPr="006E624C">
        <w:t xml:space="preserve"> par les parties concernées.</w:t>
      </w:r>
    </w:p>
    <w:p w14:paraId="5A7DC8A2" w14:textId="0E6B64E1" w:rsidR="006E624C" w:rsidRPr="00353054" w:rsidRDefault="006E624C" w:rsidP="00353054">
      <w:r w:rsidRPr="006E624C">
        <w:t>Un point de révision officiel est prévu à la date indiquée en section 7.</w:t>
      </w:r>
    </w:p>
    <w:p w14:paraId="31BA4EB2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4" w:name="_Toc206615141"/>
      <w:r>
        <w:t>Personnes approuvant ce plan</w:t>
      </w:r>
      <w:bookmarkEnd w:id="14"/>
    </w:p>
    <w:p w14:paraId="1987B8A3" w14:textId="77777777" w:rsidR="00E72943" w:rsidRPr="00E72943" w:rsidRDefault="00E72943" w:rsidP="00E72943">
      <w:r w:rsidRPr="00E72943">
        <w:t xml:space="preserve">Les personnes ci-dessous reconnaissent avoir examiné, compris et accepté le contenu du présent contrat d’architecture. Leur signature engage </w:t>
      </w:r>
      <w:proofErr w:type="gramStart"/>
      <w:r w:rsidRPr="00E72943">
        <w:t>leur fonction sur</w:t>
      </w:r>
      <w:proofErr w:type="gramEnd"/>
      <w:r w:rsidRPr="00E72943">
        <w:t xml:space="preserve"> :</w:t>
      </w:r>
    </w:p>
    <w:p w14:paraId="06C2F699" w14:textId="77777777" w:rsidR="00E72943" w:rsidRPr="00E72943" w:rsidRDefault="00E72943" w:rsidP="00E72943">
      <w:pPr>
        <w:numPr>
          <w:ilvl w:val="0"/>
          <w:numId w:val="17"/>
        </w:numPr>
      </w:pPr>
      <w:proofErr w:type="gramStart"/>
      <w:r w:rsidRPr="00E72943">
        <w:t>l’</w:t>
      </w:r>
      <w:r w:rsidRPr="00E72943">
        <w:rPr>
          <w:b/>
          <w:bCs/>
        </w:rPr>
        <w:t>adoption</w:t>
      </w:r>
      <w:proofErr w:type="gramEnd"/>
      <w:r w:rsidRPr="00E72943">
        <w:t xml:space="preserve"> de l’architecture proposée,</w:t>
      </w:r>
    </w:p>
    <w:p w14:paraId="007AF399" w14:textId="77777777" w:rsidR="00E72943" w:rsidRPr="00E72943" w:rsidRDefault="00E72943" w:rsidP="00E72943">
      <w:pPr>
        <w:numPr>
          <w:ilvl w:val="0"/>
          <w:numId w:val="17"/>
        </w:numPr>
      </w:pPr>
      <w:proofErr w:type="gramStart"/>
      <w:r w:rsidRPr="00E72943">
        <w:t>la</w:t>
      </w:r>
      <w:proofErr w:type="gramEnd"/>
      <w:r w:rsidRPr="00E72943">
        <w:t xml:space="preserve"> </w:t>
      </w:r>
      <w:r w:rsidRPr="00E72943">
        <w:rPr>
          <w:b/>
          <w:bCs/>
        </w:rPr>
        <w:t>collaboration active</w:t>
      </w:r>
      <w:r w:rsidRPr="00E72943">
        <w:t xml:space="preserve"> pendant sa mise en œuvre,</w:t>
      </w:r>
    </w:p>
    <w:p w14:paraId="07DFE7E9" w14:textId="77777777" w:rsidR="00E72943" w:rsidRPr="00E72943" w:rsidRDefault="00E72943" w:rsidP="00E72943">
      <w:pPr>
        <w:numPr>
          <w:ilvl w:val="0"/>
          <w:numId w:val="17"/>
        </w:numPr>
      </w:pPr>
      <w:proofErr w:type="gramStart"/>
      <w:r w:rsidRPr="00E72943">
        <w:t>la</w:t>
      </w:r>
      <w:proofErr w:type="gramEnd"/>
      <w:r w:rsidRPr="00E72943">
        <w:t xml:space="preserve"> </w:t>
      </w:r>
      <w:r w:rsidRPr="00E72943">
        <w:rPr>
          <w:b/>
          <w:bCs/>
        </w:rPr>
        <w:t>validation de ses livrables</w:t>
      </w:r>
      <w:r w:rsidRPr="00E72943">
        <w:t xml:space="preserve"> au regard des exigences business et techniques.</w:t>
      </w:r>
    </w:p>
    <w:p w14:paraId="0B55F49D" w14:textId="7ED5112A" w:rsidR="006D5576" w:rsidRPr="00E72943" w:rsidRDefault="00E72943">
      <w:pPr>
        <w:rPr>
          <w:b/>
          <w:bCs/>
        </w:rPr>
      </w:pPr>
      <w:r w:rsidRPr="00E72943">
        <w:rPr>
          <w:b/>
          <w:bCs/>
        </w:rPr>
        <w:t>Tableau des signatures :</w:t>
      </w:r>
    </w:p>
    <w:tbl>
      <w:tblPr>
        <w:tblW w:w="11057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Look w:val="04A0" w:firstRow="1" w:lastRow="0" w:firstColumn="1" w:lastColumn="0" w:noHBand="0" w:noVBand="1"/>
      </w:tblPr>
      <w:tblGrid>
        <w:gridCol w:w="1843"/>
        <w:gridCol w:w="3260"/>
        <w:gridCol w:w="1560"/>
        <w:gridCol w:w="2693"/>
        <w:gridCol w:w="1701"/>
      </w:tblGrid>
      <w:tr w:rsidR="00480F60" w:rsidRPr="00480F60" w14:paraId="43A4DDCD" w14:textId="77777777">
        <w:trPr>
          <w:tblHeader/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F0DFF" w14:textId="77777777" w:rsidR="00480F60" w:rsidRPr="00480F60" w:rsidRDefault="00480F60" w:rsidP="00480F60">
            <w:pPr>
              <w:rPr>
                <w:b/>
                <w:bCs/>
              </w:rPr>
            </w:pPr>
            <w:r w:rsidRPr="00480F60">
              <w:rPr>
                <w:b/>
                <w:bCs/>
              </w:rPr>
              <w:t>Nom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8D4DE" w14:textId="77777777" w:rsidR="00480F60" w:rsidRPr="00480F60" w:rsidRDefault="00480F60" w:rsidP="00480F60">
            <w:pPr>
              <w:rPr>
                <w:b/>
                <w:bCs/>
              </w:rPr>
            </w:pPr>
            <w:r w:rsidRPr="00480F60">
              <w:rPr>
                <w:b/>
                <w:bCs/>
              </w:rPr>
              <w:t>Fonction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B0B69" w14:textId="77777777" w:rsidR="00480F60" w:rsidRPr="00480F60" w:rsidRDefault="00480F60" w:rsidP="00480F60">
            <w:pPr>
              <w:rPr>
                <w:b/>
                <w:bCs/>
              </w:rPr>
            </w:pPr>
            <w:r w:rsidRPr="00480F60">
              <w:rPr>
                <w:b/>
                <w:bCs/>
              </w:rPr>
              <w:t>Organisation</w:t>
            </w:r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18EEB" w14:textId="77777777" w:rsidR="00480F60" w:rsidRPr="00480F60" w:rsidRDefault="00480F60" w:rsidP="00480F60">
            <w:pPr>
              <w:rPr>
                <w:b/>
                <w:bCs/>
              </w:rPr>
            </w:pPr>
            <w:r w:rsidRPr="00480F60">
              <w:rPr>
                <w:b/>
                <w:bCs/>
              </w:rPr>
              <w:t>Signature</w:t>
            </w:r>
          </w:p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48F28" w14:textId="77777777" w:rsidR="00480F60" w:rsidRPr="00480F60" w:rsidRDefault="00480F60" w:rsidP="00480F60">
            <w:pPr>
              <w:rPr>
                <w:b/>
                <w:bCs/>
              </w:rPr>
            </w:pPr>
            <w:r w:rsidRPr="00480F60">
              <w:rPr>
                <w:b/>
                <w:bCs/>
              </w:rPr>
              <w:t>Date</w:t>
            </w:r>
          </w:p>
        </w:tc>
      </w:tr>
      <w:tr w:rsidR="00480F60" w:rsidRPr="00480F60" w14:paraId="4E73BA85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DDED5F" w14:textId="77777777" w:rsidR="00480F60" w:rsidRPr="00480F60" w:rsidRDefault="00480F60" w:rsidP="00480F60">
            <w:r w:rsidRPr="00480F60">
              <w:t>Hedi Dhib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81E92" w14:textId="77777777" w:rsidR="00480F60" w:rsidRPr="00480F60" w:rsidRDefault="00480F60" w:rsidP="00480F60">
            <w:r w:rsidRPr="00480F60">
              <w:t>Architecte Logiciel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97E57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08508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C4AF0" w14:textId="77777777" w:rsidR="00480F60" w:rsidRPr="00480F60" w:rsidRDefault="00480F60" w:rsidP="00480F60">
            <w:r w:rsidRPr="00480F60">
              <w:t>19/08/2025</w:t>
            </w:r>
          </w:p>
        </w:tc>
      </w:tr>
      <w:tr w:rsidR="00480F60" w:rsidRPr="00480F60" w14:paraId="49B98648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7585B" w14:textId="77777777" w:rsidR="00480F60" w:rsidRPr="00480F60" w:rsidRDefault="00480F60" w:rsidP="00480F60">
            <w:r w:rsidRPr="00480F60">
              <w:t xml:space="preserve">Ash </w:t>
            </w:r>
            <w:proofErr w:type="spellStart"/>
            <w:r w:rsidRPr="00480F60">
              <w:t>Callum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5854F" w14:textId="77777777" w:rsidR="00480F60" w:rsidRPr="00480F60" w:rsidRDefault="00480F60" w:rsidP="00480F60">
            <w:r w:rsidRPr="00480F60">
              <w:t xml:space="preserve">Chief </w:t>
            </w:r>
            <w:proofErr w:type="spellStart"/>
            <w:r w:rsidRPr="00480F60">
              <w:t>Executive</w:t>
            </w:r>
            <w:proofErr w:type="spellEnd"/>
            <w:r w:rsidRPr="00480F60">
              <w:t xml:space="preserve"> </w:t>
            </w:r>
            <w:proofErr w:type="spellStart"/>
            <w:r w:rsidRPr="00480F60">
              <w:t>Officer</w:t>
            </w:r>
            <w:proofErr w:type="spellEnd"/>
            <w:r w:rsidRPr="00480F60">
              <w:t xml:space="preserve"> (CEO)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7F0E7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1B983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6D080" w14:textId="77777777" w:rsidR="00480F60" w:rsidRPr="00480F60" w:rsidRDefault="00480F60" w:rsidP="00480F60"/>
        </w:tc>
      </w:tr>
      <w:tr w:rsidR="00480F60" w:rsidRPr="00480F60" w14:paraId="4563B384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15271" w14:textId="77777777" w:rsidR="00480F60" w:rsidRPr="00480F60" w:rsidRDefault="00480F60" w:rsidP="00480F60">
            <w:r w:rsidRPr="00480F60">
              <w:lastRenderedPageBreak/>
              <w:t xml:space="preserve">Natasha </w:t>
            </w:r>
            <w:proofErr w:type="spellStart"/>
            <w:r w:rsidRPr="00480F60">
              <w:t>Jarson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4B488" w14:textId="77777777" w:rsidR="00480F60" w:rsidRPr="00480F60" w:rsidRDefault="00480F60" w:rsidP="00480F60">
            <w:r w:rsidRPr="00480F60">
              <w:t xml:space="preserve">Chief Information </w:t>
            </w:r>
            <w:proofErr w:type="spellStart"/>
            <w:r w:rsidRPr="00480F60">
              <w:t>Officer</w:t>
            </w:r>
            <w:proofErr w:type="spellEnd"/>
            <w:r w:rsidRPr="00480F60">
              <w:t xml:space="preserve"> (CIO)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EAC6F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9EECD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AE518" w14:textId="77777777" w:rsidR="00480F60" w:rsidRPr="00480F60" w:rsidRDefault="00480F60" w:rsidP="00480F60"/>
        </w:tc>
      </w:tr>
      <w:tr w:rsidR="00480F60" w:rsidRPr="00480F60" w14:paraId="2B477C01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ABB14" w14:textId="77777777" w:rsidR="00480F60" w:rsidRPr="00480F60" w:rsidRDefault="00480F60" w:rsidP="00480F60">
            <w:r w:rsidRPr="00480F60">
              <w:t>Daniel Anthony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7A5DC" w14:textId="77777777" w:rsidR="00480F60" w:rsidRPr="00480F60" w:rsidRDefault="00480F60" w:rsidP="00480F60">
            <w:r w:rsidRPr="00480F60">
              <w:t xml:space="preserve">Chief Product </w:t>
            </w:r>
            <w:proofErr w:type="spellStart"/>
            <w:r w:rsidRPr="00480F60">
              <w:t>Officer</w:t>
            </w:r>
            <w:proofErr w:type="spellEnd"/>
            <w:r w:rsidRPr="00480F60">
              <w:t xml:space="preserve"> (CPO)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2E095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E911E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1EF55" w14:textId="77777777" w:rsidR="00480F60" w:rsidRPr="00480F60" w:rsidRDefault="00480F60" w:rsidP="00480F60"/>
        </w:tc>
      </w:tr>
      <w:tr w:rsidR="00480F60" w:rsidRPr="00480F60" w14:paraId="1AB33D2F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D00F6" w14:textId="77777777" w:rsidR="00480F60" w:rsidRPr="00480F60" w:rsidRDefault="00480F60" w:rsidP="00480F60">
            <w:r w:rsidRPr="00480F60">
              <w:t xml:space="preserve">Christina </w:t>
            </w:r>
            <w:proofErr w:type="spellStart"/>
            <w:r w:rsidRPr="00480F60">
              <w:t>Orgega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ACBF7" w14:textId="77777777" w:rsidR="00480F60" w:rsidRPr="00480F60" w:rsidRDefault="00480F60" w:rsidP="00480F60">
            <w:r w:rsidRPr="00480F60">
              <w:t xml:space="preserve">Chief Marketing </w:t>
            </w:r>
            <w:proofErr w:type="spellStart"/>
            <w:r w:rsidRPr="00480F60">
              <w:t>Officer</w:t>
            </w:r>
            <w:proofErr w:type="spellEnd"/>
            <w:r w:rsidRPr="00480F60">
              <w:t xml:space="preserve"> (CMO)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F7A1B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C1A33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5FFCD" w14:textId="77777777" w:rsidR="00480F60" w:rsidRPr="00480F60" w:rsidRDefault="00480F60" w:rsidP="00480F60"/>
        </w:tc>
      </w:tr>
      <w:tr w:rsidR="00480F60" w:rsidRPr="00480F60" w14:paraId="50B70D46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EE227" w14:textId="77777777" w:rsidR="00480F60" w:rsidRPr="00480F60" w:rsidRDefault="00480F60" w:rsidP="00480F60">
            <w:r w:rsidRPr="00480F60">
              <w:t>Jo Kumar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76E735" w14:textId="77777777" w:rsidR="00480F60" w:rsidRPr="00480F60" w:rsidRDefault="00480F60" w:rsidP="00480F60">
            <w:r w:rsidRPr="00480F60">
              <w:t xml:space="preserve">Chief Financial </w:t>
            </w:r>
            <w:proofErr w:type="spellStart"/>
            <w:r w:rsidRPr="00480F60">
              <w:t>Officer</w:t>
            </w:r>
            <w:proofErr w:type="spellEnd"/>
            <w:r w:rsidRPr="00480F60">
              <w:t xml:space="preserve"> (CFO)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0AB73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E5AC2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C813E" w14:textId="77777777" w:rsidR="00480F60" w:rsidRPr="00480F60" w:rsidRDefault="00480F60" w:rsidP="00480F60"/>
        </w:tc>
      </w:tr>
      <w:tr w:rsidR="00480F60" w:rsidRPr="00480F60" w14:paraId="12CE98B4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52A0C" w14:textId="77777777" w:rsidR="00480F60" w:rsidRPr="00480F60" w:rsidRDefault="00480F60" w:rsidP="00480F60">
            <w:r w:rsidRPr="00480F60">
              <w:t>Pete Parker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AACC41" w14:textId="77777777" w:rsidR="00480F60" w:rsidRPr="00480F60" w:rsidRDefault="00480F60" w:rsidP="00480F60">
            <w:r w:rsidRPr="00480F60">
              <w:t xml:space="preserve">Engineering </w:t>
            </w:r>
            <w:proofErr w:type="spellStart"/>
            <w:r w:rsidRPr="00480F60">
              <w:t>Owner</w:t>
            </w:r>
            <w:proofErr w:type="spellEnd"/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A8E70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73AB3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3C0F8" w14:textId="77777777" w:rsidR="00480F60" w:rsidRPr="00480F60" w:rsidRDefault="00480F60" w:rsidP="00480F60"/>
        </w:tc>
      </w:tr>
      <w:tr w:rsidR="00480F60" w:rsidRPr="00480F60" w14:paraId="569C4FD5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4E41F" w14:textId="77777777" w:rsidR="00480F60" w:rsidRPr="00480F60" w:rsidRDefault="00480F60" w:rsidP="00480F60">
            <w:r w:rsidRPr="00480F60">
              <w:t xml:space="preserve">Jack </w:t>
            </w:r>
            <w:proofErr w:type="spellStart"/>
            <w:r w:rsidRPr="00480F60">
              <w:t>Harkner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02B9E" w14:textId="77777777" w:rsidR="00480F60" w:rsidRPr="00480F60" w:rsidRDefault="00480F60" w:rsidP="00480F60">
            <w:r w:rsidRPr="00480F60">
              <w:t>Operations Lead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60247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201E9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01040" w14:textId="77777777" w:rsidR="00480F60" w:rsidRPr="00480F60" w:rsidRDefault="00480F60" w:rsidP="00480F60"/>
        </w:tc>
      </w:tr>
    </w:tbl>
    <w:p w14:paraId="5D0DDCBC" w14:textId="77777777" w:rsidR="00BA64D7" w:rsidRDefault="00BA64D7"/>
    <w:p w14:paraId="601178ED" w14:textId="792A0BA6" w:rsidR="00E72943" w:rsidRDefault="006F1A8D">
      <w:r w:rsidRPr="006F1A8D">
        <w:t xml:space="preserve">Ce tableau peut être intégré dans un outil de signature électronique (DocuSign, </w:t>
      </w:r>
      <w:proofErr w:type="spellStart"/>
      <w:r w:rsidRPr="006F1A8D">
        <w:t>Yousign</w:t>
      </w:r>
      <w:proofErr w:type="spellEnd"/>
      <w:r w:rsidRPr="006F1A8D">
        <w:t xml:space="preserve">) ou versionné dans Git pour </w:t>
      </w:r>
      <w:proofErr w:type="spellStart"/>
      <w:r w:rsidRPr="006F1A8D">
        <w:t>auditabilité</w:t>
      </w:r>
      <w:proofErr w:type="spellEnd"/>
      <w:r w:rsidRPr="006F1A8D">
        <w:t>.</w:t>
      </w:r>
    </w:p>
    <w:p w14:paraId="11CFD24C" w14:textId="77777777" w:rsidR="00BA64D7" w:rsidRDefault="00BA64D7"/>
    <w:p w14:paraId="20506512" w14:textId="77777777" w:rsidR="00BA64D7" w:rsidRDefault="00BA64D7"/>
    <w:p w14:paraId="4DC482C3" w14:textId="77777777" w:rsidR="00BA64D7" w:rsidRDefault="00BA64D7"/>
    <w:p w14:paraId="5A7EF3F3" w14:textId="0CC5C6E7" w:rsidR="00BA64D7" w:rsidRPr="00BA64D7" w:rsidRDefault="00BA64D7">
      <w:pPr>
        <w:rPr>
          <w:b/>
          <w:bCs/>
        </w:rPr>
      </w:pPr>
      <w:r w:rsidRPr="00BA64D7">
        <w:rPr>
          <w:b/>
          <w:bCs/>
        </w:rPr>
        <w:t>Annexe A – Glossaire des acronymes :</w:t>
      </w:r>
    </w:p>
    <w:tbl>
      <w:tblPr>
        <w:tblW w:w="10774" w:type="dxa"/>
        <w:tblCellSpacing w:w="15" w:type="dxa"/>
        <w:tblInd w:w="-856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8789"/>
      </w:tblGrid>
      <w:tr w:rsidR="00BA64D7" w:rsidRPr="00BA64D7" w14:paraId="3C96ADBE" w14:textId="77777777" w:rsidTr="00BA64D7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21614BDB" w14:textId="77777777" w:rsidR="00BA64D7" w:rsidRPr="00BA64D7" w:rsidRDefault="00BA64D7" w:rsidP="00BA64D7">
            <w:pPr>
              <w:jc w:val="center"/>
              <w:rPr>
                <w:b/>
                <w:bCs/>
              </w:rPr>
            </w:pPr>
            <w:r w:rsidRPr="00BA64D7">
              <w:rPr>
                <w:b/>
                <w:bCs/>
              </w:rPr>
              <w:t>Acronyme</w:t>
            </w:r>
          </w:p>
        </w:tc>
        <w:tc>
          <w:tcPr>
            <w:tcW w:w="8744" w:type="dxa"/>
            <w:vAlign w:val="center"/>
            <w:hideMark/>
          </w:tcPr>
          <w:p w14:paraId="2CA7CE00" w14:textId="77777777" w:rsidR="00BA64D7" w:rsidRPr="00BA64D7" w:rsidRDefault="00BA64D7" w:rsidP="00BA64D7">
            <w:pPr>
              <w:jc w:val="center"/>
              <w:rPr>
                <w:b/>
                <w:bCs/>
              </w:rPr>
            </w:pPr>
            <w:r w:rsidRPr="00BA64D7">
              <w:rPr>
                <w:b/>
                <w:bCs/>
              </w:rPr>
              <w:t>Définition</w:t>
            </w:r>
          </w:p>
        </w:tc>
      </w:tr>
      <w:tr w:rsidR="00BA64D7" w:rsidRPr="00BA64D7" w14:paraId="645ADD32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B942065" w14:textId="77777777" w:rsidR="00BA64D7" w:rsidRPr="00BA64D7" w:rsidRDefault="00BA64D7" w:rsidP="00BA64D7">
            <w:r w:rsidRPr="00BA64D7">
              <w:rPr>
                <w:b/>
                <w:bCs/>
              </w:rPr>
              <w:t>ADR</w:t>
            </w:r>
          </w:p>
        </w:tc>
        <w:tc>
          <w:tcPr>
            <w:tcW w:w="8744" w:type="dxa"/>
            <w:vAlign w:val="center"/>
            <w:hideMark/>
          </w:tcPr>
          <w:p w14:paraId="7CABC2BE" w14:textId="77777777" w:rsidR="00BA64D7" w:rsidRPr="00BA64D7" w:rsidRDefault="00BA64D7" w:rsidP="00BA64D7">
            <w:r w:rsidRPr="00BA64D7">
              <w:t xml:space="preserve">Architecture </w:t>
            </w:r>
            <w:proofErr w:type="spellStart"/>
            <w:r w:rsidRPr="00BA64D7">
              <w:t>Decision</w:t>
            </w:r>
            <w:proofErr w:type="spellEnd"/>
            <w:r w:rsidRPr="00BA64D7">
              <w:t xml:space="preserve"> Record (décision d’architecture documentée)</w:t>
            </w:r>
          </w:p>
        </w:tc>
      </w:tr>
      <w:tr w:rsidR="00BA64D7" w:rsidRPr="00BA64D7" w14:paraId="2F699A03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CE4AFD8" w14:textId="77777777" w:rsidR="00BA64D7" w:rsidRPr="00BA64D7" w:rsidRDefault="00BA64D7" w:rsidP="00BA64D7">
            <w:r w:rsidRPr="00BA64D7">
              <w:rPr>
                <w:b/>
                <w:bCs/>
              </w:rPr>
              <w:t>API</w:t>
            </w:r>
          </w:p>
        </w:tc>
        <w:tc>
          <w:tcPr>
            <w:tcW w:w="8744" w:type="dxa"/>
            <w:vAlign w:val="center"/>
            <w:hideMark/>
          </w:tcPr>
          <w:p w14:paraId="3C3A9B6E" w14:textId="77777777" w:rsidR="00BA64D7" w:rsidRPr="00BA64D7" w:rsidRDefault="00BA64D7" w:rsidP="00BA64D7">
            <w:r w:rsidRPr="00BA64D7">
              <w:t xml:space="preserve">Application </w:t>
            </w:r>
            <w:proofErr w:type="spellStart"/>
            <w:r w:rsidRPr="00BA64D7">
              <w:t>Programming</w:t>
            </w:r>
            <w:proofErr w:type="spellEnd"/>
            <w:r w:rsidRPr="00BA64D7">
              <w:t xml:space="preserve"> Interface</w:t>
            </w:r>
          </w:p>
        </w:tc>
      </w:tr>
      <w:tr w:rsidR="00BA64D7" w:rsidRPr="00BA64D7" w14:paraId="62077E68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14630C6" w14:textId="77777777" w:rsidR="00BA64D7" w:rsidRPr="00BA64D7" w:rsidRDefault="00BA64D7" w:rsidP="00BA64D7">
            <w:r w:rsidRPr="00BA64D7">
              <w:rPr>
                <w:b/>
                <w:bCs/>
              </w:rPr>
              <w:t>CI/CD</w:t>
            </w:r>
          </w:p>
        </w:tc>
        <w:tc>
          <w:tcPr>
            <w:tcW w:w="8744" w:type="dxa"/>
            <w:vAlign w:val="center"/>
            <w:hideMark/>
          </w:tcPr>
          <w:p w14:paraId="7CC9BA92" w14:textId="77777777" w:rsidR="00BA64D7" w:rsidRPr="00BA64D7" w:rsidRDefault="00BA64D7" w:rsidP="00BA64D7">
            <w:proofErr w:type="spellStart"/>
            <w:r w:rsidRPr="00BA64D7">
              <w:t>Continuous</w:t>
            </w:r>
            <w:proofErr w:type="spellEnd"/>
            <w:r w:rsidRPr="00BA64D7">
              <w:t xml:space="preserve"> </w:t>
            </w:r>
            <w:proofErr w:type="spellStart"/>
            <w:r w:rsidRPr="00BA64D7">
              <w:t>Integration</w:t>
            </w:r>
            <w:proofErr w:type="spellEnd"/>
            <w:r w:rsidRPr="00BA64D7">
              <w:t xml:space="preserve"> / </w:t>
            </w:r>
            <w:proofErr w:type="spellStart"/>
            <w:r w:rsidRPr="00BA64D7">
              <w:t>Continuous</w:t>
            </w:r>
            <w:proofErr w:type="spellEnd"/>
            <w:r w:rsidRPr="00BA64D7">
              <w:t xml:space="preserve"> </w:t>
            </w:r>
            <w:proofErr w:type="spellStart"/>
            <w:r w:rsidRPr="00BA64D7">
              <w:t>Deployment</w:t>
            </w:r>
            <w:proofErr w:type="spellEnd"/>
          </w:p>
        </w:tc>
      </w:tr>
      <w:tr w:rsidR="00BA64D7" w:rsidRPr="00BA64D7" w14:paraId="383B4D30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4893B77" w14:textId="77777777" w:rsidR="00BA64D7" w:rsidRPr="00BA64D7" w:rsidRDefault="00BA64D7" w:rsidP="00BA64D7">
            <w:r w:rsidRPr="00BA64D7">
              <w:rPr>
                <w:b/>
                <w:bCs/>
              </w:rPr>
              <w:t>DPO</w:t>
            </w:r>
          </w:p>
        </w:tc>
        <w:tc>
          <w:tcPr>
            <w:tcW w:w="8744" w:type="dxa"/>
            <w:vAlign w:val="center"/>
            <w:hideMark/>
          </w:tcPr>
          <w:p w14:paraId="2FBB1C59" w14:textId="77777777" w:rsidR="00BA64D7" w:rsidRPr="00BA64D7" w:rsidRDefault="00BA64D7" w:rsidP="00BA64D7">
            <w:r w:rsidRPr="00BA64D7">
              <w:t xml:space="preserve">Data Protection </w:t>
            </w:r>
            <w:proofErr w:type="spellStart"/>
            <w:r w:rsidRPr="00BA64D7">
              <w:t>Officer</w:t>
            </w:r>
            <w:proofErr w:type="spellEnd"/>
            <w:r w:rsidRPr="00BA64D7">
              <w:t xml:space="preserve"> (délégué à la protection des données)</w:t>
            </w:r>
          </w:p>
        </w:tc>
      </w:tr>
      <w:tr w:rsidR="00BA64D7" w:rsidRPr="00BA64D7" w14:paraId="43FDBFE8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60CEF85" w14:textId="77777777" w:rsidR="00BA64D7" w:rsidRPr="00BA64D7" w:rsidRDefault="00BA64D7" w:rsidP="00BA64D7">
            <w:r w:rsidRPr="00BA64D7">
              <w:rPr>
                <w:b/>
                <w:bCs/>
              </w:rPr>
              <w:t>MVP</w:t>
            </w:r>
          </w:p>
        </w:tc>
        <w:tc>
          <w:tcPr>
            <w:tcW w:w="8744" w:type="dxa"/>
            <w:vAlign w:val="center"/>
            <w:hideMark/>
          </w:tcPr>
          <w:p w14:paraId="494DAD4A" w14:textId="77777777" w:rsidR="00BA64D7" w:rsidRPr="00BA64D7" w:rsidRDefault="00BA64D7" w:rsidP="00BA64D7">
            <w:r w:rsidRPr="00BA64D7">
              <w:t>Minimum Viable Product</w:t>
            </w:r>
          </w:p>
        </w:tc>
      </w:tr>
      <w:tr w:rsidR="00BA64D7" w:rsidRPr="00BA64D7" w14:paraId="2F28A9CD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8B800D1" w14:textId="77777777" w:rsidR="00BA64D7" w:rsidRPr="00BA64D7" w:rsidRDefault="00BA64D7" w:rsidP="00BA64D7">
            <w:r w:rsidRPr="00BA64D7">
              <w:rPr>
                <w:b/>
                <w:bCs/>
              </w:rPr>
              <w:t>PO</w:t>
            </w:r>
          </w:p>
        </w:tc>
        <w:tc>
          <w:tcPr>
            <w:tcW w:w="8744" w:type="dxa"/>
            <w:vAlign w:val="center"/>
            <w:hideMark/>
          </w:tcPr>
          <w:p w14:paraId="46045473" w14:textId="77777777" w:rsidR="00BA64D7" w:rsidRPr="00BA64D7" w:rsidRDefault="00BA64D7" w:rsidP="00BA64D7">
            <w:r w:rsidRPr="00BA64D7">
              <w:t xml:space="preserve">Product </w:t>
            </w:r>
            <w:proofErr w:type="spellStart"/>
            <w:r w:rsidRPr="00BA64D7">
              <w:t>Owner</w:t>
            </w:r>
            <w:proofErr w:type="spellEnd"/>
          </w:p>
        </w:tc>
      </w:tr>
      <w:tr w:rsidR="00BA64D7" w:rsidRPr="00BA64D7" w14:paraId="4799577C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606F823" w14:textId="77777777" w:rsidR="00BA64D7" w:rsidRPr="00BA64D7" w:rsidRDefault="00BA64D7" w:rsidP="00BA64D7">
            <w:r w:rsidRPr="00BA64D7">
              <w:rPr>
                <w:b/>
                <w:bCs/>
              </w:rPr>
              <w:t>SLA / ANS</w:t>
            </w:r>
          </w:p>
        </w:tc>
        <w:tc>
          <w:tcPr>
            <w:tcW w:w="8744" w:type="dxa"/>
            <w:vAlign w:val="center"/>
            <w:hideMark/>
          </w:tcPr>
          <w:p w14:paraId="146A2851" w14:textId="77777777" w:rsidR="00BA64D7" w:rsidRPr="00BA64D7" w:rsidRDefault="00BA64D7" w:rsidP="00BA64D7">
            <w:r w:rsidRPr="00BA64D7">
              <w:t xml:space="preserve">Service </w:t>
            </w:r>
            <w:proofErr w:type="spellStart"/>
            <w:r w:rsidRPr="00BA64D7">
              <w:t>Level</w:t>
            </w:r>
            <w:proofErr w:type="spellEnd"/>
            <w:r w:rsidRPr="00BA64D7">
              <w:t xml:space="preserve"> Agreement / Accord de Niveau de Service</w:t>
            </w:r>
          </w:p>
        </w:tc>
      </w:tr>
      <w:tr w:rsidR="00BA64D7" w:rsidRPr="00BA64D7" w14:paraId="54328A09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0BE0264" w14:textId="77777777" w:rsidR="00BA64D7" w:rsidRPr="00BA64D7" w:rsidRDefault="00BA64D7" w:rsidP="00BA64D7">
            <w:r w:rsidRPr="00BA64D7">
              <w:rPr>
                <w:b/>
                <w:bCs/>
              </w:rPr>
              <w:t>RGPD</w:t>
            </w:r>
          </w:p>
        </w:tc>
        <w:tc>
          <w:tcPr>
            <w:tcW w:w="8744" w:type="dxa"/>
            <w:vAlign w:val="center"/>
            <w:hideMark/>
          </w:tcPr>
          <w:p w14:paraId="746EA811" w14:textId="77777777" w:rsidR="00BA64D7" w:rsidRPr="00BA64D7" w:rsidRDefault="00BA64D7" w:rsidP="00BA64D7">
            <w:r w:rsidRPr="00BA64D7">
              <w:t>Règlement Général sur la Protection des Données</w:t>
            </w:r>
          </w:p>
        </w:tc>
      </w:tr>
      <w:tr w:rsidR="00BA64D7" w:rsidRPr="00BA64D7" w14:paraId="7E2C1766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1E670D5" w14:textId="77777777" w:rsidR="00BA64D7" w:rsidRPr="00BA64D7" w:rsidRDefault="00BA64D7" w:rsidP="00BA64D7">
            <w:r w:rsidRPr="00BA64D7">
              <w:rPr>
                <w:b/>
                <w:bCs/>
              </w:rPr>
              <w:lastRenderedPageBreak/>
              <w:t>SLO / SLI</w:t>
            </w:r>
          </w:p>
        </w:tc>
        <w:tc>
          <w:tcPr>
            <w:tcW w:w="8744" w:type="dxa"/>
            <w:vAlign w:val="center"/>
            <w:hideMark/>
          </w:tcPr>
          <w:p w14:paraId="708374FE" w14:textId="77777777" w:rsidR="00BA64D7" w:rsidRPr="00BA64D7" w:rsidRDefault="00BA64D7" w:rsidP="00BA64D7">
            <w:r w:rsidRPr="00BA64D7">
              <w:t xml:space="preserve">Service </w:t>
            </w:r>
            <w:proofErr w:type="spellStart"/>
            <w:r w:rsidRPr="00BA64D7">
              <w:t>Level</w:t>
            </w:r>
            <w:proofErr w:type="spellEnd"/>
            <w:r w:rsidRPr="00BA64D7">
              <w:t xml:space="preserve"> Objective / Indicator</w:t>
            </w:r>
          </w:p>
        </w:tc>
      </w:tr>
      <w:tr w:rsidR="00BA64D7" w:rsidRPr="00BA64D7" w14:paraId="3D374D25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C8AB03E" w14:textId="77777777" w:rsidR="00BA64D7" w:rsidRPr="00BA64D7" w:rsidRDefault="00BA64D7" w:rsidP="00BA64D7">
            <w:r w:rsidRPr="00BA64D7">
              <w:rPr>
                <w:b/>
                <w:bCs/>
              </w:rPr>
              <w:t>CPO</w:t>
            </w:r>
          </w:p>
        </w:tc>
        <w:tc>
          <w:tcPr>
            <w:tcW w:w="8744" w:type="dxa"/>
            <w:vAlign w:val="center"/>
            <w:hideMark/>
          </w:tcPr>
          <w:p w14:paraId="6F983507" w14:textId="77777777" w:rsidR="00BA64D7" w:rsidRPr="00BA64D7" w:rsidRDefault="00BA64D7" w:rsidP="00BA64D7">
            <w:r w:rsidRPr="00BA64D7">
              <w:t xml:space="preserve">Chief Product </w:t>
            </w:r>
            <w:proofErr w:type="spellStart"/>
            <w:r w:rsidRPr="00BA64D7">
              <w:t>Officer</w:t>
            </w:r>
            <w:proofErr w:type="spellEnd"/>
          </w:p>
        </w:tc>
      </w:tr>
    </w:tbl>
    <w:p w14:paraId="4655B107" w14:textId="77777777" w:rsidR="00BA64D7" w:rsidRDefault="00BA64D7"/>
    <w:p w14:paraId="618CFF46" w14:textId="77777777" w:rsidR="00BA64D7" w:rsidRDefault="00BA64D7"/>
    <w:sectPr w:rsidR="00BA64D7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36D80" w14:textId="77777777" w:rsidR="008105F3" w:rsidRDefault="008105F3" w:rsidP="0060450C">
      <w:pPr>
        <w:spacing w:after="0" w:line="240" w:lineRule="auto"/>
      </w:pPr>
      <w:r>
        <w:separator/>
      </w:r>
    </w:p>
  </w:endnote>
  <w:endnote w:type="continuationSeparator" w:id="0">
    <w:p w14:paraId="19E5551F" w14:textId="77777777" w:rsidR="008105F3" w:rsidRDefault="008105F3" w:rsidP="0060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53657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6C89DF" w14:textId="059685C1" w:rsidR="0060553A" w:rsidRDefault="0060553A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4628F2B" w14:textId="77777777" w:rsidR="0060553A" w:rsidRDefault="006055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78336" w14:textId="77777777" w:rsidR="008105F3" w:rsidRDefault="008105F3" w:rsidP="0060450C">
      <w:pPr>
        <w:spacing w:after="0" w:line="240" w:lineRule="auto"/>
      </w:pPr>
      <w:r>
        <w:separator/>
      </w:r>
    </w:p>
  </w:footnote>
  <w:footnote w:type="continuationSeparator" w:id="0">
    <w:p w14:paraId="445A1838" w14:textId="77777777" w:rsidR="008105F3" w:rsidRDefault="008105F3" w:rsidP="00604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dxa"/>
      <w:tblInd w:w="-103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35"/>
      <w:gridCol w:w="6615"/>
    </w:tblGrid>
    <w:tr w:rsidR="00145690" w:rsidRPr="00145690" w14:paraId="1A25122A" w14:textId="77777777">
      <w:trPr>
        <w:trHeight w:val="300"/>
      </w:trPr>
      <w:tc>
        <w:tcPr>
          <w:tcW w:w="3435" w:type="dxa"/>
          <w:tcBorders>
            <w:top w:val="nil"/>
            <w:left w:val="nil"/>
            <w:bottom w:val="nil"/>
            <w:right w:val="nil"/>
          </w:tcBorders>
          <w:hideMark/>
        </w:tcPr>
        <w:p w14:paraId="11C0BD90" w14:textId="12C2D82D" w:rsidR="00145690" w:rsidRPr="00145690" w:rsidRDefault="00145690" w:rsidP="00145690">
          <w:pPr>
            <w:pStyle w:val="En-tte"/>
          </w:pPr>
          <w:r w:rsidRPr="00145690">
            <w:rPr>
              <w:noProof/>
            </w:rPr>
            <w:drawing>
              <wp:inline distT="0" distB="0" distL="0" distR="0" wp14:anchorId="1A823F3D" wp14:editId="0CC23DA0">
                <wp:extent cx="704850" cy="685800"/>
                <wp:effectExtent l="0" t="0" r="0" b="0"/>
                <wp:docPr id="315640545" name="Image 2" descr="Foosu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oosu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145690">
            <w:rPr>
              <w:rFonts w:ascii="Arial" w:hAnsi="Arial" w:cs="Arial"/>
            </w:rPr>
            <w:t> </w:t>
          </w:r>
          <w:r w:rsidRPr="00145690">
            <w:t> </w:t>
          </w:r>
        </w:p>
      </w:tc>
      <w:tc>
        <w:tcPr>
          <w:tcW w:w="6615" w:type="dxa"/>
          <w:tcBorders>
            <w:top w:val="nil"/>
            <w:left w:val="nil"/>
            <w:bottom w:val="nil"/>
            <w:right w:val="nil"/>
          </w:tcBorders>
          <w:hideMark/>
        </w:tcPr>
        <w:p w14:paraId="2A34EBD8" w14:textId="77777777" w:rsidR="00145690" w:rsidRPr="00145690" w:rsidRDefault="00145690" w:rsidP="00145690">
          <w:pPr>
            <w:pStyle w:val="En-tte"/>
          </w:pPr>
          <w:r w:rsidRPr="00145690">
            <w:t> </w:t>
          </w:r>
        </w:p>
        <w:p w14:paraId="4B488F97" w14:textId="77777777" w:rsidR="00145690" w:rsidRPr="00145690" w:rsidRDefault="00145690" w:rsidP="00145690">
          <w:pPr>
            <w:pStyle w:val="En-tte"/>
          </w:pPr>
          <w:r w:rsidRPr="00145690">
            <w:t> </w:t>
          </w:r>
        </w:p>
        <w:p w14:paraId="39B970B1" w14:textId="4E500A00" w:rsidR="00145690" w:rsidRPr="00145690" w:rsidRDefault="0060553A" w:rsidP="0060553A">
          <w:pPr>
            <w:pStyle w:val="En-tte"/>
            <w:jc w:val="right"/>
          </w:pPr>
          <w:r w:rsidRPr="0060553A">
            <w:rPr>
              <w:b/>
              <w:bCs/>
            </w:rPr>
            <w:t>Contrat d’Architecture avec les Utilisateurs Business</w:t>
          </w:r>
          <w:r w:rsidR="00145690" w:rsidRPr="00145690">
            <w:rPr>
              <w:rFonts w:ascii="Arial" w:hAnsi="Arial" w:cs="Arial"/>
            </w:rPr>
            <w:t> </w:t>
          </w:r>
          <w:r w:rsidR="00145690" w:rsidRPr="00145690">
            <w:t> </w:t>
          </w:r>
        </w:p>
      </w:tc>
    </w:tr>
  </w:tbl>
  <w:p w14:paraId="72C4DE67" w14:textId="22358C25" w:rsidR="0060450C" w:rsidRDefault="0060450C">
    <w:pPr>
      <w:pStyle w:val="En-tte"/>
    </w:pPr>
  </w:p>
  <w:p w14:paraId="27255605" w14:textId="77777777" w:rsidR="0060450C" w:rsidRDefault="006045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6812"/>
    <w:multiLevelType w:val="multilevel"/>
    <w:tmpl w:val="8CA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024F"/>
    <w:multiLevelType w:val="multilevel"/>
    <w:tmpl w:val="8AB84AA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254DA"/>
    <w:multiLevelType w:val="hybridMultilevel"/>
    <w:tmpl w:val="2132D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0B1C"/>
    <w:multiLevelType w:val="multilevel"/>
    <w:tmpl w:val="DA08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814F6"/>
    <w:multiLevelType w:val="hybridMultilevel"/>
    <w:tmpl w:val="C5F49CF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3000FC"/>
    <w:multiLevelType w:val="multilevel"/>
    <w:tmpl w:val="F942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D07F9"/>
    <w:multiLevelType w:val="multilevel"/>
    <w:tmpl w:val="132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E22A2"/>
    <w:multiLevelType w:val="multilevel"/>
    <w:tmpl w:val="ADB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F6D6F"/>
    <w:multiLevelType w:val="multilevel"/>
    <w:tmpl w:val="23F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9130F"/>
    <w:multiLevelType w:val="multilevel"/>
    <w:tmpl w:val="9BF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71B05"/>
    <w:multiLevelType w:val="multilevel"/>
    <w:tmpl w:val="98D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817E0"/>
    <w:multiLevelType w:val="multilevel"/>
    <w:tmpl w:val="2D4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A4615"/>
    <w:multiLevelType w:val="multilevel"/>
    <w:tmpl w:val="D12A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03E31"/>
    <w:multiLevelType w:val="multilevel"/>
    <w:tmpl w:val="38A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B0206"/>
    <w:multiLevelType w:val="multilevel"/>
    <w:tmpl w:val="982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F0704"/>
    <w:multiLevelType w:val="multilevel"/>
    <w:tmpl w:val="96BC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D1453"/>
    <w:multiLevelType w:val="multilevel"/>
    <w:tmpl w:val="B9D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C5BF3"/>
    <w:multiLevelType w:val="multilevel"/>
    <w:tmpl w:val="AA90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173287">
    <w:abstractNumId w:val="1"/>
  </w:num>
  <w:num w:numId="2" w16cid:durableId="1403259719">
    <w:abstractNumId w:val="1"/>
    <w:lvlOverride w:ilvl="0">
      <w:startOverride w:val="1"/>
    </w:lvlOverride>
  </w:num>
  <w:num w:numId="3" w16cid:durableId="372005810">
    <w:abstractNumId w:val="2"/>
  </w:num>
  <w:num w:numId="4" w16cid:durableId="69012501">
    <w:abstractNumId w:val="4"/>
  </w:num>
  <w:num w:numId="5" w16cid:durableId="249855825">
    <w:abstractNumId w:val="14"/>
  </w:num>
  <w:num w:numId="6" w16cid:durableId="1183591808">
    <w:abstractNumId w:val="6"/>
  </w:num>
  <w:num w:numId="7" w16cid:durableId="1211067814">
    <w:abstractNumId w:val="10"/>
  </w:num>
  <w:num w:numId="8" w16cid:durableId="1060131445">
    <w:abstractNumId w:val="5"/>
  </w:num>
  <w:num w:numId="9" w16cid:durableId="1533107753">
    <w:abstractNumId w:val="12"/>
  </w:num>
  <w:num w:numId="10" w16cid:durableId="886989969">
    <w:abstractNumId w:val="9"/>
  </w:num>
  <w:num w:numId="11" w16cid:durableId="2080321726">
    <w:abstractNumId w:val="3"/>
  </w:num>
  <w:num w:numId="12" w16cid:durableId="1502235322">
    <w:abstractNumId w:val="15"/>
  </w:num>
  <w:num w:numId="13" w16cid:durableId="243687510">
    <w:abstractNumId w:val="11"/>
  </w:num>
  <w:num w:numId="14" w16cid:durableId="457577353">
    <w:abstractNumId w:val="0"/>
  </w:num>
  <w:num w:numId="15" w16cid:durableId="1220088361">
    <w:abstractNumId w:val="17"/>
  </w:num>
  <w:num w:numId="16" w16cid:durableId="1276906807">
    <w:abstractNumId w:val="13"/>
  </w:num>
  <w:num w:numId="17" w16cid:durableId="1151866995">
    <w:abstractNumId w:val="16"/>
  </w:num>
  <w:num w:numId="18" w16cid:durableId="229270365">
    <w:abstractNumId w:val="8"/>
  </w:num>
  <w:num w:numId="19" w16cid:durableId="1409309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E54D1C"/>
    <w:rsid w:val="0001110A"/>
    <w:rsid w:val="00021477"/>
    <w:rsid w:val="00072AB9"/>
    <w:rsid w:val="000F145A"/>
    <w:rsid w:val="00145690"/>
    <w:rsid w:val="0018247E"/>
    <w:rsid w:val="0020010C"/>
    <w:rsid w:val="00223AB2"/>
    <w:rsid w:val="00260AD4"/>
    <w:rsid w:val="002D1B74"/>
    <w:rsid w:val="00317BDE"/>
    <w:rsid w:val="00325B91"/>
    <w:rsid w:val="00327A1A"/>
    <w:rsid w:val="00353054"/>
    <w:rsid w:val="00374EA4"/>
    <w:rsid w:val="003F5484"/>
    <w:rsid w:val="00412BA1"/>
    <w:rsid w:val="0046544D"/>
    <w:rsid w:val="00471F4A"/>
    <w:rsid w:val="0047468E"/>
    <w:rsid w:val="00480F60"/>
    <w:rsid w:val="00494170"/>
    <w:rsid w:val="004C0C05"/>
    <w:rsid w:val="005557DE"/>
    <w:rsid w:val="00586790"/>
    <w:rsid w:val="005912AA"/>
    <w:rsid w:val="005B59B4"/>
    <w:rsid w:val="0060450C"/>
    <w:rsid w:val="0060553A"/>
    <w:rsid w:val="00654EDA"/>
    <w:rsid w:val="006678A6"/>
    <w:rsid w:val="00684FB3"/>
    <w:rsid w:val="006D5576"/>
    <w:rsid w:val="006E624C"/>
    <w:rsid w:val="006F1A8D"/>
    <w:rsid w:val="00724187"/>
    <w:rsid w:val="00725D32"/>
    <w:rsid w:val="00726594"/>
    <w:rsid w:val="00747C54"/>
    <w:rsid w:val="00796BE8"/>
    <w:rsid w:val="007F012F"/>
    <w:rsid w:val="008105F3"/>
    <w:rsid w:val="0084000D"/>
    <w:rsid w:val="00840951"/>
    <w:rsid w:val="00850287"/>
    <w:rsid w:val="008A7765"/>
    <w:rsid w:val="00911517"/>
    <w:rsid w:val="00932B91"/>
    <w:rsid w:val="009918D0"/>
    <w:rsid w:val="009A2CAE"/>
    <w:rsid w:val="009A54B3"/>
    <w:rsid w:val="009E3E73"/>
    <w:rsid w:val="009F0E7A"/>
    <w:rsid w:val="00A42C58"/>
    <w:rsid w:val="00A722DD"/>
    <w:rsid w:val="00A843BC"/>
    <w:rsid w:val="00A93519"/>
    <w:rsid w:val="00A94E63"/>
    <w:rsid w:val="00AB593C"/>
    <w:rsid w:val="00AC0C64"/>
    <w:rsid w:val="00AE4AB5"/>
    <w:rsid w:val="00B61131"/>
    <w:rsid w:val="00B63566"/>
    <w:rsid w:val="00B81910"/>
    <w:rsid w:val="00B8251F"/>
    <w:rsid w:val="00BA64D7"/>
    <w:rsid w:val="00BC5201"/>
    <w:rsid w:val="00BD545E"/>
    <w:rsid w:val="00BD6E6D"/>
    <w:rsid w:val="00BE0FE2"/>
    <w:rsid w:val="00C25BDD"/>
    <w:rsid w:val="00C40DA6"/>
    <w:rsid w:val="00D01BED"/>
    <w:rsid w:val="00D135EC"/>
    <w:rsid w:val="00D61CEC"/>
    <w:rsid w:val="00DA05E0"/>
    <w:rsid w:val="00DB77D3"/>
    <w:rsid w:val="00DE2517"/>
    <w:rsid w:val="00DF614F"/>
    <w:rsid w:val="00E0439B"/>
    <w:rsid w:val="00E41632"/>
    <w:rsid w:val="00E72943"/>
    <w:rsid w:val="00EB6C77"/>
    <w:rsid w:val="00EC31A0"/>
    <w:rsid w:val="00EE2AFB"/>
    <w:rsid w:val="00EF2A02"/>
    <w:rsid w:val="00EF6C89"/>
    <w:rsid w:val="00F8058A"/>
    <w:rsid w:val="00F93176"/>
    <w:rsid w:val="00FB376B"/>
    <w:rsid w:val="00FD2635"/>
    <w:rsid w:val="3DE54D1C"/>
    <w:rsid w:val="4FE3FC7D"/>
    <w:rsid w:val="596AA8CD"/>
    <w:rsid w:val="5F1FAE18"/>
    <w:rsid w:val="6564F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54D1C"/>
  <w15:chartTrackingRefBased/>
  <w15:docId w15:val="{48D4E544-A3E7-4FC5-BA40-3863B803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4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2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D557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numbering" w:customStyle="1" w:styleId="WWNum2">
    <w:name w:val="WWNum2"/>
    <w:basedOn w:val="Aucuneliste"/>
    <w:rsid w:val="006D5576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unhideWhenUsed/>
    <w:rsid w:val="00604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450C"/>
  </w:style>
  <w:style w:type="paragraph" w:styleId="Pieddepage">
    <w:name w:val="footer"/>
    <w:basedOn w:val="Normal"/>
    <w:link w:val="PieddepageCar"/>
    <w:uiPriority w:val="99"/>
    <w:unhideWhenUsed/>
    <w:rsid w:val="00604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450C"/>
  </w:style>
  <w:style w:type="character" w:customStyle="1" w:styleId="Titre2Car">
    <w:name w:val="Titre 2 Car"/>
    <w:basedOn w:val="Policepardfaut"/>
    <w:link w:val="Titre2"/>
    <w:uiPriority w:val="9"/>
    <w:rsid w:val="00E0439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F2A0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F2A02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M2">
    <w:name w:val="toc 2"/>
    <w:basedOn w:val="Normal"/>
    <w:next w:val="Normal"/>
    <w:uiPriority w:val="39"/>
    <w:unhideWhenUsed/>
    <w:rsid w:val="0072659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26594"/>
    <w:rPr>
      <w:color w:val="467886"/>
      <w:u w:val="single"/>
    </w:rPr>
  </w:style>
  <w:style w:type="paragraph" w:styleId="TM3">
    <w:name w:val="toc 3"/>
    <w:basedOn w:val="Normal"/>
    <w:next w:val="Normal"/>
    <w:uiPriority w:val="39"/>
    <w:unhideWhenUsed/>
    <w:rsid w:val="0072659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4C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lassrooms-Student-Center/Concevez-une-nouvelle-architecture-afin-de-soutenir-le-d-veloppement-de-votre-entrepri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2921</Words>
  <Characters>16068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18952</CharactersWithSpaces>
  <SharedDoc>false</SharedDoc>
  <HLinks>
    <vt:vector size="90" baseType="variant">
      <vt:variant>
        <vt:i4>2752515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_Toc2015312019</vt:lpwstr>
      </vt:variant>
      <vt:variant>
        <vt:i4>2686979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_Toc1945472401</vt:lpwstr>
      </vt:variant>
      <vt:variant>
        <vt:i4>3080205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_Toc1916377292</vt:lpwstr>
      </vt:variant>
      <vt:variant>
        <vt:i4>2949120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_Toc1074467159</vt:lpwstr>
      </vt:variant>
      <vt:variant>
        <vt:i4>3080192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_Toc1233722279</vt:lpwstr>
      </vt:variant>
      <vt:variant>
        <vt:i4>2949123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_Toc1029024948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_Toc854350807</vt:lpwstr>
      </vt:variant>
      <vt:variant>
        <vt:i4>2621454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_Toc1079518057</vt:lpwstr>
      </vt:variant>
      <vt:variant>
        <vt:i4>2818063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_Toc1837643582</vt:lpwstr>
      </vt:variant>
      <vt:variant>
        <vt:i4>2490374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_Toc1988359752</vt:lpwstr>
      </vt:variant>
      <vt:variant>
        <vt:i4>2162695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_Toc1617246536</vt:lpwstr>
      </vt:variant>
      <vt:variant>
        <vt:i4>2686991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_Toc1268574390</vt:lpwstr>
      </vt:variant>
      <vt:variant>
        <vt:i4>2555908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_Toc2145763361</vt:lpwstr>
      </vt:variant>
      <vt:variant>
        <vt:i4>2228224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_Toc1716041717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_Toc195369905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DHIB</dc:creator>
  <cp:keywords/>
  <dc:description/>
  <cp:lastModifiedBy>Hedi DHIB</cp:lastModifiedBy>
  <cp:revision>77</cp:revision>
  <dcterms:created xsi:type="dcterms:W3CDTF">2025-08-19T20:19:00Z</dcterms:created>
  <dcterms:modified xsi:type="dcterms:W3CDTF">2025-08-20T19:17:00Z</dcterms:modified>
</cp:coreProperties>
</file>