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E59C99" w14:textId="5A06911E" w:rsidR="00DD6179" w:rsidRPr="00761E8C" w:rsidRDefault="00DD6179" w:rsidP="00DD5601">
      <w:pPr>
        <w:pStyle w:val="Heading1"/>
        <w:jc w:val="both"/>
        <w:rPr>
          <w:rFonts w:ascii="Calibri" w:hAnsi="Calibri" w:cs="Calibri"/>
          <w:b/>
          <w:bCs/>
          <w:sz w:val="36"/>
          <w:szCs w:val="36"/>
          <w:lang w:val="en-US"/>
        </w:rPr>
      </w:pPr>
      <w:bookmarkStart w:id="0" w:name="_Toc214883349"/>
      <w:bookmarkStart w:id="1" w:name="_Hlk214901108"/>
      <w:bookmarkEnd w:id="1"/>
      <w:r w:rsidRPr="00761E8C">
        <w:rPr>
          <w:rFonts w:ascii="Calibri" w:hAnsi="Calibri" w:cs="Calibri"/>
          <w:b/>
          <w:bCs/>
          <w:sz w:val="36"/>
          <w:szCs w:val="36"/>
          <w:lang w:val="en-US"/>
        </w:rPr>
        <w:t>Analysis of the 2021 Inflation Shock and the Structural Vulnerabilities Behind Europe’s Divergent Outcomes</w:t>
      </w:r>
      <w:bookmarkEnd w:id="0"/>
    </w:p>
    <w:p w14:paraId="59DA009E" w14:textId="77777777" w:rsidR="00CA1ABC" w:rsidRDefault="00CA1ABC" w:rsidP="00B61153">
      <w:pPr>
        <w:spacing w:before="120" w:after="120" w:line="276" w:lineRule="auto"/>
        <w:jc w:val="both"/>
        <w:rPr>
          <w:rFonts w:ascii="Calibri" w:eastAsiaTheme="majorEastAsia" w:hAnsi="Calibri" w:cs="Calibri"/>
          <w:b/>
          <w:bCs/>
          <w:color w:val="000000" w:themeColor="text1"/>
          <w:sz w:val="32"/>
          <w:szCs w:val="32"/>
          <w:lang w:val="en-US"/>
        </w:rPr>
      </w:pPr>
    </w:p>
    <w:p w14:paraId="64801EF2" w14:textId="324ED166" w:rsidR="00CA1ABC" w:rsidRPr="00761E8C" w:rsidRDefault="00CA1ABC" w:rsidP="00CA1ABC">
      <w:pPr>
        <w:pStyle w:val="NoSpacing"/>
        <w:rPr>
          <w:rFonts w:ascii="Calibri" w:hAnsi="Calibri" w:cs="Calibri"/>
          <w:lang w:val="en-US"/>
        </w:rPr>
      </w:pPr>
      <w:r w:rsidRPr="00761E8C">
        <w:rPr>
          <w:rFonts w:ascii="Calibri" w:hAnsi="Calibri" w:cs="Calibri"/>
          <w:b/>
          <w:bCs/>
          <w:color w:val="0F4761" w:themeColor="accent1" w:themeShade="BF"/>
          <w:lang w:val="en-US"/>
        </w:rPr>
        <w:t>Author:</w:t>
      </w:r>
      <w:r w:rsidRPr="00761E8C">
        <w:rPr>
          <w:rFonts w:ascii="Calibri" w:hAnsi="Calibri" w:cs="Calibri"/>
          <w:color w:val="0F4761" w:themeColor="accent1" w:themeShade="BF"/>
          <w:lang w:val="en-US"/>
        </w:rPr>
        <w:t xml:space="preserve"> </w:t>
      </w:r>
      <w:r w:rsidRPr="00761E8C">
        <w:rPr>
          <w:rFonts w:ascii="Calibri" w:hAnsi="Calibri" w:cs="Calibri"/>
          <w:lang w:val="en-US"/>
        </w:rPr>
        <w:t>Hedi SAGAR</w:t>
      </w:r>
    </w:p>
    <w:p w14:paraId="3DA8D823" w14:textId="75B3234B" w:rsidR="00CA1ABC" w:rsidRPr="00761E8C" w:rsidRDefault="00CA1ABC" w:rsidP="00CA1ABC">
      <w:pPr>
        <w:pStyle w:val="NoSpacing"/>
        <w:rPr>
          <w:rFonts w:ascii="Calibri" w:hAnsi="Calibri" w:cs="Calibri"/>
          <w:lang w:val="en-US"/>
        </w:rPr>
      </w:pPr>
      <w:r w:rsidRPr="00761E8C">
        <w:rPr>
          <w:rFonts w:ascii="Calibri" w:hAnsi="Calibri" w:cs="Calibri"/>
          <w:b/>
          <w:bCs/>
          <w:color w:val="0F4761" w:themeColor="accent1" w:themeShade="BF"/>
          <w:lang w:val="en-US"/>
        </w:rPr>
        <w:t>Date:</w:t>
      </w:r>
      <w:r w:rsidRPr="00761E8C">
        <w:rPr>
          <w:rFonts w:ascii="Calibri" w:hAnsi="Calibri" w:cs="Calibri"/>
          <w:color w:val="0F4761" w:themeColor="accent1" w:themeShade="BF"/>
          <w:lang w:val="en-US"/>
        </w:rPr>
        <w:t xml:space="preserve"> </w:t>
      </w:r>
      <w:r w:rsidRPr="00761E8C">
        <w:rPr>
          <w:rFonts w:ascii="Calibri" w:hAnsi="Calibri" w:cs="Calibri"/>
          <w:lang w:val="en-US"/>
        </w:rPr>
        <w:t>2</w:t>
      </w:r>
      <w:r w:rsidR="007301E7" w:rsidRPr="00761E8C">
        <w:rPr>
          <w:rFonts w:ascii="Calibri" w:hAnsi="Calibri" w:cs="Calibri"/>
          <w:lang w:val="en-US"/>
        </w:rPr>
        <w:t>4</w:t>
      </w:r>
      <w:r w:rsidRPr="00761E8C">
        <w:rPr>
          <w:rFonts w:ascii="Calibri" w:hAnsi="Calibri" w:cs="Calibri"/>
          <w:lang w:val="en-US"/>
        </w:rPr>
        <w:t>/11/2025</w:t>
      </w:r>
    </w:p>
    <w:p w14:paraId="3AEBD09D" w14:textId="5EFF863F" w:rsidR="00761E8C" w:rsidRPr="00761E8C" w:rsidRDefault="00761E8C" w:rsidP="00CA1ABC">
      <w:pPr>
        <w:pStyle w:val="NoSpacing"/>
        <w:rPr>
          <w:rFonts w:ascii="Calibri" w:hAnsi="Calibri" w:cs="Calibri"/>
          <w:b/>
          <w:bCs/>
          <w:color w:val="0F4761" w:themeColor="accent1" w:themeShade="BF"/>
          <w:lang w:val="en-US"/>
        </w:rPr>
      </w:pPr>
      <w:r w:rsidRPr="00761E8C">
        <w:rPr>
          <w:rFonts w:ascii="Calibri" w:hAnsi="Calibri" w:cs="Calibri"/>
          <w:b/>
          <w:bCs/>
          <w:color w:val="0F4761" w:themeColor="accent1" w:themeShade="BF"/>
          <w:lang w:val="en-US"/>
        </w:rPr>
        <w:t xml:space="preserve">Link to the code: </w:t>
      </w:r>
    </w:p>
    <w:p w14:paraId="31F33B8E" w14:textId="77777777" w:rsidR="00761E8C" w:rsidRDefault="00761E8C" w:rsidP="00CA1ABC">
      <w:pPr>
        <w:pStyle w:val="NoSpacing"/>
        <w:rPr>
          <w:lang w:val="en-US"/>
        </w:rPr>
      </w:pPr>
    </w:p>
    <w:sdt>
      <w:sdtPr>
        <w:rPr>
          <w:rFonts w:ascii="Calibri" w:eastAsiaTheme="minorHAnsi" w:hAnsi="Calibri" w:cs="Calibri"/>
          <w:color w:val="auto"/>
          <w:kern w:val="2"/>
          <w:sz w:val="22"/>
          <w:szCs w:val="22"/>
          <w:lang w:val="fr-FR"/>
          <w14:ligatures w14:val="standardContextual"/>
        </w:rPr>
        <w:id w:val="1182319925"/>
        <w:docPartObj>
          <w:docPartGallery w:val="Table of Contents"/>
          <w:docPartUnique/>
        </w:docPartObj>
      </w:sdtPr>
      <w:sdtEndPr>
        <w:rPr>
          <w:b/>
          <w:bCs/>
          <w:noProof/>
        </w:rPr>
      </w:sdtEndPr>
      <w:sdtContent>
        <w:p w14:paraId="58AF18B8" w14:textId="1927F6A3" w:rsidR="002B7939" w:rsidRPr="00B61153" w:rsidRDefault="002B7939" w:rsidP="00B61153">
          <w:pPr>
            <w:pStyle w:val="TOCHeading"/>
            <w:spacing w:before="120" w:after="120" w:line="276" w:lineRule="auto"/>
            <w:jc w:val="both"/>
            <w:rPr>
              <w:rFonts w:ascii="Calibri" w:hAnsi="Calibri" w:cs="Calibri"/>
              <w:color w:val="auto"/>
            </w:rPr>
          </w:pPr>
          <w:r w:rsidRPr="00B61153">
            <w:rPr>
              <w:rFonts w:ascii="Calibri" w:hAnsi="Calibri" w:cs="Calibri"/>
              <w:color w:val="auto"/>
            </w:rPr>
            <w:t>Contents</w:t>
          </w:r>
        </w:p>
        <w:p w14:paraId="60D824DD" w14:textId="330EA95C" w:rsidR="00D07E9B" w:rsidRDefault="002B7939">
          <w:pPr>
            <w:pStyle w:val="TOC1"/>
            <w:tabs>
              <w:tab w:val="right" w:leader="dot" w:pos="9628"/>
            </w:tabs>
            <w:rPr>
              <w:rFonts w:eastAsiaTheme="minorEastAsia"/>
              <w:noProof/>
              <w:sz w:val="24"/>
              <w:szCs w:val="24"/>
              <w:lang w:eastAsia="fr-FR"/>
            </w:rPr>
          </w:pPr>
          <w:r w:rsidRPr="00B61153">
            <w:rPr>
              <w:rFonts w:ascii="Calibri" w:hAnsi="Calibri" w:cs="Calibri"/>
            </w:rPr>
            <w:fldChar w:fldCharType="begin"/>
          </w:r>
          <w:r w:rsidRPr="00B61153">
            <w:rPr>
              <w:rFonts w:ascii="Calibri" w:hAnsi="Calibri" w:cs="Calibri"/>
            </w:rPr>
            <w:instrText xml:space="preserve"> TOC \o "1-3" \h \z \u </w:instrText>
          </w:r>
          <w:r w:rsidRPr="00B61153">
            <w:rPr>
              <w:rFonts w:ascii="Calibri" w:hAnsi="Calibri" w:cs="Calibri"/>
            </w:rPr>
            <w:fldChar w:fldCharType="separate"/>
          </w:r>
          <w:hyperlink w:anchor="_Toc214883349" w:history="1">
            <w:r w:rsidR="00D07E9B" w:rsidRPr="0005516B">
              <w:rPr>
                <w:rStyle w:val="Hyperlink"/>
                <w:rFonts w:ascii="Calibri" w:hAnsi="Calibri" w:cs="Calibri"/>
                <w:b/>
                <w:bCs/>
                <w:noProof/>
                <w:lang w:val="en-US"/>
              </w:rPr>
              <w:t>Analysis of the 2021 Inflation Shock and the Structural Vulnerabilities Behind Europe’s Divergent Outcomes</w:t>
            </w:r>
            <w:r w:rsidR="00D07E9B">
              <w:rPr>
                <w:noProof/>
                <w:webHidden/>
              </w:rPr>
              <w:tab/>
            </w:r>
            <w:r w:rsidR="00D07E9B">
              <w:rPr>
                <w:noProof/>
                <w:webHidden/>
              </w:rPr>
              <w:fldChar w:fldCharType="begin"/>
            </w:r>
            <w:r w:rsidR="00D07E9B">
              <w:rPr>
                <w:noProof/>
                <w:webHidden/>
              </w:rPr>
              <w:instrText xml:space="preserve"> PAGEREF _Toc214883349 \h </w:instrText>
            </w:r>
            <w:r w:rsidR="00D07E9B">
              <w:rPr>
                <w:noProof/>
                <w:webHidden/>
              </w:rPr>
            </w:r>
            <w:r w:rsidR="00D07E9B">
              <w:rPr>
                <w:noProof/>
                <w:webHidden/>
              </w:rPr>
              <w:fldChar w:fldCharType="separate"/>
            </w:r>
            <w:r w:rsidR="00D07E9B">
              <w:rPr>
                <w:noProof/>
                <w:webHidden/>
              </w:rPr>
              <w:t>1</w:t>
            </w:r>
            <w:r w:rsidR="00D07E9B">
              <w:rPr>
                <w:noProof/>
                <w:webHidden/>
              </w:rPr>
              <w:fldChar w:fldCharType="end"/>
            </w:r>
          </w:hyperlink>
        </w:p>
        <w:p w14:paraId="5F0B187C" w14:textId="4827C9CE" w:rsidR="00D07E9B" w:rsidRDefault="00D07E9B">
          <w:pPr>
            <w:pStyle w:val="TOC2"/>
            <w:tabs>
              <w:tab w:val="left" w:pos="720"/>
              <w:tab w:val="right" w:leader="dot" w:pos="9628"/>
            </w:tabs>
            <w:rPr>
              <w:rFonts w:eastAsiaTheme="minorEastAsia"/>
              <w:noProof/>
              <w:sz w:val="24"/>
              <w:szCs w:val="24"/>
              <w:lang w:eastAsia="fr-FR"/>
            </w:rPr>
          </w:pPr>
          <w:hyperlink w:anchor="_Toc214883350" w:history="1">
            <w:r w:rsidRPr="0005516B">
              <w:rPr>
                <w:rStyle w:val="Hyperlink"/>
                <w:noProof/>
              </w:rPr>
              <w:t>I.</w:t>
            </w:r>
            <w:r>
              <w:rPr>
                <w:rFonts w:eastAsiaTheme="minorEastAsia"/>
                <w:noProof/>
                <w:sz w:val="24"/>
                <w:szCs w:val="24"/>
                <w:lang w:eastAsia="fr-FR"/>
              </w:rPr>
              <w:tab/>
            </w:r>
            <w:r w:rsidRPr="0005516B">
              <w:rPr>
                <w:rStyle w:val="Hyperlink"/>
                <w:noProof/>
              </w:rPr>
              <w:t>Executive Summary</w:t>
            </w:r>
            <w:r>
              <w:rPr>
                <w:noProof/>
                <w:webHidden/>
              </w:rPr>
              <w:tab/>
            </w:r>
            <w:r>
              <w:rPr>
                <w:noProof/>
                <w:webHidden/>
              </w:rPr>
              <w:fldChar w:fldCharType="begin"/>
            </w:r>
            <w:r>
              <w:rPr>
                <w:noProof/>
                <w:webHidden/>
              </w:rPr>
              <w:instrText xml:space="preserve"> PAGEREF _Toc214883350 \h </w:instrText>
            </w:r>
            <w:r>
              <w:rPr>
                <w:noProof/>
                <w:webHidden/>
              </w:rPr>
            </w:r>
            <w:r>
              <w:rPr>
                <w:noProof/>
                <w:webHidden/>
              </w:rPr>
              <w:fldChar w:fldCharType="separate"/>
            </w:r>
            <w:r>
              <w:rPr>
                <w:noProof/>
                <w:webHidden/>
              </w:rPr>
              <w:t>2</w:t>
            </w:r>
            <w:r>
              <w:rPr>
                <w:noProof/>
                <w:webHidden/>
              </w:rPr>
              <w:fldChar w:fldCharType="end"/>
            </w:r>
          </w:hyperlink>
        </w:p>
        <w:p w14:paraId="47B743F5" w14:textId="3F6F4C4D" w:rsidR="00D07E9B" w:rsidRDefault="00D07E9B">
          <w:pPr>
            <w:pStyle w:val="TOC2"/>
            <w:tabs>
              <w:tab w:val="left" w:pos="720"/>
              <w:tab w:val="right" w:leader="dot" w:pos="9628"/>
            </w:tabs>
            <w:rPr>
              <w:rFonts w:eastAsiaTheme="minorEastAsia"/>
              <w:noProof/>
              <w:sz w:val="24"/>
              <w:szCs w:val="24"/>
              <w:lang w:eastAsia="fr-FR"/>
            </w:rPr>
          </w:pPr>
          <w:hyperlink w:anchor="_Toc214883351" w:history="1">
            <w:r w:rsidRPr="0005516B">
              <w:rPr>
                <w:rStyle w:val="Hyperlink"/>
                <w:noProof/>
              </w:rPr>
              <w:t>II.</w:t>
            </w:r>
            <w:r>
              <w:rPr>
                <w:rFonts w:eastAsiaTheme="minorEastAsia"/>
                <w:noProof/>
                <w:sz w:val="24"/>
                <w:szCs w:val="24"/>
                <w:lang w:eastAsia="fr-FR"/>
              </w:rPr>
              <w:tab/>
            </w:r>
            <w:r w:rsidRPr="0005516B">
              <w:rPr>
                <w:rStyle w:val="Hyperlink"/>
                <w:noProof/>
              </w:rPr>
              <w:t>Introduction</w:t>
            </w:r>
            <w:r>
              <w:rPr>
                <w:noProof/>
                <w:webHidden/>
              </w:rPr>
              <w:tab/>
            </w:r>
            <w:r>
              <w:rPr>
                <w:noProof/>
                <w:webHidden/>
              </w:rPr>
              <w:fldChar w:fldCharType="begin"/>
            </w:r>
            <w:r>
              <w:rPr>
                <w:noProof/>
                <w:webHidden/>
              </w:rPr>
              <w:instrText xml:space="preserve"> PAGEREF _Toc214883351 \h </w:instrText>
            </w:r>
            <w:r>
              <w:rPr>
                <w:noProof/>
                <w:webHidden/>
              </w:rPr>
            </w:r>
            <w:r>
              <w:rPr>
                <w:noProof/>
                <w:webHidden/>
              </w:rPr>
              <w:fldChar w:fldCharType="separate"/>
            </w:r>
            <w:r>
              <w:rPr>
                <w:noProof/>
                <w:webHidden/>
              </w:rPr>
              <w:t>3</w:t>
            </w:r>
            <w:r>
              <w:rPr>
                <w:noProof/>
                <w:webHidden/>
              </w:rPr>
              <w:fldChar w:fldCharType="end"/>
            </w:r>
          </w:hyperlink>
        </w:p>
        <w:p w14:paraId="5CB6F1F5" w14:textId="064DC400" w:rsidR="00D07E9B" w:rsidRDefault="00D07E9B">
          <w:pPr>
            <w:pStyle w:val="TOC2"/>
            <w:tabs>
              <w:tab w:val="left" w:pos="720"/>
              <w:tab w:val="right" w:leader="dot" w:pos="9628"/>
            </w:tabs>
            <w:rPr>
              <w:rFonts w:eastAsiaTheme="minorEastAsia"/>
              <w:noProof/>
              <w:sz w:val="24"/>
              <w:szCs w:val="24"/>
              <w:lang w:eastAsia="fr-FR"/>
            </w:rPr>
          </w:pPr>
          <w:hyperlink w:anchor="_Toc214883352" w:history="1">
            <w:r w:rsidRPr="0005516B">
              <w:rPr>
                <w:rStyle w:val="Hyperlink"/>
                <w:noProof/>
              </w:rPr>
              <w:t>III.</w:t>
            </w:r>
            <w:r>
              <w:rPr>
                <w:rFonts w:eastAsiaTheme="minorEastAsia"/>
                <w:noProof/>
                <w:sz w:val="24"/>
                <w:szCs w:val="24"/>
                <w:lang w:eastAsia="fr-FR"/>
              </w:rPr>
              <w:tab/>
            </w:r>
            <w:r w:rsidRPr="0005516B">
              <w:rPr>
                <w:rStyle w:val="Hyperlink"/>
                <w:noProof/>
              </w:rPr>
              <w:t>Analysis of the 2021 Inflation Surge</w:t>
            </w:r>
            <w:r>
              <w:rPr>
                <w:noProof/>
                <w:webHidden/>
              </w:rPr>
              <w:tab/>
            </w:r>
            <w:r>
              <w:rPr>
                <w:noProof/>
                <w:webHidden/>
              </w:rPr>
              <w:fldChar w:fldCharType="begin"/>
            </w:r>
            <w:r>
              <w:rPr>
                <w:noProof/>
                <w:webHidden/>
              </w:rPr>
              <w:instrText xml:space="preserve"> PAGEREF _Toc214883352 \h </w:instrText>
            </w:r>
            <w:r>
              <w:rPr>
                <w:noProof/>
                <w:webHidden/>
              </w:rPr>
            </w:r>
            <w:r>
              <w:rPr>
                <w:noProof/>
                <w:webHidden/>
              </w:rPr>
              <w:fldChar w:fldCharType="separate"/>
            </w:r>
            <w:r>
              <w:rPr>
                <w:noProof/>
                <w:webHidden/>
              </w:rPr>
              <w:t>3</w:t>
            </w:r>
            <w:r>
              <w:rPr>
                <w:noProof/>
                <w:webHidden/>
              </w:rPr>
              <w:fldChar w:fldCharType="end"/>
            </w:r>
          </w:hyperlink>
        </w:p>
        <w:p w14:paraId="716D29AE" w14:textId="2DA808C3" w:rsidR="00D07E9B" w:rsidRDefault="00D07E9B">
          <w:pPr>
            <w:pStyle w:val="TOC3"/>
            <w:tabs>
              <w:tab w:val="left" w:pos="1200"/>
              <w:tab w:val="right" w:leader="dot" w:pos="9628"/>
            </w:tabs>
            <w:rPr>
              <w:rFonts w:eastAsiaTheme="minorEastAsia"/>
              <w:noProof/>
              <w:sz w:val="24"/>
              <w:szCs w:val="24"/>
              <w:lang w:eastAsia="fr-FR"/>
            </w:rPr>
          </w:pPr>
          <w:hyperlink w:anchor="_Toc214883353" w:history="1">
            <w:r w:rsidRPr="0005516B">
              <w:rPr>
                <w:rStyle w:val="Hyperlink"/>
                <w:noProof/>
              </w:rPr>
              <w:t>III.1.</w:t>
            </w:r>
            <w:r>
              <w:rPr>
                <w:rFonts w:eastAsiaTheme="minorEastAsia"/>
                <w:noProof/>
                <w:sz w:val="24"/>
                <w:szCs w:val="24"/>
                <w:lang w:eastAsia="fr-FR"/>
              </w:rPr>
              <w:tab/>
            </w:r>
            <w:r w:rsidRPr="0005516B">
              <w:rPr>
                <w:rStyle w:val="Hyperlink"/>
                <w:noProof/>
              </w:rPr>
              <w:t>Evolution of the HICP index over time</w:t>
            </w:r>
            <w:r>
              <w:rPr>
                <w:noProof/>
                <w:webHidden/>
              </w:rPr>
              <w:tab/>
            </w:r>
            <w:r>
              <w:rPr>
                <w:noProof/>
                <w:webHidden/>
              </w:rPr>
              <w:fldChar w:fldCharType="begin"/>
            </w:r>
            <w:r>
              <w:rPr>
                <w:noProof/>
                <w:webHidden/>
              </w:rPr>
              <w:instrText xml:space="preserve"> PAGEREF _Toc214883353 \h </w:instrText>
            </w:r>
            <w:r>
              <w:rPr>
                <w:noProof/>
                <w:webHidden/>
              </w:rPr>
            </w:r>
            <w:r>
              <w:rPr>
                <w:noProof/>
                <w:webHidden/>
              </w:rPr>
              <w:fldChar w:fldCharType="separate"/>
            </w:r>
            <w:r>
              <w:rPr>
                <w:noProof/>
                <w:webHidden/>
              </w:rPr>
              <w:t>3</w:t>
            </w:r>
            <w:r>
              <w:rPr>
                <w:noProof/>
                <w:webHidden/>
              </w:rPr>
              <w:fldChar w:fldCharType="end"/>
            </w:r>
          </w:hyperlink>
        </w:p>
        <w:p w14:paraId="03E4E4B6" w14:textId="71A8CDAF" w:rsidR="00D07E9B" w:rsidRDefault="00D07E9B">
          <w:pPr>
            <w:pStyle w:val="TOC3"/>
            <w:tabs>
              <w:tab w:val="left" w:pos="1200"/>
              <w:tab w:val="right" w:leader="dot" w:pos="9628"/>
            </w:tabs>
            <w:rPr>
              <w:rFonts w:eastAsiaTheme="minorEastAsia"/>
              <w:noProof/>
              <w:sz w:val="24"/>
              <w:szCs w:val="24"/>
              <w:lang w:eastAsia="fr-FR"/>
            </w:rPr>
          </w:pPr>
          <w:hyperlink w:anchor="_Toc214883354" w:history="1">
            <w:r w:rsidRPr="0005516B">
              <w:rPr>
                <w:rStyle w:val="Hyperlink"/>
                <w:noProof/>
              </w:rPr>
              <w:t>III.2.</w:t>
            </w:r>
            <w:r>
              <w:rPr>
                <w:rFonts w:eastAsiaTheme="minorEastAsia"/>
                <w:noProof/>
                <w:sz w:val="24"/>
                <w:szCs w:val="24"/>
                <w:lang w:eastAsia="fr-FR"/>
              </w:rPr>
              <w:tab/>
            </w:r>
            <w:r w:rsidRPr="0005516B">
              <w:rPr>
                <w:rStyle w:val="Hyperlink"/>
                <w:noProof/>
              </w:rPr>
              <w:t xml:space="preserve">Contribution of </w:t>
            </w:r>
            <w:r w:rsidRPr="00D07E9B">
              <w:rPr>
                <w:rStyle w:val="Hyperlink"/>
                <w:noProof/>
              </w:rPr>
              <w:t>COICOP</w:t>
            </w:r>
            <w:r w:rsidRPr="0005516B">
              <w:rPr>
                <w:rStyle w:val="Hyperlink"/>
                <w:noProof/>
              </w:rPr>
              <w:t xml:space="preserve"> categories to inflation</w:t>
            </w:r>
            <w:r>
              <w:rPr>
                <w:noProof/>
                <w:webHidden/>
              </w:rPr>
              <w:tab/>
            </w:r>
            <w:r>
              <w:rPr>
                <w:noProof/>
                <w:webHidden/>
              </w:rPr>
              <w:fldChar w:fldCharType="begin"/>
            </w:r>
            <w:r>
              <w:rPr>
                <w:noProof/>
                <w:webHidden/>
              </w:rPr>
              <w:instrText xml:space="preserve"> PAGEREF _Toc214883354 \h </w:instrText>
            </w:r>
            <w:r>
              <w:rPr>
                <w:noProof/>
                <w:webHidden/>
              </w:rPr>
            </w:r>
            <w:r>
              <w:rPr>
                <w:noProof/>
                <w:webHidden/>
              </w:rPr>
              <w:fldChar w:fldCharType="separate"/>
            </w:r>
            <w:r>
              <w:rPr>
                <w:noProof/>
                <w:webHidden/>
              </w:rPr>
              <w:t>4</w:t>
            </w:r>
            <w:r>
              <w:rPr>
                <w:noProof/>
                <w:webHidden/>
              </w:rPr>
              <w:fldChar w:fldCharType="end"/>
            </w:r>
          </w:hyperlink>
        </w:p>
        <w:p w14:paraId="7F26CE30" w14:textId="4D6B4584" w:rsidR="00D07E9B" w:rsidRDefault="00D07E9B">
          <w:pPr>
            <w:pStyle w:val="TOC3"/>
            <w:tabs>
              <w:tab w:val="left" w:pos="1200"/>
              <w:tab w:val="right" w:leader="dot" w:pos="9628"/>
            </w:tabs>
            <w:rPr>
              <w:rFonts w:eastAsiaTheme="minorEastAsia"/>
              <w:noProof/>
              <w:sz w:val="24"/>
              <w:szCs w:val="24"/>
              <w:lang w:eastAsia="fr-FR"/>
            </w:rPr>
          </w:pPr>
          <w:hyperlink w:anchor="_Toc214883355" w:history="1">
            <w:r w:rsidRPr="0005516B">
              <w:rPr>
                <w:rStyle w:val="Hyperlink"/>
                <w:noProof/>
              </w:rPr>
              <w:t>III.3.</w:t>
            </w:r>
            <w:r>
              <w:rPr>
                <w:rFonts w:eastAsiaTheme="minorEastAsia"/>
                <w:noProof/>
                <w:sz w:val="24"/>
                <w:szCs w:val="24"/>
                <w:lang w:eastAsia="fr-FR"/>
              </w:rPr>
              <w:tab/>
            </w:r>
            <w:r w:rsidRPr="0005516B">
              <w:rPr>
                <w:rStyle w:val="Hyperlink"/>
                <w:noProof/>
              </w:rPr>
              <w:t>Intra-category analysis of price components</w:t>
            </w:r>
            <w:r>
              <w:rPr>
                <w:noProof/>
                <w:webHidden/>
              </w:rPr>
              <w:tab/>
            </w:r>
            <w:r>
              <w:rPr>
                <w:noProof/>
                <w:webHidden/>
              </w:rPr>
              <w:fldChar w:fldCharType="begin"/>
            </w:r>
            <w:r>
              <w:rPr>
                <w:noProof/>
                <w:webHidden/>
              </w:rPr>
              <w:instrText xml:space="preserve"> PAGEREF _Toc214883355 \h </w:instrText>
            </w:r>
            <w:r>
              <w:rPr>
                <w:noProof/>
                <w:webHidden/>
              </w:rPr>
            </w:r>
            <w:r>
              <w:rPr>
                <w:noProof/>
                <w:webHidden/>
              </w:rPr>
              <w:fldChar w:fldCharType="separate"/>
            </w:r>
            <w:r>
              <w:rPr>
                <w:noProof/>
                <w:webHidden/>
              </w:rPr>
              <w:t>5</w:t>
            </w:r>
            <w:r>
              <w:rPr>
                <w:noProof/>
                <w:webHidden/>
              </w:rPr>
              <w:fldChar w:fldCharType="end"/>
            </w:r>
          </w:hyperlink>
        </w:p>
        <w:p w14:paraId="0EC110DC" w14:textId="46F30081" w:rsidR="00D07E9B" w:rsidRDefault="00D07E9B">
          <w:pPr>
            <w:pStyle w:val="TOC3"/>
            <w:tabs>
              <w:tab w:val="left" w:pos="1200"/>
              <w:tab w:val="right" w:leader="dot" w:pos="9628"/>
            </w:tabs>
            <w:rPr>
              <w:rFonts w:eastAsiaTheme="minorEastAsia"/>
              <w:noProof/>
              <w:sz w:val="24"/>
              <w:szCs w:val="24"/>
              <w:lang w:eastAsia="fr-FR"/>
            </w:rPr>
          </w:pPr>
          <w:hyperlink w:anchor="_Toc214883356" w:history="1">
            <w:r w:rsidRPr="0005516B">
              <w:rPr>
                <w:rStyle w:val="Hyperlink"/>
                <w:noProof/>
              </w:rPr>
              <w:t>III.4.</w:t>
            </w:r>
            <w:r>
              <w:rPr>
                <w:rFonts w:eastAsiaTheme="minorEastAsia"/>
                <w:noProof/>
                <w:sz w:val="24"/>
                <w:szCs w:val="24"/>
                <w:lang w:eastAsia="fr-FR"/>
              </w:rPr>
              <w:tab/>
            </w:r>
            <w:r w:rsidRPr="0005516B">
              <w:rPr>
                <w:rStyle w:val="Hyperlink"/>
                <w:noProof/>
              </w:rPr>
              <w:t>Conclusion</w:t>
            </w:r>
            <w:r>
              <w:rPr>
                <w:noProof/>
                <w:webHidden/>
              </w:rPr>
              <w:tab/>
            </w:r>
            <w:r>
              <w:rPr>
                <w:noProof/>
                <w:webHidden/>
              </w:rPr>
              <w:fldChar w:fldCharType="begin"/>
            </w:r>
            <w:r>
              <w:rPr>
                <w:noProof/>
                <w:webHidden/>
              </w:rPr>
              <w:instrText xml:space="preserve"> PAGEREF _Toc214883356 \h </w:instrText>
            </w:r>
            <w:r>
              <w:rPr>
                <w:noProof/>
                <w:webHidden/>
              </w:rPr>
            </w:r>
            <w:r>
              <w:rPr>
                <w:noProof/>
                <w:webHidden/>
              </w:rPr>
              <w:fldChar w:fldCharType="separate"/>
            </w:r>
            <w:r>
              <w:rPr>
                <w:noProof/>
                <w:webHidden/>
              </w:rPr>
              <w:t>6</w:t>
            </w:r>
            <w:r>
              <w:rPr>
                <w:noProof/>
                <w:webHidden/>
              </w:rPr>
              <w:fldChar w:fldCharType="end"/>
            </w:r>
          </w:hyperlink>
        </w:p>
        <w:p w14:paraId="1FB0807F" w14:textId="3E988F7B" w:rsidR="00D07E9B" w:rsidRDefault="00D07E9B">
          <w:pPr>
            <w:pStyle w:val="TOC2"/>
            <w:tabs>
              <w:tab w:val="left" w:pos="720"/>
              <w:tab w:val="right" w:leader="dot" w:pos="9628"/>
            </w:tabs>
            <w:rPr>
              <w:rFonts w:eastAsiaTheme="minorEastAsia"/>
              <w:noProof/>
              <w:sz w:val="24"/>
              <w:szCs w:val="24"/>
              <w:lang w:eastAsia="fr-FR"/>
            </w:rPr>
          </w:pPr>
          <w:hyperlink w:anchor="_Toc214883357" w:history="1">
            <w:r w:rsidRPr="0005516B">
              <w:rPr>
                <w:rStyle w:val="Hyperlink"/>
                <w:noProof/>
              </w:rPr>
              <w:t>IV.</w:t>
            </w:r>
            <w:r>
              <w:rPr>
                <w:rFonts w:eastAsiaTheme="minorEastAsia"/>
                <w:noProof/>
                <w:sz w:val="24"/>
                <w:szCs w:val="24"/>
                <w:lang w:eastAsia="fr-FR"/>
              </w:rPr>
              <w:tab/>
            </w:r>
            <w:r w:rsidRPr="0005516B">
              <w:rPr>
                <w:rStyle w:val="Hyperlink"/>
                <w:noProof/>
              </w:rPr>
              <w:t>Structural Analysis of Country Differences</w:t>
            </w:r>
            <w:r>
              <w:rPr>
                <w:noProof/>
                <w:webHidden/>
              </w:rPr>
              <w:tab/>
            </w:r>
            <w:r>
              <w:rPr>
                <w:noProof/>
                <w:webHidden/>
              </w:rPr>
              <w:fldChar w:fldCharType="begin"/>
            </w:r>
            <w:r>
              <w:rPr>
                <w:noProof/>
                <w:webHidden/>
              </w:rPr>
              <w:instrText xml:space="preserve"> PAGEREF _Toc214883357 \h </w:instrText>
            </w:r>
            <w:r>
              <w:rPr>
                <w:noProof/>
                <w:webHidden/>
              </w:rPr>
            </w:r>
            <w:r>
              <w:rPr>
                <w:noProof/>
                <w:webHidden/>
              </w:rPr>
              <w:fldChar w:fldCharType="separate"/>
            </w:r>
            <w:r>
              <w:rPr>
                <w:noProof/>
                <w:webHidden/>
              </w:rPr>
              <w:t>6</w:t>
            </w:r>
            <w:r>
              <w:rPr>
                <w:noProof/>
                <w:webHidden/>
              </w:rPr>
              <w:fldChar w:fldCharType="end"/>
            </w:r>
          </w:hyperlink>
        </w:p>
        <w:p w14:paraId="513E40EF" w14:textId="536DD1F4" w:rsidR="00D07E9B" w:rsidRDefault="00D07E9B">
          <w:pPr>
            <w:pStyle w:val="TOC3"/>
            <w:tabs>
              <w:tab w:val="left" w:pos="1200"/>
              <w:tab w:val="right" w:leader="dot" w:pos="9628"/>
            </w:tabs>
            <w:rPr>
              <w:rFonts w:eastAsiaTheme="minorEastAsia"/>
              <w:noProof/>
              <w:sz w:val="24"/>
              <w:szCs w:val="24"/>
              <w:lang w:eastAsia="fr-FR"/>
            </w:rPr>
          </w:pPr>
          <w:hyperlink w:anchor="_Toc214883358" w:history="1">
            <w:r w:rsidRPr="0005516B">
              <w:rPr>
                <w:rStyle w:val="Hyperlink"/>
                <w:noProof/>
              </w:rPr>
              <w:t>IV.1.</w:t>
            </w:r>
            <w:r>
              <w:rPr>
                <w:rFonts w:eastAsiaTheme="minorEastAsia"/>
                <w:noProof/>
                <w:sz w:val="24"/>
                <w:szCs w:val="24"/>
                <w:lang w:eastAsia="fr-FR"/>
              </w:rPr>
              <w:tab/>
            </w:r>
            <w:r w:rsidRPr="0005516B">
              <w:rPr>
                <w:rStyle w:val="Hyperlink"/>
                <w:noProof/>
              </w:rPr>
              <w:t>Cross-country comparison of inflation rates in 2022</w:t>
            </w:r>
            <w:r>
              <w:rPr>
                <w:noProof/>
                <w:webHidden/>
              </w:rPr>
              <w:tab/>
            </w:r>
            <w:r>
              <w:rPr>
                <w:noProof/>
                <w:webHidden/>
              </w:rPr>
              <w:fldChar w:fldCharType="begin"/>
            </w:r>
            <w:r>
              <w:rPr>
                <w:noProof/>
                <w:webHidden/>
              </w:rPr>
              <w:instrText xml:space="preserve"> PAGEREF _Toc214883358 \h </w:instrText>
            </w:r>
            <w:r>
              <w:rPr>
                <w:noProof/>
                <w:webHidden/>
              </w:rPr>
            </w:r>
            <w:r>
              <w:rPr>
                <w:noProof/>
                <w:webHidden/>
              </w:rPr>
              <w:fldChar w:fldCharType="separate"/>
            </w:r>
            <w:r>
              <w:rPr>
                <w:noProof/>
                <w:webHidden/>
              </w:rPr>
              <w:t>6</w:t>
            </w:r>
            <w:r>
              <w:rPr>
                <w:noProof/>
                <w:webHidden/>
              </w:rPr>
              <w:fldChar w:fldCharType="end"/>
            </w:r>
          </w:hyperlink>
        </w:p>
        <w:p w14:paraId="5C4DDE86" w14:textId="0C4E3436" w:rsidR="00D07E9B" w:rsidRDefault="00D07E9B">
          <w:pPr>
            <w:pStyle w:val="TOC3"/>
            <w:tabs>
              <w:tab w:val="left" w:pos="1200"/>
              <w:tab w:val="right" w:leader="dot" w:pos="9628"/>
            </w:tabs>
            <w:rPr>
              <w:rFonts w:eastAsiaTheme="minorEastAsia"/>
              <w:noProof/>
              <w:sz w:val="24"/>
              <w:szCs w:val="24"/>
              <w:lang w:eastAsia="fr-FR"/>
            </w:rPr>
          </w:pPr>
          <w:hyperlink w:anchor="_Toc214883359" w:history="1">
            <w:r w:rsidRPr="0005516B">
              <w:rPr>
                <w:rStyle w:val="Hyperlink"/>
                <w:noProof/>
              </w:rPr>
              <w:t>IV.2.</w:t>
            </w:r>
            <w:r>
              <w:rPr>
                <w:rFonts w:eastAsiaTheme="minorEastAsia"/>
                <w:noProof/>
                <w:sz w:val="24"/>
                <w:szCs w:val="24"/>
                <w:lang w:eastAsia="fr-FR"/>
              </w:rPr>
              <w:tab/>
            </w:r>
            <w:r w:rsidRPr="0005516B">
              <w:rPr>
                <w:rStyle w:val="Hyperlink"/>
                <w:noProof/>
              </w:rPr>
              <w:t>Country-level structural inflation profiles</w:t>
            </w:r>
            <w:r>
              <w:rPr>
                <w:noProof/>
                <w:webHidden/>
              </w:rPr>
              <w:tab/>
            </w:r>
            <w:r>
              <w:rPr>
                <w:noProof/>
                <w:webHidden/>
              </w:rPr>
              <w:fldChar w:fldCharType="begin"/>
            </w:r>
            <w:r>
              <w:rPr>
                <w:noProof/>
                <w:webHidden/>
              </w:rPr>
              <w:instrText xml:space="preserve"> PAGEREF _Toc214883359 \h </w:instrText>
            </w:r>
            <w:r>
              <w:rPr>
                <w:noProof/>
                <w:webHidden/>
              </w:rPr>
            </w:r>
            <w:r>
              <w:rPr>
                <w:noProof/>
                <w:webHidden/>
              </w:rPr>
              <w:fldChar w:fldCharType="separate"/>
            </w:r>
            <w:r>
              <w:rPr>
                <w:noProof/>
                <w:webHidden/>
              </w:rPr>
              <w:t>7</w:t>
            </w:r>
            <w:r>
              <w:rPr>
                <w:noProof/>
                <w:webHidden/>
              </w:rPr>
              <w:fldChar w:fldCharType="end"/>
            </w:r>
          </w:hyperlink>
        </w:p>
        <w:p w14:paraId="325EA262" w14:textId="3583FD82" w:rsidR="00D07E9B" w:rsidRDefault="00D07E9B">
          <w:pPr>
            <w:pStyle w:val="TOC3"/>
            <w:tabs>
              <w:tab w:val="left" w:pos="1200"/>
              <w:tab w:val="right" w:leader="dot" w:pos="9628"/>
            </w:tabs>
            <w:rPr>
              <w:rFonts w:eastAsiaTheme="minorEastAsia"/>
              <w:noProof/>
              <w:sz w:val="24"/>
              <w:szCs w:val="24"/>
              <w:lang w:eastAsia="fr-FR"/>
            </w:rPr>
          </w:pPr>
          <w:hyperlink w:anchor="_Toc214883360" w:history="1">
            <w:r w:rsidRPr="0005516B">
              <w:rPr>
                <w:rStyle w:val="Hyperlink"/>
                <w:noProof/>
              </w:rPr>
              <w:t>IV.3.</w:t>
            </w:r>
            <w:r>
              <w:rPr>
                <w:rFonts w:eastAsiaTheme="minorEastAsia"/>
                <w:noProof/>
                <w:sz w:val="24"/>
                <w:szCs w:val="24"/>
                <w:lang w:eastAsia="fr-FR"/>
              </w:rPr>
              <w:tab/>
            </w:r>
            <w:r w:rsidRPr="0005516B">
              <w:rPr>
                <w:rStyle w:val="Hyperlink"/>
                <w:noProof/>
              </w:rPr>
              <w:t>PCA analysis of inflation structure and category correlations</w:t>
            </w:r>
            <w:r>
              <w:rPr>
                <w:noProof/>
                <w:webHidden/>
              </w:rPr>
              <w:tab/>
            </w:r>
            <w:r>
              <w:rPr>
                <w:noProof/>
                <w:webHidden/>
              </w:rPr>
              <w:fldChar w:fldCharType="begin"/>
            </w:r>
            <w:r>
              <w:rPr>
                <w:noProof/>
                <w:webHidden/>
              </w:rPr>
              <w:instrText xml:space="preserve"> PAGEREF _Toc214883360 \h </w:instrText>
            </w:r>
            <w:r>
              <w:rPr>
                <w:noProof/>
                <w:webHidden/>
              </w:rPr>
            </w:r>
            <w:r>
              <w:rPr>
                <w:noProof/>
                <w:webHidden/>
              </w:rPr>
              <w:fldChar w:fldCharType="separate"/>
            </w:r>
            <w:r>
              <w:rPr>
                <w:noProof/>
                <w:webHidden/>
              </w:rPr>
              <w:t>8</w:t>
            </w:r>
            <w:r>
              <w:rPr>
                <w:noProof/>
                <w:webHidden/>
              </w:rPr>
              <w:fldChar w:fldCharType="end"/>
            </w:r>
          </w:hyperlink>
        </w:p>
        <w:p w14:paraId="73884C0F" w14:textId="76736212" w:rsidR="00D07E9B" w:rsidRDefault="00D07E9B">
          <w:pPr>
            <w:pStyle w:val="TOC3"/>
            <w:tabs>
              <w:tab w:val="left" w:pos="1200"/>
              <w:tab w:val="right" w:leader="dot" w:pos="9628"/>
            </w:tabs>
            <w:rPr>
              <w:rFonts w:eastAsiaTheme="minorEastAsia"/>
              <w:noProof/>
              <w:sz w:val="24"/>
              <w:szCs w:val="24"/>
              <w:lang w:eastAsia="fr-FR"/>
            </w:rPr>
          </w:pPr>
          <w:hyperlink w:anchor="_Toc214883361" w:history="1">
            <w:r w:rsidRPr="0005516B">
              <w:rPr>
                <w:rStyle w:val="Hyperlink"/>
                <w:noProof/>
              </w:rPr>
              <w:t>IV.4.</w:t>
            </w:r>
            <w:r>
              <w:rPr>
                <w:rFonts w:eastAsiaTheme="minorEastAsia"/>
                <w:noProof/>
                <w:sz w:val="24"/>
                <w:szCs w:val="24"/>
                <w:lang w:eastAsia="fr-FR"/>
              </w:rPr>
              <w:tab/>
            </w:r>
            <w:r w:rsidRPr="0005516B">
              <w:rPr>
                <w:rStyle w:val="Hyperlink"/>
                <w:noProof/>
              </w:rPr>
              <w:t>Conclusion</w:t>
            </w:r>
            <w:r>
              <w:rPr>
                <w:noProof/>
                <w:webHidden/>
              </w:rPr>
              <w:tab/>
            </w:r>
            <w:r>
              <w:rPr>
                <w:noProof/>
                <w:webHidden/>
              </w:rPr>
              <w:fldChar w:fldCharType="begin"/>
            </w:r>
            <w:r>
              <w:rPr>
                <w:noProof/>
                <w:webHidden/>
              </w:rPr>
              <w:instrText xml:space="preserve"> PAGEREF _Toc214883361 \h </w:instrText>
            </w:r>
            <w:r>
              <w:rPr>
                <w:noProof/>
                <w:webHidden/>
              </w:rPr>
            </w:r>
            <w:r>
              <w:rPr>
                <w:noProof/>
                <w:webHidden/>
              </w:rPr>
              <w:fldChar w:fldCharType="separate"/>
            </w:r>
            <w:r>
              <w:rPr>
                <w:noProof/>
                <w:webHidden/>
              </w:rPr>
              <w:t>10</w:t>
            </w:r>
            <w:r>
              <w:rPr>
                <w:noProof/>
                <w:webHidden/>
              </w:rPr>
              <w:fldChar w:fldCharType="end"/>
            </w:r>
          </w:hyperlink>
        </w:p>
        <w:p w14:paraId="4EDAE012" w14:textId="284B272B" w:rsidR="00D07E9B" w:rsidRDefault="00D07E9B">
          <w:pPr>
            <w:pStyle w:val="TOC2"/>
            <w:tabs>
              <w:tab w:val="left" w:pos="720"/>
              <w:tab w:val="right" w:leader="dot" w:pos="9628"/>
            </w:tabs>
            <w:rPr>
              <w:rFonts w:eastAsiaTheme="minorEastAsia"/>
              <w:noProof/>
              <w:sz w:val="24"/>
              <w:szCs w:val="24"/>
              <w:lang w:eastAsia="fr-FR"/>
            </w:rPr>
          </w:pPr>
          <w:hyperlink w:anchor="_Toc214883362" w:history="1">
            <w:r w:rsidRPr="0005516B">
              <w:rPr>
                <w:rStyle w:val="Hyperlink"/>
                <w:noProof/>
              </w:rPr>
              <w:t>V.</w:t>
            </w:r>
            <w:r>
              <w:rPr>
                <w:rFonts w:eastAsiaTheme="minorEastAsia"/>
                <w:noProof/>
                <w:sz w:val="24"/>
                <w:szCs w:val="24"/>
                <w:lang w:eastAsia="fr-FR"/>
              </w:rPr>
              <w:tab/>
            </w:r>
            <w:r w:rsidRPr="0005516B">
              <w:rPr>
                <w:rStyle w:val="Hyperlink"/>
                <w:noProof/>
              </w:rPr>
              <w:t>General Conclusion</w:t>
            </w:r>
            <w:r>
              <w:rPr>
                <w:noProof/>
                <w:webHidden/>
              </w:rPr>
              <w:tab/>
            </w:r>
            <w:r>
              <w:rPr>
                <w:noProof/>
                <w:webHidden/>
              </w:rPr>
              <w:fldChar w:fldCharType="begin"/>
            </w:r>
            <w:r>
              <w:rPr>
                <w:noProof/>
                <w:webHidden/>
              </w:rPr>
              <w:instrText xml:space="preserve"> PAGEREF _Toc214883362 \h </w:instrText>
            </w:r>
            <w:r>
              <w:rPr>
                <w:noProof/>
                <w:webHidden/>
              </w:rPr>
            </w:r>
            <w:r>
              <w:rPr>
                <w:noProof/>
                <w:webHidden/>
              </w:rPr>
              <w:fldChar w:fldCharType="separate"/>
            </w:r>
            <w:r>
              <w:rPr>
                <w:noProof/>
                <w:webHidden/>
              </w:rPr>
              <w:t>10</w:t>
            </w:r>
            <w:r>
              <w:rPr>
                <w:noProof/>
                <w:webHidden/>
              </w:rPr>
              <w:fldChar w:fldCharType="end"/>
            </w:r>
          </w:hyperlink>
        </w:p>
        <w:p w14:paraId="5685E0E2" w14:textId="3DD2FFDC" w:rsidR="002B7939" w:rsidRPr="00B61153" w:rsidRDefault="002B7939" w:rsidP="00B61153">
          <w:pPr>
            <w:spacing w:before="120" w:after="120" w:line="276" w:lineRule="auto"/>
            <w:jc w:val="both"/>
            <w:rPr>
              <w:rFonts w:ascii="Calibri" w:hAnsi="Calibri" w:cs="Calibri"/>
            </w:rPr>
          </w:pPr>
          <w:r w:rsidRPr="00B61153">
            <w:rPr>
              <w:rFonts w:ascii="Calibri" w:hAnsi="Calibri" w:cs="Calibri"/>
              <w:b/>
              <w:bCs/>
              <w:noProof/>
            </w:rPr>
            <w:fldChar w:fldCharType="end"/>
          </w:r>
        </w:p>
      </w:sdtContent>
    </w:sdt>
    <w:p w14:paraId="1B124A74" w14:textId="77777777" w:rsidR="009E6F5C" w:rsidRDefault="009E6F5C" w:rsidP="00DD6179">
      <w:pPr>
        <w:rPr>
          <w:lang w:val="en-US"/>
        </w:rPr>
      </w:pPr>
    </w:p>
    <w:p w14:paraId="4E3CB114" w14:textId="77777777" w:rsidR="009E6F5C" w:rsidRDefault="009E6F5C" w:rsidP="00DD6179">
      <w:pPr>
        <w:rPr>
          <w:lang w:val="en-US"/>
        </w:rPr>
      </w:pPr>
    </w:p>
    <w:p w14:paraId="1F5D715C" w14:textId="77777777" w:rsidR="009E6F5C" w:rsidRDefault="009E6F5C" w:rsidP="00DD6179">
      <w:pPr>
        <w:rPr>
          <w:lang w:val="en-US"/>
        </w:rPr>
      </w:pPr>
    </w:p>
    <w:p w14:paraId="6C95732F" w14:textId="77777777" w:rsidR="009E6F5C" w:rsidRDefault="009E6F5C" w:rsidP="00DD6179">
      <w:pPr>
        <w:rPr>
          <w:lang w:val="en-US"/>
        </w:rPr>
      </w:pPr>
    </w:p>
    <w:p w14:paraId="28814A9B" w14:textId="77777777" w:rsidR="009E6F5C" w:rsidRDefault="009E6F5C" w:rsidP="00DD6179">
      <w:pPr>
        <w:rPr>
          <w:lang w:val="en-US"/>
        </w:rPr>
      </w:pPr>
    </w:p>
    <w:p w14:paraId="345CD86A" w14:textId="77777777" w:rsidR="009E6F5C" w:rsidRDefault="009E6F5C" w:rsidP="00DD6179">
      <w:pPr>
        <w:rPr>
          <w:lang w:val="en-US"/>
        </w:rPr>
      </w:pPr>
    </w:p>
    <w:p w14:paraId="311CE4AD" w14:textId="77777777" w:rsidR="00766280" w:rsidRDefault="00766280" w:rsidP="00DD6179">
      <w:pPr>
        <w:rPr>
          <w:lang w:val="en-US"/>
        </w:rPr>
      </w:pPr>
    </w:p>
    <w:p w14:paraId="459FCE63" w14:textId="77777777" w:rsidR="002C4E12" w:rsidRDefault="002C4E12" w:rsidP="00DD6179">
      <w:pPr>
        <w:rPr>
          <w:lang w:val="en-US"/>
        </w:rPr>
      </w:pPr>
    </w:p>
    <w:p w14:paraId="669AEED4" w14:textId="77777777" w:rsidR="002C4E12" w:rsidRDefault="002C4E12" w:rsidP="00DD6179">
      <w:pPr>
        <w:rPr>
          <w:lang w:val="en-US"/>
        </w:rPr>
      </w:pPr>
    </w:p>
    <w:p w14:paraId="04163593" w14:textId="67F4F3F8" w:rsidR="002C4E12" w:rsidRPr="002C4E12" w:rsidRDefault="002C4E12" w:rsidP="002C4E12">
      <w:pPr>
        <w:pStyle w:val="Heading2"/>
      </w:pPr>
      <w:bookmarkStart w:id="2" w:name="_Toc214883350"/>
      <w:r w:rsidRPr="002C4E12">
        <w:lastRenderedPageBreak/>
        <w:t>Executive Summary</w:t>
      </w:r>
      <w:bookmarkEnd w:id="2"/>
    </w:p>
    <w:p w14:paraId="6311FD00" w14:textId="77777777" w:rsidR="002C4E12" w:rsidRPr="002C4E12" w:rsidRDefault="002C4E12" w:rsidP="002C4E12">
      <w:pPr>
        <w:jc w:val="both"/>
        <w:rPr>
          <w:rFonts w:ascii="Calibri" w:hAnsi="Calibri" w:cs="Calibri"/>
          <w:lang w:val="en-US"/>
        </w:rPr>
      </w:pPr>
      <w:r w:rsidRPr="002C4E12">
        <w:rPr>
          <w:rFonts w:ascii="Calibri" w:hAnsi="Calibri" w:cs="Calibri"/>
          <w:lang w:val="en-US"/>
        </w:rPr>
        <w:t>This report provides an in-depth analysis of the historic inflation surge that began in 2021 within the European Union (EU27). By examining long-term time series, decomposing consumption categories (COICOP), and analyzing structural national dynamics (Heatmap, PCA), we demonstrate that while the initial shock was exogenous and symmetric, its propagation was dictated by pre-existing asymmetric structural vulnerabilities.</w:t>
      </w:r>
    </w:p>
    <w:p w14:paraId="4423D678" w14:textId="77777777" w:rsidR="002C4E12" w:rsidRPr="002C4E12" w:rsidRDefault="002C4E12" w:rsidP="002C4E12">
      <w:pPr>
        <w:jc w:val="both"/>
        <w:rPr>
          <w:rFonts w:ascii="Calibri" w:hAnsi="Calibri" w:cs="Calibri"/>
          <w:lang w:val="en-US"/>
        </w:rPr>
      </w:pPr>
      <w:r w:rsidRPr="002C4E12">
        <w:rPr>
          <w:rFonts w:ascii="Calibri" w:hAnsi="Calibri" w:cs="Calibri"/>
          <w:lang w:val="en-US"/>
        </w:rPr>
        <w:t>The key findings of the analysis are as follows:</w:t>
      </w:r>
    </w:p>
    <w:p w14:paraId="2DE7A1E5" w14:textId="77777777" w:rsidR="002C4E12" w:rsidRPr="002C4E12" w:rsidRDefault="002C4E12" w:rsidP="002C4E12">
      <w:pPr>
        <w:numPr>
          <w:ilvl w:val="0"/>
          <w:numId w:val="44"/>
        </w:numPr>
        <w:jc w:val="both"/>
        <w:rPr>
          <w:rFonts w:ascii="Calibri" w:hAnsi="Calibri" w:cs="Calibri"/>
          <w:lang w:val="en-US"/>
        </w:rPr>
      </w:pPr>
      <w:r w:rsidRPr="002C4E12">
        <w:rPr>
          <w:rFonts w:ascii="Calibri" w:hAnsi="Calibri" w:cs="Calibri"/>
          <w:lang w:val="en-US"/>
        </w:rPr>
        <w:t>A Historic Regime Shift: The year 2021 marks a clear structural break in EU price dynamics, ending a decade of moderate inflationary pressures. In 2022, inflation reached unprecedented levels, primarily fueled by a major energy shock. Three categories (Housing &amp; Energy, Transport, Food) alone accounted for nearly 75% of total inflation. Intra-category analysis reveals extreme hikes in gas (+66.5%) and edible oils (+41.2%), confirming the rapid transmission of global commodity costs to consumer prices.</w:t>
      </w:r>
    </w:p>
    <w:p w14:paraId="2A3AA20A" w14:textId="1C5CC5FF" w:rsidR="002C4E12" w:rsidRPr="002C4E12" w:rsidRDefault="002C4E12" w:rsidP="002C4E12">
      <w:pPr>
        <w:numPr>
          <w:ilvl w:val="0"/>
          <w:numId w:val="44"/>
        </w:numPr>
        <w:jc w:val="both"/>
        <w:rPr>
          <w:rFonts w:ascii="Calibri" w:hAnsi="Calibri" w:cs="Calibri"/>
        </w:rPr>
      </w:pPr>
      <w:r w:rsidRPr="002C4E12">
        <w:rPr>
          <w:rFonts w:ascii="Calibri" w:hAnsi="Calibri" w:cs="Calibri"/>
          <w:lang w:val="en-US"/>
        </w:rPr>
        <w:t xml:space="preserve">Marked Geographical Divergence (3 Clusters): The impact of the shock was highly heterogeneous. </w:t>
      </w:r>
      <w:r w:rsidRPr="002C4E12">
        <w:rPr>
          <w:rFonts w:ascii="Calibri" w:hAnsi="Calibri" w:cs="Calibri"/>
        </w:rPr>
        <w:t xml:space="preserve">The </w:t>
      </w:r>
      <w:proofErr w:type="spellStart"/>
      <w:r w:rsidRPr="002C4E12">
        <w:rPr>
          <w:rFonts w:ascii="Calibri" w:hAnsi="Calibri" w:cs="Calibri"/>
        </w:rPr>
        <w:t>analysis</w:t>
      </w:r>
      <w:proofErr w:type="spellEnd"/>
      <w:r w:rsidRPr="002C4E12">
        <w:rPr>
          <w:rFonts w:ascii="Calibri" w:hAnsi="Calibri" w:cs="Calibri"/>
        </w:rPr>
        <w:t xml:space="preserve"> identifies three distinct country </w:t>
      </w:r>
      <w:r w:rsidR="00241C2D" w:rsidRPr="002C4E12">
        <w:rPr>
          <w:rFonts w:ascii="Calibri" w:hAnsi="Calibri" w:cs="Calibri"/>
        </w:rPr>
        <w:t>groups :</w:t>
      </w:r>
    </w:p>
    <w:p w14:paraId="266716ED" w14:textId="77777777" w:rsidR="002C4E12" w:rsidRPr="002C4E12" w:rsidRDefault="002C4E12" w:rsidP="002C4E12">
      <w:pPr>
        <w:numPr>
          <w:ilvl w:val="1"/>
          <w:numId w:val="44"/>
        </w:numPr>
        <w:jc w:val="both"/>
        <w:rPr>
          <w:rFonts w:ascii="Calibri" w:hAnsi="Calibri" w:cs="Calibri"/>
          <w:lang w:val="en-US"/>
        </w:rPr>
      </w:pPr>
      <w:r w:rsidRPr="002C4E12">
        <w:rPr>
          <w:rFonts w:ascii="Calibri" w:hAnsi="Calibri" w:cs="Calibri"/>
          <w:lang w:val="en-US"/>
        </w:rPr>
        <w:t>The Baltic States, exposed to extreme inflation levels (17–20%).</w:t>
      </w:r>
    </w:p>
    <w:p w14:paraId="5BE74BE7" w14:textId="77777777" w:rsidR="002C4E12" w:rsidRPr="002C4E12" w:rsidRDefault="002C4E12" w:rsidP="002C4E12">
      <w:pPr>
        <w:numPr>
          <w:ilvl w:val="1"/>
          <w:numId w:val="44"/>
        </w:numPr>
        <w:jc w:val="both"/>
        <w:rPr>
          <w:rFonts w:ascii="Calibri" w:hAnsi="Calibri" w:cs="Calibri"/>
          <w:lang w:val="en-US"/>
        </w:rPr>
      </w:pPr>
      <w:r w:rsidRPr="002C4E12">
        <w:rPr>
          <w:rFonts w:ascii="Calibri" w:hAnsi="Calibri" w:cs="Calibri"/>
          <w:lang w:val="en-US"/>
        </w:rPr>
        <w:t>Central and Eastern European Countries (CEECs), showing high inflation ranging from 10% to 16%.</w:t>
      </w:r>
    </w:p>
    <w:p w14:paraId="5357B389" w14:textId="77777777" w:rsidR="002C4E12" w:rsidRPr="002C4E12" w:rsidRDefault="002C4E12" w:rsidP="002C4E12">
      <w:pPr>
        <w:numPr>
          <w:ilvl w:val="1"/>
          <w:numId w:val="44"/>
        </w:numPr>
        <w:jc w:val="both"/>
        <w:rPr>
          <w:rFonts w:ascii="Calibri" w:hAnsi="Calibri" w:cs="Calibri"/>
          <w:lang w:val="en-US"/>
        </w:rPr>
      </w:pPr>
      <w:r w:rsidRPr="002C4E12">
        <w:rPr>
          <w:rFonts w:ascii="Calibri" w:hAnsi="Calibri" w:cs="Calibri"/>
          <w:lang w:val="en-US"/>
        </w:rPr>
        <w:t>Western and Southern Europe, where inflation remained more moderate (below 10%), particularly in France and Germany.</w:t>
      </w:r>
    </w:p>
    <w:p w14:paraId="668F67B5" w14:textId="77777777" w:rsidR="002C4E12" w:rsidRPr="002C4E12" w:rsidRDefault="002C4E12" w:rsidP="002C4E12">
      <w:pPr>
        <w:numPr>
          <w:ilvl w:val="0"/>
          <w:numId w:val="44"/>
        </w:numPr>
        <w:jc w:val="both"/>
        <w:rPr>
          <w:rFonts w:ascii="Calibri" w:hAnsi="Calibri" w:cs="Calibri"/>
          <w:lang w:val="en-US"/>
        </w:rPr>
      </w:pPr>
      <w:r w:rsidRPr="002C4E12">
        <w:rPr>
          <w:rFonts w:ascii="Calibri" w:hAnsi="Calibri" w:cs="Calibri"/>
          <w:lang w:val="en-US"/>
        </w:rPr>
        <w:t xml:space="preserve">Diffusion vs. Concentration: Structural analysis via Heatmaps highlights a fundamental difference </w:t>
      </w:r>
      <w:proofErr w:type="gramStart"/>
      <w:r w:rsidRPr="002C4E12">
        <w:rPr>
          <w:rFonts w:ascii="Calibri" w:hAnsi="Calibri" w:cs="Calibri"/>
          <w:lang w:val="en-US"/>
        </w:rPr>
        <w:t xml:space="preserve">in the </w:t>
      </w:r>
      <w:r w:rsidRPr="002C4E12">
        <w:rPr>
          <w:rFonts w:ascii="Calibri" w:hAnsi="Calibri" w:cs="Calibri"/>
          <w:i/>
          <w:iCs/>
          <w:lang w:val="en-US"/>
        </w:rPr>
        <w:t>nature</w:t>
      </w:r>
      <w:r w:rsidRPr="002C4E12">
        <w:rPr>
          <w:rFonts w:ascii="Calibri" w:hAnsi="Calibri" w:cs="Calibri"/>
          <w:lang w:val="en-US"/>
        </w:rPr>
        <w:t xml:space="preserve"> of inflation</w:t>
      </w:r>
      <w:proofErr w:type="gramEnd"/>
      <w:r w:rsidRPr="002C4E12">
        <w:rPr>
          <w:rFonts w:ascii="Calibri" w:hAnsi="Calibri" w:cs="Calibri"/>
          <w:lang w:val="en-US"/>
        </w:rPr>
        <w:t>. In Western economies, price increases remained concentrated within the "Energy, Transport, and Food" trio. Conversely, Eastern European countries experienced a generalization of inflation spilling over into the entire consumption basket (second-round effects), revealing a lower structural capacity to absorb the shock.</w:t>
      </w:r>
    </w:p>
    <w:p w14:paraId="268A7BE6" w14:textId="77777777" w:rsidR="002C4E12" w:rsidRDefault="002C4E12" w:rsidP="002C4E12">
      <w:pPr>
        <w:numPr>
          <w:ilvl w:val="0"/>
          <w:numId w:val="44"/>
        </w:numPr>
        <w:jc w:val="both"/>
        <w:rPr>
          <w:rFonts w:ascii="Calibri" w:hAnsi="Calibri" w:cs="Calibri"/>
          <w:lang w:val="en-US"/>
        </w:rPr>
      </w:pPr>
      <w:r w:rsidRPr="002C4E12">
        <w:rPr>
          <w:rFonts w:ascii="Calibri" w:hAnsi="Calibri" w:cs="Calibri"/>
          <w:lang w:val="en-US"/>
        </w:rPr>
        <w:t>The Role of Pre-existing Vulnerabilities (PCA Analysis): Principal Component Analysis (PCA) demonstrates that this fragmentation was not accidental. As early as 2019, the countries most affected in 2022 already displayed a higher underlying price dynamic ("hotter baseline") and increased sensitivity to transport prices. The energy crisis acted as a catalyst that amplified these identifiable structural fragilities.</w:t>
      </w:r>
    </w:p>
    <w:p w14:paraId="667C48A1" w14:textId="77777777" w:rsidR="00241C2D" w:rsidRPr="002C4E12" w:rsidRDefault="00241C2D" w:rsidP="00241C2D">
      <w:pPr>
        <w:ind w:left="360"/>
        <w:jc w:val="both"/>
        <w:rPr>
          <w:rFonts w:ascii="Calibri" w:hAnsi="Calibri" w:cs="Calibri"/>
          <w:lang w:val="en-US"/>
        </w:rPr>
      </w:pPr>
    </w:p>
    <w:p w14:paraId="29BFE4AC" w14:textId="77777777" w:rsidR="002C4E12" w:rsidRPr="002C4E12" w:rsidRDefault="002C4E12" w:rsidP="002C4E12">
      <w:pPr>
        <w:jc w:val="both"/>
        <w:rPr>
          <w:rFonts w:ascii="Calibri" w:hAnsi="Calibri" w:cs="Calibri"/>
          <w:lang w:val="en-US"/>
        </w:rPr>
      </w:pPr>
      <w:r w:rsidRPr="002C4E12">
        <w:rPr>
          <w:rFonts w:ascii="Calibri" w:hAnsi="Calibri" w:cs="Calibri"/>
          <w:lang w:val="en-US"/>
        </w:rPr>
        <w:t>In conclusion, the 2021–2022 crisis illustrates the interaction between a symmetric shock (energy) and asymmetric national structures. Economies with higher dependence on fossil fuels and more volatile consumption structures suffered a mechanical amplification of the shock, while others contained the contagion more effectively thanks to more stable price structures.</w:t>
      </w:r>
    </w:p>
    <w:p w14:paraId="4FB92974" w14:textId="77777777" w:rsidR="002C4E12" w:rsidRDefault="002C4E12" w:rsidP="00DD6179">
      <w:pPr>
        <w:rPr>
          <w:lang w:val="en-US"/>
        </w:rPr>
      </w:pPr>
    </w:p>
    <w:p w14:paraId="0079A2F4" w14:textId="77777777" w:rsidR="002C4E12" w:rsidRDefault="002C4E12" w:rsidP="00DD6179">
      <w:pPr>
        <w:rPr>
          <w:lang w:val="en-US"/>
        </w:rPr>
      </w:pPr>
    </w:p>
    <w:p w14:paraId="562EF650" w14:textId="77777777" w:rsidR="002C4E12" w:rsidRDefault="002C4E12" w:rsidP="00DD6179">
      <w:pPr>
        <w:rPr>
          <w:lang w:val="en-US"/>
        </w:rPr>
      </w:pPr>
    </w:p>
    <w:p w14:paraId="25D390F1" w14:textId="77777777" w:rsidR="002C4E12" w:rsidRDefault="002C4E12" w:rsidP="00DD6179">
      <w:pPr>
        <w:rPr>
          <w:lang w:val="en-US"/>
        </w:rPr>
      </w:pPr>
    </w:p>
    <w:p w14:paraId="2C8EDF0F" w14:textId="77777777" w:rsidR="002C4E12" w:rsidRDefault="002C4E12" w:rsidP="00DD6179">
      <w:pPr>
        <w:rPr>
          <w:lang w:val="en-US"/>
        </w:rPr>
      </w:pPr>
    </w:p>
    <w:p w14:paraId="73B30702" w14:textId="2114C4BC" w:rsidR="009E6F5C" w:rsidRPr="002A0B93" w:rsidRDefault="00EA00D1" w:rsidP="002A0B93">
      <w:pPr>
        <w:pStyle w:val="Heading2"/>
      </w:pPr>
      <w:bookmarkStart w:id="3" w:name="_Toc214883351"/>
      <w:r w:rsidRPr="002A0B93">
        <w:lastRenderedPageBreak/>
        <w:t>Introduction</w:t>
      </w:r>
      <w:bookmarkEnd w:id="3"/>
    </w:p>
    <w:p w14:paraId="140585C5" w14:textId="32E98852" w:rsidR="009E6F5C" w:rsidRDefault="00B61153" w:rsidP="00FC17AD">
      <w:pPr>
        <w:jc w:val="both"/>
        <w:rPr>
          <w:rFonts w:ascii="Calibri" w:hAnsi="Calibri" w:cs="Calibri"/>
          <w:lang w:val="en-US"/>
        </w:rPr>
      </w:pPr>
      <w:r w:rsidRPr="0049006E">
        <w:rPr>
          <w:rFonts w:ascii="Calibri" w:hAnsi="Calibri" w:cs="Calibri"/>
          <w:lang w:val="en-US"/>
        </w:rPr>
        <w:t>In 2021, prices skyrocketed across the countries of the European Union with an unprecedented inflation rate, thus making 2021 a turning point in the EU’s economic history. This phenomenon was the result of several multiple shocks that propagated worldwide. In this analysis, we aim to provide a</w:t>
      </w:r>
      <w:r w:rsidR="008559B4">
        <w:rPr>
          <w:rFonts w:ascii="Calibri" w:hAnsi="Calibri" w:cs="Calibri"/>
          <w:lang w:val="en-US"/>
        </w:rPr>
        <w:t xml:space="preserve">n overview </w:t>
      </w:r>
      <w:r w:rsidRPr="0049006E">
        <w:rPr>
          <w:rFonts w:ascii="Calibri" w:hAnsi="Calibri" w:cs="Calibri"/>
          <w:lang w:val="en-US"/>
        </w:rPr>
        <w:t>of the underlying effects of the inflation surge, focusing especially on how these shocks propagated across EU countries and how they were absorbed.</w:t>
      </w:r>
    </w:p>
    <w:p w14:paraId="06FD8B07" w14:textId="77777777" w:rsidR="009E6F5C" w:rsidRPr="00FC17AD" w:rsidRDefault="009E6F5C" w:rsidP="00FC17AD">
      <w:pPr>
        <w:jc w:val="both"/>
        <w:rPr>
          <w:rFonts w:ascii="Calibri" w:hAnsi="Calibri" w:cs="Calibri"/>
          <w:lang w:val="en-US"/>
        </w:rPr>
      </w:pPr>
    </w:p>
    <w:p w14:paraId="5C0A7889" w14:textId="1A195CE3" w:rsidR="001B4A0B" w:rsidRPr="00B91021" w:rsidRDefault="00642842" w:rsidP="00E1763E">
      <w:pPr>
        <w:pStyle w:val="Heading2"/>
      </w:pPr>
      <w:bookmarkStart w:id="4" w:name="_Toc214883352"/>
      <w:r>
        <w:t>Analysis of</w:t>
      </w:r>
      <w:r w:rsidR="001B4A0B" w:rsidRPr="00B91021">
        <w:t xml:space="preserve"> the 2021 Inflation </w:t>
      </w:r>
      <w:r w:rsidR="001B4A0B" w:rsidRPr="00F72D2C">
        <w:t>Surge</w:t>
      </w:r>
      <w:bookmarkEnd w:id="4"/>
    </w:p>
    <w:p w14:paraId="16E6F2C9" w14:textId="022CD792" w:rsidR="001B4A0B" w:rsidRPr="00B61153" w:rsidRDefault="001B4A0B" w:rsidP="00FC17AD">
      <w:pPr>
        <w:pStyle w:val="Heading3"/>
      </w:pPr>
      <w:bookmarkStart w:id="5" w:name="_Toc214883353"/>
      <w:r w:rsidRPr="00B61153">
        <w:t xml:space="preserve">Evolution of the HICP </w:t>
      </w:r>
      <w:r w:rsidRPr="00F72D2C">
        <w:t>index</w:t>
      </w:r>
      <w:r w:rsidRPr="00B61153">
        <w:t xml:space="preserve"> over time</w:t>
      </w:r>
      <w:bookmarkEnd w:id="5"/>
    </w:p>
    <w:p w14:paraId="7924F0C2" w14:textId="77777777" w:rsidR="003B3DA0" w:rsidRDefault="003B3DA0" w:rsidP="00025DA9">
      <w:pPr>
        <w:jc w:val="both"/>
        <w:rPr>
          <w:rFonts w:ascii="Calibri" w:hAnsi="Calibri" w:cs="Calibri"/>
          <w:lang w:val="en-US"/>
        </w:rPr>
      </w:pPr>
      <w:r w:rsidRPr="003B3DA0">
        <w:rPr>
          <w:rFonts w:ascii="Calibri" w:hAnsi="Calibri" w:cs="Calibri"/>
          <w:lang w:val="en-US"/>
        </w:rPr>
        <w:t>The long-term trajectory of the EU27 all-items Harmonized Index of Consumer Prices (HICP) reveals three distinct phases over the 1996–2023 period.</w:t>
      </w:r>
    </w:p>
    <w:p w14:paraId="51AFD5BE" w14:textId="77777777" w:rsidR="003B3DA0" w:rsidRDefault="003B3DA0" w:rsidP="00025DA9">
      <w:pPr>
        <w:jc w:val="both"/>
        <w:rPr>
          <w:rFonts w:ascii="Calibri" w:hAnsi="Calibri" w:cs="Calibri"/>
          <w:lang w:val="en-US"/>
        </w:rPr>
      </w:pPr>
      <w:r w:rsidRPr="003B3DA0">
        <w:rPr>
          <w:rFonts w:ascii="Calibri" w:hAnsi="Calibri" w:cs="Calibri"/>
          <w:lang w:val="en-US"/>
        </w:rPr>
        <w:t>From the late 1990s to the early 2010s, the aggregate HICP followed a stable upward trend. Although country-level starting points differed (as seen in the multi-country version of the chart), the aggregate index reflects the broad and gradual price increases observed across the Union. The global financial crisis temporarily slowed this momentum, but did not reverse the underlying trend.</w:t>
      </w:r>
    </w:p>
    <w:p w14:paraId="2112F5F8" w14:textId="77777777" w:rsidR="003B3DA0" w:rsidRDefault="003B3DA0" w:rsidP="00025DA9">
      <w:pPr>
        <w:jc w:val="both"/>
        <w:rPr>
          <w:rFonts w:ascii="Calibri" w:hAnsi="Calibri" w:cs="Calibri"/>
          <w:lang w:val="en-US"/>
        </w:rPr>
      </w:pPr>
      <w:r w:rsidRPr="003B3DA0">
        <w:rPr>
          <w:rFonts w:ascii="Calibri" w:hAnsi="Calibri" w:cs="Calibri"/>
          <w:lang w:val="en-US"/>
        </w:rPr>
        <w:t>The period following the sovereign debt crisis was characterized by persistently weak price pressures. The EU27 index increased at a historically subdued pace, consistent with the broader low-inflation environment in the euro area. Episodes of mild disinflation at the country level translated into a prolonged flattening of the aggregate HICP curve.</w:t>
      </w:r>
    </w:p>
    <w:p w14:paraId="7AEB2D18" w14:textId="32351B6B" w:rsidR="00DC4A77" w:rsidRDefault="003B3DA0" w:rsidP="00B61153">
      <w:pPr>
        <w:spacing w:before="120" w:after="120" w:line="276" w:lineRule="auto"/>
        <w:jc w:val="both"/>
        <w:rPr>
          <w:rFonts w:ascii="Calibri" w:hAnsi="Calibri" w:cs="Calibri"/>
          <w:lang w:val="en-US"/>
        </w:rPr>
      </w:pPr>
      <w:r w:rsidRPr="003B3DA0">
        <w:rPr>
          <w:rFonts w:ascii="Calibri" w:hAnsi="Calibri" w:cs="Calibri"/>
          <w:lang w:val="en-US"/>
        </w:rPr>
        <w:t>Beginning in early 2021, the price trajectory shifts abruptly. The slope of the EU27 HICP steepens markedly, signaling a regime change in price dynamics. The corresponding year-on-year inflation rate reaches levels unprecedented in the euro area’s history, underscoring the magnitude of the common inflationary shock affecting all Member States. The surge in both the index and its growth rate highlights the exceptional nature of the post-pandemic inflation spike.</w:t>
      </w:r>
    </w:p>
    <w:p w14:paraId="18C72157" w14:textId="77777777" w:rsidR="00F429D4" w:rsidRDefault="00F429D4" w:rsidP="00B61153">
      <w:pPr>
        <w:spacing w:before="120" w:after="120" w:line="276" w:lineRule="auto"/>
        <w:jc w:val="both"/>
        <w:rPr>
          <w:rFonts w:ascii="Calibri" w:hAnsi="Calibri" w:cs="Calibri"/>
          <w:lang w:val="en-US"/>
        </w:rPr>
      </w:pPr>
    </w:p>
    <w:p w14:paraId="6AB26E9D" w14:textId="7ECEF082" w:rsidR="001B4A0B" w:rsidRDefault="00897263" w:rsidP="005B2D9D">
      <w:pPr>
        <w:spacing w:before="120" w:after="120" w:line="276" w:lineRule="auto"/>
        <w:jc w:val="center"/>
        <w:rPr>
          <w:rFonts w:ascii="Calibri" w:hAnsi="Calibri" w:cs="Calibri"/>
          <w:lang w:val="en-US"/>
        </w:rPr>
      </w:pPr>
      <w:r w:rsidRPr="00897263">
        <w:rPr>
          <w:rFonts w:ascii="Calibri" w:hAnsi="Calibri" w:cs="Calibri"/>
          <w:lang w:val="en-US"/>
        </w:rPr>
        <w:drawing>
          <wp:inline distT="0" distB="0" distL="0" distR="0" wp14:anchorId="63EDAC8D" wp14:editId="341BC472">
            <wp:extent cx="6120130" cy="2552065"/>
            <wp:effectExtent l="0" t="0" r="0" b="635"/>
            <wp:docPr id="776447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447083" name=""/>
                    <pic:cNvPicPr/>
                  </pic:nvPicPr>
                  <pic:blipFill>
                    <a:blip r:embed="rId8"/>
                    <a:stretch>
                      <a:fillRect/>
                    </a:stretch>
                  </pic:blipFill>
                  <pic:spPr>
                    <a:xfrm>
                      <a:off x="0" y="0"/>
                      <a:ext cx="6120130" cy="2552065"/>
                    </a:xfrm>
                    <a:prstGeom prst="rect">
                      <a:avLst/>
                    </a:prstGeom>
                  </pic:spPr>
                </pic:pic>
              </a:graphicData>
            </a:graphic>
          </wp:inline>
        </w:drawing>
      </w:r>
    </w:p>
    <w:p w14:paraId="67AC5EFB" w14:textId="77777777" w:rsidR="00F429D4" w:rsidRPr="00AB68D4" w:rsidRDefault="00F429D4" w:rsidP="005B2D9D">
      <w:pPr>
        <w:spacing w:before="120" w:after="120" w:line="276" w:lineRule="auto"/>
        <w:jc w:val="center"/>
        <w:rPr>
          <w:rFonts w:ascii="Calibri" w:hAnsi="Calibri" w:cs="Calibri"/>
          <w:lang w:val="en-US"/>
        </w:rPr>
      </w:pPr>
    </w:p>
    <w:p w14:paraId="6CAB513F" w14:textId="74E3F193" w:rsidR="001B4A0B" w:rsidRDefault="001B4A0B" w:rsidP="00F72D2C">
      <w:pPr>
        <w:pStyle w:val="Heading3"/>
      </w:pPr>
      <w:bookmarkStart w:id="6" w:name="_Toc214883354"/>
      <w:r w:rsidRPr="00B61153">
        <w:lastRenderedPageBreak/>
        <w:t xml:space="preserve">Contribution of </w:t>
      </w:r>
      <w:r w:rsidR="00F238D7" w:rsidRPr="00543B45">
        <w:rPr>
          <w:i/>
          <w:iCs/>
          <w:vertAlign w:val="superscript"/>
        </w:rPr>
        <w:t>1</w:t>
      </w:r>
      <w:r w:rsidRPr="00682250">
        <w:rPr>
          <w:i/>
          <w:iCs/>
        </w:rPr>
        <w:t>COICOP</w:t>
      </w:r>
      <w:r w:rsidRPr="00B61153">
        <w:t xml:space="preserve"> categories to inflation</w:t>
      </w:r>
      <w:bookmarkEnd w:id="6"/>
    </w:p>
    <w:p w14:paraId="34AC7A7B" w14:textId="77777777" w:rsidR="00302D72" w:rsidRPr="00302D72" w:rsidRDefault="00302D72" w:rsidP="00302D72">
      <w:pPr>
        <w:pStyle w:val="NormalWeb"/>
        <w:jc w:val="both"/>
        <w:rPr>
          <w:rFonts w:ascii="Calibri" w:hAnsi="Calibri" w:cs="Calibri"/>
          <w:b/>
          <w:bCs/>
          <w:sz w:val="22"/>
          <w:szCs w:val="22"/>
          <w:lang w:val="en-US"/>
        </w:rPr>
      </w:pPr>
      <w:r w:rsidRPr="00302D72">
        <w:rPr>
          <w:rStyle w:val="Strong"/>
          <w:rFonts w:ascii="Calibri" w:eastAsiaTheme="majorEastAsia" w:hAnsi="Calibri" w:cs="Calibri"/>
          <w:b w:val="0"/>
          <w:bCs w:val="0"/>
          <w:sz w:val="22"/>
          <w:szCs w:val="22"/>
          <w:lang w:val="en-US"/>
        </w:rPr>
        <w:t>As shown in the previous section, inflation reached its highest level in 2022. To better understand the structure of this inflation peak, it is useful to examine how much each major COICOP category contributed to the overall annual rate.</w:t>
      </w:r>
    </w:p>
    <w:p w14:paraId="57E38CA9" w14:textId="77777777" w:rsidR="00302D72" w:rsidRPr="00302D72" w:rsidRDefault="00302D72" w:rsidP="00302D72">
      <w:pPr>
        <w:pStyle w:val="NormalWeb"/>
        <w:jc w:val="both"/>
        <w:rPr>
          <w:rFonts w:ascii="Calibri" w:hAnsi="Calibri" w:cs="Calibri"/>
          <w:b/>
          <w:bCs/>
          <w:sz w:val="22"/>
          <w:szCs w:val="22"/>
          <w:lang w:val="en-US"/>
        </w:rPr>
      </w:pPr>
      <w:r w:rsidRPr="00302D72">
        <w:rPr>
          <w:rStyle w:val="Strong"/>
          <w:rFonts w:ascii="Calibri" w:eastAsiaTheme="majorEastAsia" w:hAnsi="Calibri" w:cs="Calibri"/>
          <w:b w:val="0"/>
          <w:bCs w:val="0"/>
          <w:sz w:val="22"/>
          <w:szCs w:val="22"/>
          <w:lang w:val="en-US"/>
        </w:rPr>
        <w:t>The pie chart below displays the relative contribution of each expenditure group to EU27 inflation in 2022. Three categories alone account for nearly 75% of the total.</w:t>
      </w:r>
    </w:p>
    <w:p w14:paraId="4F981047" w14:textId="77777777" w:rsidR="00302D72" w:rsidRPr="00302D72" w:rsidRDefault="00302D72" w:rsidP="00302D72">
      <w:pPr>
        <w:pStyle w:val="NormalWeb"/>
        <w:jc w:val="both"/>
        <w:rPr>
          <w:rFonts w:ascii="Calibri" w:hAnsi="Calibri" w:cs="Calibri"/>
          <w:b/>
          <w:bCs/>
          <w:sz w:val="22"/>
          <w:szCs w:val="22"/>
          <w:lang w:val="en-US"/>
        </w:rPr>
      </w:pPr>
      <w:r w:rsidRPr="00302D72">
        <w:rPr>
          <w:rStyle w:val="Strong"/>
          <w:rFonts w:ascii="Calibri" w:eastAsiaTheme="majorEastAsia" w:hAnsi="Calibri" w:cs="Calibri"/>
          <w:b w:val="0"/>
          <w:bCs w:val="0"/>
          <w:sz w:val="22"/>
          <w:szCs w:val="22"/>
          <w:lang w:val="en-US"/>
        </w:rPr>
        <w:t>The largest contributor is “Housing, water, electricity, gas and other fuels”, which represents about 34% of annual inflation. It is followed by “Transport” (22.4%) and “Food and non-alcoholic beverages” (18.7%).</w:t>
      </w:r>
    </w:p>
    <w:p w14:paraId="32575104" w14:textId="31EE69CD" w:rsidR="00410BDE" w:rsidRPr="00B4722D" w:rsidRDefault="00FE1DB4" w:rsidP="00B9619D">
      <w:pPr>
        <w:spacing w:before="120" w:after="120" w:line="276" w:lineRule="auto"/>
        <w:jc w:val="both"/>
        <w:rPr>
          <w:rFonts w:ascii="Calibri" w:hAnsi="Calibri" w:cs="Calibri"/>
          <w:lang w:val="en-US"/>
        </w:rPr>
      </w:pPr>
      <w:r w:rsidRPr="00FE1DB4">
        <w:rPr>
          <w:rFonts w:ascii="Calibri" w:hAnsi="Calibri" w:cs="Calibri"/>
          <w:lang w:val="en-US"/>
        </w:rPr>
        <w:t>While Transport and Housing &amp; Energy are significant contributors, the latter category clearly dominates the inflation increase, suggesting a shock directly linked to this sector occurred. In the next section, we will focus on which sub-components drove the inflation within these three main categories.</w:t>
      </w:r>
    </w:p>
    <w:p w14:paraId="76B73118" w14:textId="2E26BEA5" w:rsidR="000875A3" w:rsidRDefault="00FD74A9" w:rsidP="00B9619D">
      <w:pPr>
        <w:spacing w:before="120" w:after="120" w:line="276" w:lineRule="auto"/>
        <w:jc w:val="both"/>
        <w:rPr>
          <w:rFonts w:ascii="Calibri" w:hAnsi="Calibri" w:cs="Calibri"/>
          <w:color w:val="FFFFFF" w:themeColor="background1"/>
          <w:lang w:val="en-US"/>
        </w:rPr>
      </w:pPr>
      <w:r w:rsidRPr="00FD74A9">
        <w:rPr>
          <w:rStyle w:val="FootnoteReference"/>
          <w:rFonts w:ascii="Calibri" w:hAnsi="Calibri" w:cs="Calibri"/>
          <w:color w:val="FFFFFF" w:themeColor="background1"/>
          <w:lang w:val="en-US"/>
        </w:rPr>
        <w:footnoteReference w:id="2"/>
      </w:r>
    </w:p>
    <w:p w14:paraId="30D31542" w14:textId="1495BA69" w:rsidR="00F238D7" w:rsidRDefault="00183E1D" w:rsidP="00801D90">
      <w:pPr>
        <w:spacing w:before="120" w:after="120" w:line="276" w:lineRule="auto"/>
        <w:jc w:val="center"/>
        <w:rPr>
          <w:rFonts w:ascii="Calibri" w:hAnsi="Calibri" w:cs="Calibri"/>
        </w:rPr>
      </w:pPr>
      <w:r w:rsidRPr="00183E1D">
        <w:rPr>
          <w:rFonts w:ascii="Calibri" w:hAnsi="Calibri" w:cs="Calibri"/>
          <w:noProof/>
        </w:rPr>
        <w:drawing>
          <wp:inline distT="0" distB="0" distL="0" distR="0" wp14:anchorId="4F1D0A50" wp14:editId="6BB5F26E">
            <wp:extent cx="6471053" cy="2691684"/>
            <wp:effectExtent l="0" t="0" r="0" b="0"/>
            <wp:docPr id="843832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832823" name=""/>
                    <pic:cNvPicPr/>
                  </pic:nvPicPr>
                  <pic:blipFill>
                    <a:blip r:embed="rId9"/>
                    <a:stretch>
                      <a:fillRect/>
                    </a:stretch>
                  </pic:blipFill>
                  <pic:spPr>
                    <a:xfrm>
                      <a:off x="0" y="0"/>
                      <a:ext cx="6471053" cy="2691684"/>
                    </a:xfrm>
                    <a:prstGeom prst="rect">
                      <a:avLst/>
                    </a:prstGeom>
                  </pic:spPr>
                </pic:pic>
              </a:graphicData>
            </a:graphic>
          </wp:inline>
        </w:drawing>
      </w:r>
      <w:r w:rsidR="00F238D7" w:rsidRPr="00F238D7">
        <w:rPr>
          <w:rStyle w:val="FootnoteReference"/>
          <w:rFonts w:ascii="Calibri" w:hAnsi="Calibri" w:cs="Calibri"/>
          <w:color w:val="FFFFFF" w:themeColor="background1"/>
          <w:lang w:val="en-US"/>
        </w:rPr>
        <w:footnoteReference w:id="3"/>
      </w:r>
    </w:p>
    <w:p w14:paraId="31D7F229" w14:textId="77777777" w:rsidR="006B740F" w:rsidRDefault="006B740F" w:rsidP="00801D90">
      <w:pPr>
        <w:spacing w:before="120" w:after="120" w:line="276" w:lineRule="auto"/>
        <w:jc w:val="center"/>
        <w:rPr>
          <w:rFonts w:ascii="Calibri" w:hAnsi="Calibri" w:cs="Calibri"/>
        </w:rPr>
      </w:pPr>
    </w:p>
    <w:p w14:paraId="603F6E60" w14:textId="77777777" w:rsidR="006B740F" w:rsidRDefault="006B740F" w:rsidP="00801D90">
      <w:pPr>
        <w:spacing w:before="120" w:after="120" w:line="276" w:lineRule="auto"/>
        <w:jc w:val="center"/>
        <w:rPr>
          <w:rFonts w:ascii="Calibri" w:hAnsi="Calibri" w:cs="Calibri"/>
        </w:rPr>
      </w:pPr>
    </w:p>
    <w:p w14:paraId="4FBC0253" w14:textId="77777777" w:rsidR="006B740F" w:rsidRDefault="006B740F" w:rsidP="00801D90">
      <w:pPr>
        <w:spacing w:before="120" w:after="120" w:line="276" w:lineRule="auto"/>
        <w:jc w:val="center"/>
        <w:rPr>
          <w:rFonts w:ascii="Calibri" w:hAnsi="Calibri" w:cs="Calibri"/>
        </w:rPr>
      </w:pPr>
    </w:p>
    <w:p w14:paraId="1014B480" w14:textId="77777777" w:rsidR="006B740F" w:rsidRPr="00801D90" w:rsidRDefault="006B740F" w:rsidP="00801D90">
      <w:pPr>
        <w:spacing w:before="120" w:after="120" w:line="276" w:lineRule="auto"/>
        <w:jc w:val="center"/>
        <w:rPr>
          <w:rFonts w:ascii="Calibri" w:hAnsi="Calibri" w:cs="Calibri"/>
        </w:rPr>
      </w:pPr>
    </w:p>
    <w:p w14:paraId="3E3F87D6" w14:textId="7DFA1571" w:rsidR="00EA00D1" w:rsidRPr="001E23F3" w:rsidRDefault="001B4A0B" w:rsidP="0068166D">
      <w:pPr>
        <w:pStyle w:val="Heading3"/>
      </w:pPr>
      <w:bookmarkStart w:id="7" w:name="_Toc214883355"/>
      <w:r w:rsidRPr="001E23F3">
        <w:lastRenderedPageBreak/>
        <w:t>Intra-category analysis of price components</w:t>
      </w:r>
      <w:bookmarkEnd w:id="7"/>
    </w:p>
    <w:p w14:paraId="05B50632" w14:textId="72B4177E" w:rsidR="004C1D84" w:rsidRPr="004C1D84" w:rsidRDefault="004C1D84" w:rsidP="004C1D84">
      <w:pPr>
        <w:pStyle w:val="NormalWeb"/>
        <w:jc w:val="both"/>
        <w:rPr>
          <w:rFonts w:ascii="Calibri" w:hAnsi="Calibri" w:cs="Calibri"/>
          <w:sz w:val="22"/>
          <w:szCs w:val="22"/>
          <w:lang w:val="en-US"/>
        </w:rPr>
      </w:pPr>
      <w:r w:rsidRPr="004C1D84">
        <w:rPr>
          <w:rFonts w:ascii="Calibri" w:hAnsi="Calibri" w:cs="Calibri"/>
          <w:sz w:val="22"/>
          <w:szCs w:val="22"/>
          <w:lang w:val="en-US"/>
        </w:rPr>
        <w:t xml:space="preserve">This horizontal bar chart provides complementary insight to the previous pie chart. While the circular diagram highlighted the preponderant weight of the "Housing &amp; Energy," "Transport," and "Food" categories in the overall contribution to inflation (accounting for over </w:t>
      </w:r>
      <w:r w:rsidR="00B4722D">
        <w:rPr>
          <w:rFonts w:ascii="Calibri" w:hAnsi="Calibri" w:cs="Calibri"/>
          <w:sz w:val="22"/>
          <w:szCs w:val="22"/>
          <w:lang w:val="en-US"/>
        </w:rPr>
        <w:t>75</w:t>
      </w:r>
      <w:r w:rsidRPr="004C1D84">
        <w:rPr>
          <w:rFonts w:ascii="Calibri" w:hAnsi="Calibri" w:cs="Calibri"/>
          <w:sz w:val="22"/>
          <w:szCs w:val="22"/>
          <w:lang w:val="en-US"/>
        </w:rPr>
        <w:t>% of the total impact), this graph details the precise magnitude of price increases experienced by specific subcategories in 2022. It allows us to quantitatively identify the root causes of this inflationary surge.</w:t>
      </w:r>
    </w:p>
    <w:p w14:paraId="0CBB6D6E" w14:textId="613BD485" w:rsidR="004C1D84" w:rsidRPr="004C1D84" w:rsidRDefault="004C1D84" w:rsidP="004C1D84">
      <w:pPr>
        <w:pStyle w:val="NormalWeb"/>
        <w:jc w:val="both"/>
        <w:rPr>
          <w:rFonts w:ascii="Calibri" w:hAnsi="Calibri" w:cs="Calibri"/>
          <w:sz w:val="22"/>
          <w:szCs w:val="22"/>
          <w:lang w:val="en-US"/>
        </w:rPr>
      </w:pPr>
      <w:r w:rsidRPr="004C1D84">
        <w:rPr>
          <w:rFonts w:ascii="Calibri" w:hAnsi="Calibri" w:cs="Calibri"/>
          <w:sz w:val="22"/>
          <w:szCs w:val="22"/>
          <w:lang w:val="en-US"/>
        </w:rPr>
        <w:t>Regarding the "Housing &amp; Energy" category, the analysis reveals an unprecedented price surge acting as the primary driver of inflation. It is in this sector that the most extreme rates are concentrated: natural gas and town gas recorded the highest rise at 66.5%, followed closely by gas and liquid fuels, which hovered near a 60% increase. Coal, solid fuels, and electricity were not spared, posting increases of roughly 44% for the first two and 34.8% for the latter. These figures confirm that the contribution of this sector observed in the pie chart is the direct consequence of a</w:t>
      </w:r>
      <w:r w:rsidR="00E57085">
        <w:rPr>
          <w:rFonts w:ascii="Calibri" w:hAnsi="Calibri" w:cs="Calibri"/>
          <w:sz w:val="22"/>
          <w:szCs w:val="22"/>
          <w:lang w:val="en-US"/>
        </w:rPr>
        <w:t xml:space="preserve">n important </w:t>
      </w:r>
      <w:r w:rsidRPr="004C1D84">
        <w:rPr>
          <w:rFonts w:ascii="Calibri" w:hAnsi="Calibri" w:cs="Calibri"/>
          <w:sz w:val="22"/>
          <w:szCs w:val="22"/>
          <w:lang w:val="en-US"/>
        </w:rPr>
        <w:t>structural energy shock affecting all energy sources.</w:t>
      </w:r>
    </w:p>
    <w:p w14:paraId="0D61D075" w14:textId="77777777" w:rsidR="004C1D84" w:rsidRPr="004C1D84" w:rsidRDefault="004C1D84" w:rsidP="004C1D84">
      <w:pPr>
        <w:pStyle w:val="NormalWeb"/>
        <w:jc w:val="both"/>
        <w:rPr>
          <w:rFonts w:ascii="Calibri" w:hAnsi="Calibri" w:cs="Calibri"/>
          <w:sz w:val="22"/>
          <w:szCs w:val="22"/>
          <w:lang w:val="en-US"/>
        </w:rPr>
      </w:pPr>
      <w:r w:rsidRPr="004C1D84">
        <w:rPr>
          <w:rFonts w:ascii="Calibri" w:hAnsi="Calibri" w:cs="Calibri"/>
          <w:sz w:val="22"/>
          <w:szCs w:val="22"/>
          <w:lang w:val="en-US"/>
        </w:rPr>
        <w:t>In the food sector, inflationary pressures are concentrated on products closely linked to global agricultural commodity prices. Edible oils bore the heaviest impact, with a 41.2% increase for "other edible oils." In the same vein, flours, cereals, and fats (such as margarine) all displayed inflation rates above 24%, illustrating the rapid transmission of commodity costs to consumer prices.</w:t>
      </w:r>
    </w:p>
    <w:p w14:paraId="19F702B2" w14:textId="342F1C8A" w:rsidR="00387DD7" w:rsidRDefault="004C1D84" w:rsidP="00B4722D">
      <w:pPr>
        <w:pStyle w:val="NormalWeb"/>
        <w:jc w:val="both"/>
        <w:rPr>
          <w:rFonts w:ascii="Calibri" w:hAnsi="Calibri" w:cs="Calibri"/>
          <w:sz w:val="22"/>
          <w:szCs w:val="22"/>
          <w:lang w:val="en-US"/>
        </w:rPr>
      </w:pPr>
      <w:r w:rsidRPr="004C1D84">
        <w:rPr>
          <w:rFonts w:ascii="Calibri" w:hAnsi="Calibri" w:cs="Calibri"/>
          <w:sz w:val="22"/>
          <w:szCs w:val="22"/>
          <w:lang w:val="en-US"/>
        </w:rPr>
        <w:t>Finally, the transport sector presents a more diversified picture, driven by two distinct factors. On one hand, rising energy costs reverberated directly on diesel (+34.4%) and other fuels for personal vehicles. On the other hand, there was a marked increase in air transport fares, particularly for international flights (+23.1%). This latter rise reflects a dual dynamic: the impact of higher jet fuel costs combined with the strong post-Covid recovery in travel demand.</w:t>
      </w:r>
    </w:p>
    <w:p w14:paraId="7E4EFCCF" w14:textId="1EA498C8" w:rsidR="00AE067C" w:rsidRDefault="00885468" w:rsidP="00B4722D">
      <w:pPr>
        <w:pStyle w:val="NormalWeb"/>
        <w:jc w:val="both"/>
        <w:rPr>
          <w:rFonts w:ascii="Calibri" w:hAnsi="Calibri" w:cs="Calibri"/>
          <w:sz w:val="22"/>
          <w:szCs w:val="22"/>
          <w:lang w:val="en-US"/>
        </w:rPr>
      </w:pPr>
      <w:r>
        <w:rPr>
          <w:rFonts w:ascii="Calibri" w:hAnsi="Calibri" w:cs="Calibri"/>
          <w:sz w:val="22"/>
          <w:szCs w:val="22"/>
          <w:lang w:val="en-US"/>
        </w:rPr>
        <w:t>N</w:t>
      </w:r>
      <w:r w:rsidR="00B4722D" w:rsidRPr="00B4722D">
        <w:rPr>
          <w:rFonts w:ascii="Calibri" w:hAnsi="Calibri" w:cs="Calibri"/>
          <w:sz w:val="22"/>
          <w:szCs w:val="22"/>
          <w:lang w:val="en-US"/>
        </w:rPr>
        <w:t>B: These figures illustrate the internal price dynamics of each category but do not represent weighted contributions to total inflation.</w:t>
      </w:r>
    </w:p>
    <w:p w14:paraId="003ECEDE" w14:textId="77777777" w:rsidR="00CC581D" w:rsidRPr="00B4722D" w:rsidRDefault="00CC581D" w:rsidP="00B4722D">
      <w:pPr>
        <w:pStyle w:val="NormalWeb"/>
        <w:jc w:val="both"/>
        <w:rPr>
          <w:rFonts w:ascii="Calibri" w:hAnsi="Calibri" w:cs="Calibri"/>
          <w:sz w:val="22"/>
          <w:szCs w:val="22"/>
          <w:lang w:val="en-US"/>
        </w:rPr>
      </w:pPr>
    </w:p>
    <w:p w14:paraId="0C49B3F6" w14:textId="5C81EAAD" w:rsidR="00AE067C" w:rsidRPr="0084603F" w:rsidRDefault="008D7EB8" w:rsidP="006B740F">
      <w:pPr>
        <w:spacing w:before="120" w:after="120" w:line="276" w:lineRule="auto"/>
        <w:jc w:val="center"/>
        <w:rPr>
          <w:rFonts w:ascii="Calibri" w:hAnsi="Calibri" w:cs="Calibri"/>
          <w:lang w:val="en-US"/>
        </w:rPr>
      </w:pPr>
      <w:r w:rsidRPr="008D7EB8">
        <w:rPr>
          <w:rFonts w:ascii="Calibri" w:hAnsi="Calibri" w:cs="Calibri"/>
          <w:noProof/>
          <w:lang w:val="en-US"/>
        </w:rPr>
        <w:drawing>
          <wp:inline distT="0" distB="0" distL="0" distR="0" wp14:anchorId="65F0D5DF" wp14:editId="7AA57643">
            <wp:extent cx="5702935" cy="3590925"/>
            <wp:effectExtent l="0" t="0" r="0" b="9525"/>
            <wp:docPr id="803136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36998" name=""/>
                    <pic:cNvPicPr/>
                  </pic:nvPicPr>
                  <pic:blipFill>
                    <a:blip r:embed="rId10"/>
                    <a:stretch>
                      <a:fillRect/>
                    </a:stretch>
                  </pic:blipFill>
                  <pic:spPr>
                    <a:xfrm>
                      <a:off x="0" y="0"/>
                      <a:ext cx="5771631" cy="3634180"/>
                    </a:xfrm>
                    <a:prstGeom prst="rect">
                      <a:avLst/>
                    </a:prstGeom>
                  </pic:spPr>
                </pic:pic>
              </a:graphicData>
            </a:graphic>
          </wp:inline>
        </w:drawing>
      </w:r>
    </w:p>
    <w:p w14:paraId="734A2071" w14:textId="00F8D2E2" w:rsidR="007A161B" w:rsidRDefault="007A161B" w:rsidP="00F72D2C">
      <w:pPr>
        <w:pStyle w:val="Heading3"/>
      </w:pPr>
      <w:bookmarkStart w:id="8" w:name="_Hlk214612236"/>
      <w:bookmarkStart w:id="9" w:name="_Toc214883356"/>
      <w:r w:rsidRPr="00B61153">
        <w:lastRenderedPageBreak/>
        <w:t>Conclusion</w:t>
      </w:r>
      <w:bookmarkEnd w:id="9"/>
    </w:p>
    <w:bookmarkEnd w:id="8"/>
    <w:p w14:paraId="4ACC8D58" w14:textId="245758B0" w:rsidR="002C4E12" w:rsidRDefault="00F97174" w:rsidP="00FC0064">
      <w:pPr>
        <w:jc w:val="both"/>
        <w:rPr>
          <w:rFonts w:ascii="Calibri" w:hAnsi="Calibri" w:cs="Calibri"/>
          <w:lang w:val="en-US"/>
        </w:rPr>
      </w:pPr>
      <w:r w:rsidRPr="00F97174">
        <w:rPr>
          <w:rFonts w:ascii="Calibri" w:hAnsi="Calibri" w:cs="Calibri"/>
          <w:lang w:val="en-US"/>
        </w:rPr>
        <w:t>In conclusion, this first part confirms that 2021 marked a structural break in EU price dynamics, culminating in an exceptional inflation peak in 2022 driven primarily by energy-related components, and secondarily by food and transport. However, these findings describe the European average and do not reveal how these shocks were transmitted across individual Member States. This raises an essential question: to what extent did countries experience the inflation surge in a similar way? The next section turns to the cross-country dimension and examines how the shock propagated throughout the EU.</w:t>
      </w:r>
    </w:p>
    <w:p w14:paraId="766C9C79" w14:textId="77777777" w:rsidR="002C4E12" w:rsidRPr="000E62A1" w:rsidRDefault="002C4E12" w:rsidP="00FC0064">
      <w:pPr>
        <w:jc w:val="both"/>
        <w:rPr>
          <w:rFonts w:ascii="Calibri" w:hAnsi="Calibri" w:cs="Calibri"/>
          <w:lang w:val="en-US"/>
        </w:rPr>
      </w:pPr>
    </w:p>
    <w:p w14:paraId="437159D6" w14:textId="31D45B44" w:rsidR="008B1DF0" w:rsidRPr="00B91021" w:rsidRDefault="008B1DF0" w:rsidP="003763F8">
      <w:pPr>
        <w:pStyle w:val="Heading2"/>
      </w:pPr>
      <w:bookmarkStart w:id="10" w:name="_Toc214883357"/>
      <w:r w:rsidRPr="00FC17AD">
        <w:t>Structural</w:t>
      </w:r>
      <w:r w:rsidRPr="00B91021">
        <w:t xml:space="preserve"> Analysis of Country Differences</w:t>
      </w:r>
      <w:bookmarkEnd w:id="10"/>
    </w:p>
    <w:p w14:paraId="1481BFC8" w14:textId="66E23503" w:rsidR="00767782" w:rsidRPr="00B61153" w:rsidRDefault="008B1DF0" w:rsidP="003763F8">
      <w:pPr>
        <w:pStyle w:val="Heading3"/>
      </w:pPr>
      <w:bookmarkStart w:id="11" w:name="_Toc214883358"/>
      <w:r w:rsidRPr="00B61153">
        <w:t>Cross-country comparison of inflation rates in 2022</w:t>
      </w:r>
      <w:bookmarkEnd w:id="11"/>
    </w:p>
    <w:p w14:paraId="54BFE2FD" w14:textId="229C9875" w:rsidR="00E627D0" w:rsidRPr="00E627D0" w:rsidRDefault="00E627D0" w:rsidP="00E42D92">
      <w:pPr>
        <w:pStyle w:val="NormalWeb"/>
        <w:jc w:val="both"/>
        <w:rPr>
          <w:rFonts w:ascii="Calibri" w:eastAsiaTheme="minorHAnsi" w:hAnsi="Calibri" w:cs="Calibri"/>
          <w:kern w:val="2"/>
          <w:sz w:val="22"/>
          <w:szCs w:val="22"/>
          <w:lang w:val="en-US" w:eastAsia="en-US"/>
          <w14:ligatures w14:val="standardContextual"/>
        </w:rPr>
      </w:pPr>
      <w:r w:rsidRPr="00E627D0">
        <w:rPr>
          <w:rFonts w:ascii="Calibri" w:eastAsiaTheme="minorHAnsi" w:hAnsi="Calibri" w:cs="Calibri"/>
          <w:kern w:val="2"/>
          <w:sz w:val="22"/>
          <w:szCs w:val="22"/>
          <w:lang w:val="en-US" w:eastAsia="en-US"/>
          <w14:ligatures w14:val="standardContextual"/>
        </w:rPr>
        <w:t>To understand how the shock propagated across the EU, it is first necessary to examine how inflation differed across Member States in 2022. The bar chart below presents the average annual inflation rate for that year (computed as the mean of monthly YoY all-items HICP rates), providing a</w:t>
      </w:r>
      <w:r w:rsidR="00BE2CF9">
        <w:rPr>
          <w:rFonts w:ascii="Calibri" w:eastAsiaTheme="minorHAnsi" w:hAnsi="Calibri" w:cs="Calibri"/>
          <w:kern w:val="2"/>
          <w:sz w:val="22"/>
          <w:szCs w:val="22"/>
          <w:lang w:val="en-US" w:eastAsia="en-US"/>
          <w14:ligatures w14:val="standardContextual"/>
        </w:rPr>
        <w:t>n</w:t>
      </w:r>
      <w:r w:rsidRPr="00E627D0">
        <w:rPr>
          <w:rFonts w:ascii="Calibri" w:eastAsiaTheme="minorHAnsi" w:hAnsi="Calibri" w:cs="Calibri"/>
          <w:kern w:val="2"/>
          <w:sz w:val="22"/>
          <w:szCs w:val="22"/>
          <w:lang w:val="en-US" w:eastAsia="en-US"/>
          <w14:ligatures w14:val="standardContextual"/>
        </w:rPr>
        <w:t xml:space="preserve"> overview of price dynamics across the Union.</w:t>
      </w:r>
    </w:p>
    <w:p w14:paraId="53CCA508" w14:textId="77777777" w:rsidR="00BE2CF9" w:rsidRDefault="00E42D92" w:rsidP="00E42D92">
      <w:pPr>
        <w:pStyle w:val="NormalWeb"/>
        <w:jc w:val="both"/>
        <w:rPr>
          <w:rFonts w:ascii="Calibri" w:hAnsi="Calibri" w:cs="Calibri"/>
          <w:sz w:val="22"/>
          <w:szCs w:val="22"/>
          <w:lang w:val="en-US"/>
        </w:rPr>
      </w:pPr>
      <w:r w:rsidRPr="00E627D0">
        <w:rPr>
          <w:rFonts w:ascii="Calibri" w:hAnsi="Calibri" w:cs="Calibri"/>
          <w:sz w:val="22"/>
          <w:szCs w:val="22"/>
          <w:lang w:val="en-US"/>
        </w:rPr>
        <w:t xml:space="preserve">The graphical analysis highlights three distinct clusters, illustrating significant geographical heterogeneity. </w:t>
      </w:r>
    </w:p>
    <w:p w14:paraId="0CB7FB76" w14:textId="30A20CAA" w:rsidR="00E42D92" w:rsidRPr="00E627D0" w:rsidRDefault="00E42D92" w:rsidP="00E42D92">
      <w:pPr>
        <w:pStyle w:val="NormalWeb"/>
        <w:jc w:val="both"/>
        <w:rPr>
          <w:rFonts w:ascii="Calibri" w:hAnsi="Calibri" w:cs="Calibri"/>
          <w:sz w:val="22"/>
          <w:szCs w:val="22"/>
          <w:lang w:val="en-US"/>
        </w:rPr>
      </w:pPr>
      <w:r w:rsidRPr="00E627D0">
        <w:rPr>
          <w:rFonts w:ascii="Calibri" w:hAnsi="Calibri" w:cs="Calibri"/>
          <w:sz w:val="22"/>
          <w:szCs w:val="22"/>
          <w:lang w:val="en-US"/>
        </w:rPr>
        <w:t xml:space="preserve">The first group, comprising the Baltic States (Estonia, Lithuania, Latvia), stands out clearly with the most intense inflation in the EU, reaching extreme levels between 17% and 20%. Following closely is a second group showing high inflation ranging from 10% to 16%. This cluster is predominantly composed of Central and Eastern European Countries (CEECs) such as Hungary, Czechia, Poland, Slovakia, and Romania, but also includes certain Western economies like the Netherlands and Belgium. Finally, a third, more moderate group with inflation below 10% encompasses </w:t>
      </w:r>
      <w:proofErr w:type="gramStart"/>
      <w:r w:rsidRPr="00E627D0">
        <w:rPr>
          <w:rFonts w:ascii="Calibri" w:hAnsi="Calibri" w:cs="Calibri"/>
          <w:sz w:val="22"/>
          <w:szCs w:val="22"/>
          <w:lang w:val="en-US"/>
        </w:rPr>
        <w:t>the majority of</w:t>
      </w:r>
      <w:proofErr w:type="gramEnd"/>
      <w:r w:rsidRPr="00E627D0">
        <w:rPr>
          <w:rFonts w:ascii="Calibri" w:hAnsi="Calibri" w:cs="Calibri"/>
          <w:sz w:val="22"/>
          <w:szCs w:val="22"/>
          <w:lang w:val="en-US"/>
        </w:rPr>
        <w:t xml:space="preserve"> Western and Southern European countries, including Germany, Spain, and Italy, with France and Malta recording the lowest rates (around 6-7%).</w:t>
      </w:r>
    </w:p>
    <w:p w14:paraId="37E19F83" w14:textId="65B13BA8" w:rsidR="00401AB3" w:rsidRDefault="00BE2CF9" w:rsidP="00E42D92">
      <w:pPr>
        <w:pStyle w:val="NormalWeb"/>
        <w:jc w:val="both"/>
        <w:rPr>
          <w:rFonts w:ascii="Calibri" w:hAnsi="Calibri" w:cs="Calibri"/>
          <w:sz w:val="22"/>
          <w:szCs w:val="22"/>
          <w:lang w:val="en-US"/>
        </w:rPr>
      </w:pPr>
      <w:r w:rsidRPr="00BE2CF9">
        <w:rPr>
          <w:rFonts w:ascii="Calibri" w:hAnsi="Calibri" w:cs="Calibri"/>
          <w:sz w:val="22"/>
          <w:szCs w:val="22"/>
          <w:lang w:val="en-US"/>
        </w:rPr>
        <w:t>This dispersion indicates that although the initial inflationary shock was common, its transmission and intensity were highly asymmetric across Member States</w:t>
      </w:r>
      <w:r w:rsidR="00E42D92" w:rsidRPr="00E627D0">
        <w:rPr>
          <w:rFonts w:ascii="Calibri" w:hAnsi="Calibri" w:cs="Calibri"/>
          <w:sz w:val="22"/>
          <w:szCs w:val="22"/>
          <w:lang w:val="en-US"/>
        </w:rPr>
        <w:t>. The data confirms a specific vulnerability among Eastern European economies, which consistently experienced rates above the European average. This observation raises a central question for the remainder of our analysis: what structural factors explain why some countries absorbed the shock significantly better than others?</w:t>
      </w:r>
    </w:p>
    <w:p w14:paraId="0C7F365D" w14:textId="793F7A62" w:rsidR="008B1DF0" w:rsidRDefault="00460394" w:rsidP="004C2478">
      <w:pPr>
        <w:pStyle w:val="NormalWeb"/>
        <w:jc w:val="center"/>
        <w:rPr>
          <w:rFonts w:ascii="Calibri" w:hAnsi="Calibri" w:cs="Calibri"/>
          <w:sz w:val="22"/>
          <w:szCs w:val="22"/>
          <w:lang w:val="en-US"/>
        </w:rPr>
      </w:pPr>
      <w:r w:rsidRPr="00460394">
        <w:rPr>
          <w:rFonts w:ascii="Calibri" w:hAnsi="Calibri" w:cs="Calibri"/>
          <w:sz w:val="22"/>
          <w:szCs w:val="22"/>
          <w:lang w:val="en-US"/>
        </w:rPr>
        <w:lastRenderedPageBreak/>
        <w:drawing>
          <wp:inline distT="0" distB="0" distL="0" distR="0" wp14:anchorId="13470720" wp14:editId="3CFB057B">
            <wp:extent cx="6120130" cy="3765550"/>
            <wp:effectExtent l="0" t="0" r="0" b="6350"/>
            <wp:docPr id="1013324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24683" name=""/>
                    <pic:cNvPicPr/>
                  </pic:nvPicPr>
                  <pic:blipFill>
                    <a:blip r:embed="rId11"/>
                    <a:stretch>
                      <a:fillRect/>
                    </a:stretch>
                  </pic:blipFill>
                  <pic:spPr>
                    <a:xfrm>
                      <a:off x="0" y="0"/>
                      <a:ext cx="6120130" cy="3765550"/>
                    </a:xfrm>
                    <a:prstGeom prst="rect">
                      <a:avLst/>
                    </a:prstGeom>
                  </pic:spPr>
                </pic:pic>
              </a:graphicData>
            </a:graphic>
          </wp:inline>
        </w:drawing>
      </w:r>
    </w:p>
    <w:p w14:paraId="6E716D77" w14:textId="77777777" w:rsidR="00832FC2" w:rsidRPr="004C2478" w:rsidRDefault="00832FC2" w:rsidP="004C2478">
      <w:pPr>
        <w:pStyle w:val="NormalWeb"/>
        <w:jc w:val="center"/>
        <w:rPr>
          <w:rFonts w:ascii="Calibri" w:hAnsi="Calibri" w:cs="Calibri"/>
          <w:sz w:val="22"/>
          <w:szCs w:val="22"/>
          <w:lang w:val="en-US"/>
        </w:rPr>
      </w:pPr>
    </w:p>
    <w:p w14:paraId="130E4756" w14:textId="1FB5221D" w:rsidR="008B1DF0" w:rsidRPr="00B61153" w:rsidRDefault="008B1DF0" w:rsidP="003763F8">
      <w:pPr>
        <w:pStyle w:val="Heading3"/>
      </w:pPr>
      <w:bookmarkStart w:id="12" w:name="_Toc214883359"/>
      <w:r w:rsidRPr="00B61153">
        <w:t>Country-level structural inflation profiles</w:t>
      </w:r>
      <w:bookmarkEnd w:id="12"/>
    </w:p>
    <w:p w14:paraId="6B14ABC3" w14:textId="77777777" w:rsidR="008B1DF0" w:rsidRPr="00B61153" w:rsidRDefault="008B1DF0" w:rsidP="00B61153">
      <w:pPr>
        <w:spacing w:before="120" w:after="120" w:line="276" w:lineRule="auto"/>
        <w:jc w:val="both"/>
        <w:rPr>
          <w:rFonts w:ascii="Calibri" w:hAnsi="Calibri" w:cs="Calibri"/>
          <w:highlight w:val="yellow"/>
          <w:lang w:val="en-US"/>
        </w:rPr>
      </w:pPr>
    </w:p>
    <w:p w14:paraId="5731D262" w14:textId="6E0F3D5B" w:rsidR="00576AB9" w:rsidRDefault="00576AB9" w:rsidP="00057BA4">
      <w:pPr>
        <w:spacing w:before="120" w:after="120" w:line="276" w:lineRule="auto"/>
        <w:jc w:val="both"/>
        <w:rPr>
          <w:rFonts w:ascii="Calibri" w:hAnsi="Calibri" w:cs="Calibri"/>
          <w:lang w:val="en-US"/>
        </w:rPr>
      </w:pPr>
      <w:r w:rsidRPr="00576AB9">
        <w:rPr>
          <w:rFonts w:ascii="Calibri" w:hAnsi="Calibri" w:cs="Calibri"/>
          <w:lang w:val="en-US"/>
        </w:rPr>
        <w:t>To understand why a common shock produced such divergent outcomes, it is useful to look beyond aggregate figures and examine the granular structure of inflation. The heatmap below breaks down Year-on-Year inflation for 2022 by country and COICOP category. Unlike the previous bar chart</w:t>
      </w:r>
      <w:r>
        <w:rPr>
          <w:rFonts w:ascii="Calibri" w:hAnsi="Calibri" w:cs="Calibri"/>
          <w:lang w:val="en-US"/>
        </w:rPr>
        <w:t xml:space="preserve"> </w:t>
      </w:r>
      <w:r w:rsidRPr="00576AB9">
        <w:rPr>
          <w:rFonts w:ascii="Calibri" w:hAnsi="Calibri" w:cs="Calibri"/>
          <w:lang w:val="en-US"/>
        </w:rPr>
        <w:t>which displayed all-items inflation, already weighted according to each national consumption basket</w:t>
      </w:r>
      <w:r>
        <w:rPr>
          <w:rFonts w:ascii="Calibri" w:hAnsi="Calibri" w:cs="Calibri"/>
          <w:lang w:val="en-US"/>
        </w:rPr>
        <w:t xml:space="preserve">, </w:t>
      </w:r>
      <w:r w:rsidRPr="00576AB9">
        <w:rPr>
          <w:rFonts w:ascii="Calibri" w:hAnsi="Calibri" w:cs="Calibri"/>
          <w:lang w:val="en-US"/>
        </w:rPr>
        <w:t>the ranking in this matrix is based on the simple arithmetic mean of category-level inflation for each country. This unweighted approach explains why Lithuania appears at the top of the ranking ahead of Estonia: it measures the intensity of price increases uniformly across all sectors, regardless of their weight in the household consumption basket.</w:t>
      </w:r>
    </w:p>
    <w:p w14:paraId="0471840C" w14:textId="77777777" w:rsidR="00832FC2" w:rsidRPr="00576AB9" w:rsidRDefault="00832FC2" w:rsidP="00057BA4">
      <w:pPr>
        <w:spacing w:before="120" w:after="120" w:line="276" w:lineRule="auto"/>
        <w:jc w:val="both"/>
        <w:rPr>
          <w:rFonts w:ascii="Calibri" w:hAnsi="Calibri" w:cs="Calibri"/>
          <w:lang w:val="en-US"/>
        </w:rPr>
      </w:pPr>
    </w:p>
    <w:p w14:paraId="7C39AA3B" w14:textId="53550E71" w:rsidR="00057BA4" w:rsidRDefault="00057BA4" w:rsidP="00057BA4">
      <w:pPr>
        <w:spacing w:before="120" w:after="120" w:line="276" w:lineRule="auto"/>
        <w:jc w:val="both"/>
        <w:rPr>
          <w:rFonts w:ascii="Calibri" w:hAnsi="Calibri" w:cs="Calibri"/>
          <w:lang w:val="en-US"/>
        </w:rPr>
      </w:pPr>
      <w:r w:rsidRPr="00057BA4">
        <w:rPr>
          <w:rFonts w:ascii="Calibri" w:hAnsi="Calibri" w:cs="Calibri"/>
          <w:lang w:val="en-US"/>
        </w:rPr>
        <w:t xml:space="preserve">First, the heatmap reveals a clear geographical polarization. </w:t>
      </w:r>
      <w:r w:rsidR="00D07E9B" w:rsidRPr="00D07E9B">
        <w:rPr>
          <w:rFonts w:ascii="Calibri" w:hAnsi="Calibri" w:cs="Calibri"/>
          <w:lang w:val="en-US"/>
        </w:rPr>
        <w:t>The most striking divergence appears in the 'Housing &amp; Energy' category</w:t>
      </w:r>
      <w:r w:rsidRPr="00057BA4">
        <w:rPr>
          <w:rFonts w:ascii="Calibri" w:hAnsi="Calibri" w:cs="Calibri"/>
          <w:lang w:val="en-US"/>
        </w:rPr>
        <w:t>. The Baltic States experienced markedly higher inflation in this sector, exceeding levels observed in Western or Southern Europe. Estonia, for instance, recorded a 52.9% year-on-year increase, compared to 9.3% in France</w:t>
      </w:r>
      <w:r w:rsidR="00644CDB">
        <w:rPr>
          <w:rFonts w:ascii="Calibri" w:hAnsi="Calibri" w:cs="Calibri"/>
          <w:lang w:val="en-US"/>
        </w:rPr>
        <w:t xml:space="preserve"> with </w:t>
      </w:r>
      <w:r w:rsidRPr="00057BA4">
        <w:rPr>
          <w:rFonts w:ascii="Calibri" w:hAnsi="Calibri" w:cs="Calibri"/>
          <w:lang w:val="en-US"/>
        </w:rPr>
        <w:t>a significant gap of over 40 percentage points. Even when compared to major industrial economies like Germany (13.8%), the differential remains substantial, highlighting the specific exposure of Eastern Europe to energy price volatility.</w:t>
      </w:r>
    </w:p>
    <w:p w14:paraId="5C97F928" w14:textId="77777777" w:rsidR="00832FC2" w:rsidRPr="00057BA4" w:rsidRDefault="00832FC2" w:rsidP="00057BA4">
      <w:pPr>
        <w:spacing w:before="120" w:after="120" w:line="276" w:lineRule="auto"/>
        <w:jc w:val="both"/>
        <w:rPr>
          <w:rFonts w:ascii="Calibri" w:hAnsi="Calibri" w:cs="Calibri"/>
          <w:lang w:val="en-US"/>
        </w:rPr>
      </w:pPr>
    </w:p>
    <w:p w14:paraId="40ADA170" w14:textId="4D3E565C" w:rsidR="00E653B8" w:rsidRDefault="00057BA4" w:rsidP="00057BA4">
      <w:pPr>
        <w:spacing w:before="120" w:after="120" w:line="276" w:lineRule="auto"/>
        <w:jc w:val="both"/>
        <w:rPr>
          <w:rFonts w:ascii="Calibri" w:hAnsi="Calibri" w:cs="Calibri"/>
          <w:lang w:val="en-US"/>
        </w:rPr>
      </w:pPr>
      <w:r w:rsidRPr="00057BA4">
        <w:rPr>
          <w:rFonts w:ascii="Calibri" w:hAnsi="Calibri" w:cs="Calibri"/>
          <w:lang w:val="en-US"/>
        </w:rPr>
        <w:t xml:space="preserve">Furthermore, the heatmap uncovers a distinct dynamic for the countries at the top of the ranking (Baltic States and CEECs): the broad-based diffusion of inflation. While for countries at the bottom of the matrix (France, Malta, Finland), inflation remains concentrated (indicated by red/yellow zones) within the 'Energy, Transport, and Food' trio, Eastern European countries show a generalization of price increases. We observe </w:t>
      </w:r>
      <w:r w:rsidRPr="00057BA4">
        <w:rPr>
          <w:rFonts w:ascii="Calibri" w:hAnsi="Calibri" w:cs="Calibri"/>
          <w:lang w:val="en-US"/>
        </w:rPr>
        <w:lastRenderedPageBreak/>
        <w:t>that the warm colors "spill over" into other categories such as 'Restaurants &amp; Hotels' or 'Furnishings.' This indicates that in these economies, the initial shock propagated throughout the entire consumption basket, revealing a higher structural vulnerability to second-round effects.</w:t>
      </w:r>
    </w:p>
    <w:p w14:paraId="40C11258" w14:textId="77777777" w:rsidR="00832FC2" w:rsidRDefault="00832FC2" w:rsidP="00057BA4">
      <w:pPr>
        <w:spacing w:before="120" w:after="120" w:line="276" w:lineRule="auto"/>
        <w:jc w:val="both"/>
        <w:rPr>
          <w:rFonts w:ascii="Calibri" w:hAnsi="Calibri" w:cs="Calibri"/>
          <w:lang w:val="en-US"/>
        </w:rPr>
      </w:pPr>
    </w:p>
    <w:p w14:paraId="4A3361CE" w14:textId="1416CD9A" w:rsidR="00057BA4" w:rsidRPr="00057BA4" w:rsidRDefault="00057BA4" w:rsidP="00057BA4">
      <w:pPr>
        <w:spacing w:before="120" w:after="120" w:line="276" w:lineRule="auto"/>
        <w:jc w:val="both"/>
        <w:rPr>
          <w:rFonts w:ascii="Calibri" w:hAnsi="Calibri" w:cs="Calibri"/>
          <w:lang w:val="en-US"/>
        </w:rPr>
      </w:pPr>
      <w:r w:rsidRPr="00057BA4">
        <w:rPr>
          <w:rFonts w:ascii="Calibri" w:hAnsi="Calibri" w:cs="Calibri"/>
          <w:lang w:val="en-US"/>
        </w:rPr>
        <w:t>This apparent correlation between specific categories and country clusters leads us to formalize these relationships using a Principal Component Analysis (PCA) to identify the latent factors driving this divergence.</w:t>
      </w:r>
    </w:p>
    <w:p w14:paraId="0C8054C7" w14:textId="77777777" w:rsidR="00DB46A2" w:rsidRPr="00B61153" w:rsidRDefault="00DB46A2" w:rsidP="00B61153">
      <w:pPr>
        <w:spacing w:before="120" w:after="120" w:line="276" w:lineRule="auto"/>
        <w:jc w:val="both"/>
        <w:rPr>
          <w:rFonts w:ascii="Calibri" w:hAnsi="Calibri" w:cs="Calibri"/>
          <w:lang w:val="en-US"/>
        </w:rPr>
      </w:pPr>
    </w:p>
    <w:p w14:paraId="046B58E1" w14:textId="347102C5" w:rsidR="00DB46A2" w:rsidRPr="00B61153" w:rsidRDefault="004F4A43" w:rsidP="00451065">
      <w:pPr>
        <w:spacing w:before="120" w:after="120" w:line="276" w:lineRule="auto"/>
        <w:jc w:val="center"/>
        <w:rPr>
          <w:rFonts w:ascii="Calibri" w:hAnsi="Calibri" w:cs="Calibri"/>
          <w:lang w:val="en-US"/>
        </w:rPr>
      </w:pPr>
      <w:r w:rsidRPr="004F4A43">
        <w:rPr>
          <w:rFonts w:ascii="Calibri" w:hAnsi="Calibri" w:cs="Calibri"/>
          <w:lang w:val="en-US"/>
        </w:rPr>
        <w:drawing>
          <wp:inline distT="0" distB="0" distL="0" distR="0" wp14:anchorId="6E840818" wp14:editId="1489F842">
            <wp:extent cx="6120130" cy="4444365"/>
            <wp:effectExtent l="0" t="0" r="0" b="0"/>
            <wp:docPr id="1090357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57368" name=""/>
                    <pic:cNvPicPr/>
                  </pic:nvPicPr>
                  <pic:blipFill>
                    <a:blip r:embed="rId12"/>
                    <a:stretch>
                      <a:fillRect/>
                    </a:stretch>
                  </pic:blipFill>
                  <pic:spPr>
                    <a:xfrm>
                      <a:off x="0" y="0"/>
                      <a:ext cx="6120130" cy="4444365"/>
                    </a:xfrm>
                    <a:prstGeom prst="rect">
                      <a:avLst/>
                    </a:prstGeom>
                  </pic:spPr>
                </pic:pic>
              </a:graphicData>
            </a:graphic>
          </wp:inline>
        </w:drawing>
      </w:r>
    </w:p>
    <w:p w14:paraId="39F368E9" w14:textId="6D058F1F" w:rsidR="00DB46A2" w:rsidRDefault="00E96DDD" w:rsidP="00B61153">
      <w:pPr>
        <w:pStyle w:val="Heading3"/>
      </w:pPr>
      <w:bookmarkStart w:id="13" w:name="_Toc214883360"/>
      <w:r w:rsidRPr="00B61153">
        <w:t>PCA analysis of inflation structure and category correlations</w:t>
      </w:r>
      <w:bookmarkEnd w:id="13"/>
    </w:p>
    <w:p w14:paraId="5004A1AC" w14:textId="77777777" w:rsidR="00514622" w:rsidRPr="00514622" w:rsidRDefault="00514622" w:rsidP="00514622">
      <w:pPr>
        <w:pStyle w:val="NormalWeb"/>
        <w:jc w:val="both"/>
        <w:rPr>
          <w:rFonts w:ascii="Calibri" w:hAnsi="Calibri" w:cs="Calibri"/>
          <w:sz w:val="22"/>
          <w:szCs w:val="22"/>
          <w:lang w:val="en-US"/>
        </w:rPr>
      </w:pPr>
      <w:r w:rsidRPr="00514622">
        <w:rPr>
          <w:rFonts w:ascii="Calibri" w:hAnsi="Calibri" w:cs="Calibri"/>
          <w:sz w:val="22"/>
          <w:szCs w:val="22"/>
          <w:lang w:val="en-US"/>
        </w:rPr>
        <w:t>To better understand the structural factors that shaped European inflation before and during the energy crisis, a principal components analysis (PCA) was conducted using HICP data for 2019, 2021, and 2022. This method reveals how the composition of inflation evolved over time and highlights country-specific vulnerabilities that existed well before the surge in prices.</w:t>
      </w:r>
    </w:p>
    <w:p w14:paraId="5CBB2C15" w14:textId="6AAA4634" w:rsidR="00514622" w:rsidRPr="00514622" w:rsidRDefault="00514622" w:rsidP="00514622">
      <w:pPr>
        <w:pStyle w:val="NormalWeb"/>
        <w:jc w:val="both"/>
        <w:rPr>
          <w:rFonts w:ascii="Calibri" w:hAnsi="Calibri" w:cs="Calibri"/>
          <w:sz w:val="22"/>
          <w:szCs w:val="22"/>
          <w:lang w:val="en-US"/>
        </w:rPr>
      </w:pPr>
      <w:r w:rsidRPr="00514622">
        <w:rPr>
          <w:rFonts w:ascii="Calibri" w:hAnsi="Calibri" w:cs="Calibri"/>
          <w:sz w:val="22"/>
          <w:szCs w:val="22"/>
          <w:lang w:val="en-US"/>
        </w:rPr>
        <w:t xml:space="preserve">In 2019, the first principal component (PC1), explaining about 39% of total variance, reflects broad-based inflation driven primarily by categories of everyday consumption such as food, restaurants, and furnishings. Central and Eastern European economies </w:t>
      </w:r>
      <w:r w:rsidR="00B8597B">
        <w:rPr>
          <w:rFonts w:ascii="Calibri" w:hAnsi="Calibri" w:cs="Calibri"/>
          <w:sz w:val="22"/>
          <w:szCs w:val="22"/>
          <w:lang w:val="en-US"/>
        </w:rPr>
        <w:t>(</w:t>
      </w:r>
      <w:r w:rsidRPr="00514622">
        <w:rPr>
          <w:rFonts w:ascii="Calibri" w:hAnsi="Calibri" w:cs="Calibri"/>
          <w:sz w:val="22"/>
          <w:szCs w:val="22"/>
          <w:lang w:val="en-US"/>
        </w:rPr>
        <w:t>including Poland, Hungary, Romania, and the Baltic states</w:t>
      </w:r>
      <w:r w:rsidR="00B8597B">
        <w:rPr>
          <w:rFonts w:ascii="Calibri" w:hAnsi="Calibri" w:cs="Calibri"/>
          <w:sz w:val="22"/>
          <w:szCs w:val="22"/>
          <w:lang w:val="en-US"/>
        </w:rPr>
        <w:t xml:space="preserve">) </w:t>
      </w:r>
      <w:r w:rsidRPr="00514622">
        <w:rPr>
          <w:rFonts w:ascii="Calibri" w:hAnsi="Calibri" w:cs="Calibri"/>
          <w:sz w:val="22"/>
          <w:szCs w:val="22"/>
          <w:lang w:val="en-US"/>
        </w:rPr>
        <w:t>are located strongly on the positive side of this axis, indicating a higher underlying inflation trend than that of Western European economies. The second component (PC2) is dominated by the “Transport” category, suggesting that several countries were already more exposed to fuel price volatility. Thus, even before the crisis, these economies combined higher baseline inflation with a stronger sensitivity to energy-related components.</w:t>
      </w:r>
    </w:p>
    <w:p w14:paraId="1397115A" w14:textId="35D76E22" w:rsidR="00514622" w:rsidRPr="00514622" w:rsidRDefault="00514622" w:rsidP="00514622">
      <w:pPr>
        <w:pStyle w:val="NormalWeb"/>
        <w:jc w:val="both"/>
        <w:rPr>
          <w:rFonts w:ascii="Calibri" w:hAnsi="Calibri" w:cs="Calibri"/>
          <w:sz w:val="22"/>
          <w:szCs w:val="22"/>
          <w:lang w:val="en-US"/>
        </w:rPr>
      </w:pPr>
      <w:r w:rsidRPr="00514622">
        <w:rPr>
          <w:rFonts w:ascii="Calibri" w:hAnsi="Calibri" w:cs="Calibri"/>
          <w:sz w:val="22"/>
          <w:szCs w:val="22"/>
          <w:lang w:val="en-US"/>
        </w:rPr>
        <w:lastRenderedPageBreak/>
        <w:t xml:space="preserve">In 2021, the inflation structure begins to shift. The vector associated with transport prices moves closer to the other categories, </w:t>
      </w:r>
      <w:r w:rsidR="00B8597B" w:rsidRPr="00514622">
        <w:rPr>
          <w:rFonts w:ascii="Calibri" w:hAnsi="Calibri" w:cs="Calibri"/>
          <w:sz w:val="22"/>
          <w:szCs w:val="22"/>
          <w:lang w:val="en-US"/>
        </w:rPr>
        <w:t>signaling</w:t>
      </w:r>
      <w:r w:rsidRPr="00514622">
        <w:rPr>
          <w:rFonts w:ascii="Calibri" w:hAnsi="Calibri" w:cs="Calibri"/>
          <w:sz w:val="22"/>
          <w:szCs w:val="22"/>
          <w:lang w:val="en-US"/>
        </w:rPr>
        <w:t xml:space="preserve"> that price pressures are increasingly spreading across the consumption basket. At the same time, the second component becomes clearly driven by “Housing &amp; Energy”. Energy inflation remains only partially aligned with general inflation, meaning that the energy shock is not yet fully embedded in overall price dynamics. Countries that already displayed elevated general inflation in 2019 and significant energy sensitivity in 2021 appear structurally more vulnerable to subsequent spillovers.</w:t>
      </w:r>
    </w:p>
    <w:p w14:paraId="25815681" w14:textId="7F6D3C69" w:rsidR="00514622" w:rsidRPr="00514622" w:rsidRDefault="00514622" w:rsidP="00514622">
      <w:pPr>
        <w:pStyle w:val="NormalWeb"/>
        <w:jc w:val="both"/>
        <w:rPr>
          <w:rFonts w:ascii="Calibri" w:hAnsi="Calibri" w:cs="Calibri"/>
          <w:sz w:val="22"/>
          <w:szCs w:val="22"/>
          <w:lang w:val="en-US"/>
        </w:rPr>
      </w:pPr>
      <w:r w:rsidRPr="00514622">
        <w:rPr>
          <w:rFonts w:ascii="Calibri" w:hAnsi="Calibri" w:cs="Calibri"/>
          <w:sz w:val="22"/>
          <w:szCs w:val="22"/>
          <w:lang w:val="en-US"/>
        </w:rPr>
        <w:t xml:space="preserve">In 2022, the scale of the shock changes markedly. Energy no longer forms a distinct component but realigns with PC1, which now explains nearly 60% of total variance. Inflation becomes fully </w:t>
      </w:r>
      <w:r w:rsidR="00B8597B" w:rsidRPr="00514622">
        <w:rPr>
          <w:rFonts w:ascii="Calibri" w:hAnsi="Calibri" w:cs="Calibri"/>
          <w:sz w:val="22"/>
          <w:szCs w:val="22"/>
          <w:lang w:val="en-US"/>
        </w:rPr>
        <w:t>generalized</w:t>
      </w:r>
      <w:r w:rsidRPr="00514622">
        <w:rPr>
          <w:rFonts w:ascii="Calibri" w:hAnsi="Calibri" w:cs="Calibri"/>
          <w:sz w:val="22"/>
          <w:szCs w:val="22"/>
          <w:lang w:val="en-US"/>
        </w:rPr>
        <w:t xml:space="preserve"> and largely driven by commodity prices and cross-category contagion. Countries combining structurally higher inflation before the crisis with strong energy exposure at its onset </w:t>
      </w:r>
      <w:r w:rsidR="00B8597B">
        <w:rPr>
          <w:rFonts w:ascii="Calibri" w:hAnsi="Calibri" w:cs="Calibri"/>
          <w:sz w:val="22"/>
          <w:szCs w:val="22"/>
          <w:lang w:val="en-US"/>
        </w:rPr>
        <w:t>(</w:t>
      </w:r>
      <w:r w:rsidRPr="00514622">
        <w:rPr>
          <w:rFonts w:ascii="Calibri" w:hAnsi="Calibri" w:cs="Calibri"/>
          <w:sz w:val="22"/>
          <w:szCs w:val="22"/>
          <w:lang w:val="en-US"/>
        </w:rPr>
        <w:t>notably the Baltic states, but also Poland, Hungary, and Czechia</w:t>
      </w:r>
      <w:r w:rsidR="00B8597B">
        <w:rPr>
          <w:rFonts w:ascii="Calibri" w:hAnsi="Calibri" w:cs="Calibri"/>
          <w:sz w:val="22"/>
          <w:szCs w:val="22"/>
          <w:lang w:val="en-US"/>
        </w:rPr>
        <w:t>)</w:t>
      </w:r>
      <w:r w:rsidR="00CE2882">
        <w:rPr>
          <w:rFonts w:ascii="Calibri" w:hAnsi="Calibri" w:cs="Calibri"/>
          <w:sz w:val="22"/>
          <w:szCs w:val="22"/>
          <w:lang w:val="en-US"/>
        </w:rPr>
        <w:t xml:space="preserve"> </w:t>
      </w:r>
      <w:r w:rsidRPr="00514622">
        <w:rPr>
          <w:rFonts w:ascii="Calibri" w:hAnsi="Calibri" w:cs="Calibri"/>
          <w:sz w:val="22"/>
          <w:szCs w:val="22"/>
          <w:lang w:val="en-US"/>
        </w:rPr>
        <w:t>record the highest inflation levels in 2022. The patterns observed confirm that their price structures were more conducive to amplification of the energy shock.</w:t>
      </w:r>
    </w:p>
    <w:p w14:paraId="6DE05E2A" w14:textId="26248FC8" w:rsidR="00514622" w:rsidRPr="00514622" w:rsidRDefault="00514622" w:rsidP="00514622">
      <w:pPr>
        <w:pStyle w:val="NormalWeb"/>
        <w:jc w:val="both"/>
        <w:rPr>
          <w:rFonts w:ascii="Calibri" w:hAnsi="Calibri" w:cs="Calibri"/>
          <w:sz w:val="22"/>
          <w:szCs w:val="22"/>
          <w:lang w:val="en-US"/>
        </w:rPr>
      </w:pPr>
      <w:r w:rsidRPr="00514622">
        <w:rPr>
          <w:rFonts w:ascii="Calibri" w:hAnsi="Calibri" w:cs="Calibri"/>
          <w:sz w:val="22"/>
          <w:szCs w:val="22"/>
          <w:lang w:val="en-US"/>
        </w:rPr>
        <w:t>Conversely, countries that showed moderate inflation in 2019 and lower energy exposure in 2021 such as France, Germany, and several Nordic countries</w:t>
      </w:r>
      <w:r w:rsidR="00B8597B">
        <w:rPr>
          <w:rFonts w:ascii="Calibri" w:hAnsi="Calibri" w:cs="Calibri"/>
          <w:sz w:val="22"/>
          <w:szCs w:val="22"/>
          <w:lang w:val="en-US"/>
        </w:rPr>
        <w:t>,</w:t>
      </w:r>
      <w:r w:rsidRPr="00514622">
        <w:rPr>
          <w:rFonts w:ascii="Calibri" w:hAnsi="Calibri" w:cs="Calibri"/>
          <w:sz w:val="22"/>
          <w:szCs w:val="22"/>
          <w:lang w:val="en-US"/>
        </w:rPr>
        <w:t xml:space="preserve"> also experienced a rise in inflation in 2022, but to a significantly lesser degree. In some cases, lower dependence on fossil fuels, as in France with its nuclear fleet, helped cushion the transmission of energy price increases to the broader consumption basket.</w:t>
      </w:r>
    </w:p>
    <w:p w14:paraId="63B8758D" w14:textId="2D2C0101" w:rsidR="00E653B8" w:rsidRDefault="00514622" w:rsidP="00514622">
      <w:pPr>
        <w:pStyle w:val="NormalWeb"/>
        <w:jc w:val="both"/>
        <w:rPr>
          <w:rFonts w:ascii="Calibri" w:hAnsi="Calibri" w:cs="Calibri"/>
          <w:sz w:val="22"/>
          <w:szCs w:val="22"/>
          <w:lang w:val="en-US"/>
        </w:rPr>
      </w:pPr>
      <w:r w:rsidRPr="00514622">
        <w:rPr>
          <w:rFonts w:ascii="Calibri" w:hAnsi="Calibri" w:cs="Calibri"/>
          <w:sz w:val="22"/>
          <w:szCs w:val="22"/>
          <w:lang w:val="en-US"/>
        </w:rPr>
        <w:t>This analysis demonstrates that the geography of European inflation in 2022 cannot be explained solely by a common shock. It also reflects pre-existing structural vulnerabilities, visible as early as 2019 and progressively amplified throughout the crisis.</w:t>
      </w:r>
    </w:p>
    <w:p w14:paraId="3E43E31D" w14:textId="02A58A8D" w:rsidR="00460394" w:rsidRPr="00460394" w:rsidRDefault="006D0177" w:rsidP="006D0177">
      <w:pPr>
        <w:pStyle w:val="NormalWeb"/>
        <w:jc w:val="both"/>
        <w:rPr>
          <w:rFonts w:ascii="Calibri" w:hAnsi="Calibri" w:cs="Calibri"/>
          <w:sz w:val="22"/>
          <w:szCs w:val="22"/>
          <w:lang w:val="en-US"/>
        </w:rPr>
      </w:pPr>
      <w:r w:rsidRPr="00460394">
        <w:rPr>
          <w:rFonts w:ascii="Calibri" w:hAnsi="Calibri" w:cs="Calibri"/>
          <w:sz w:val="22"/>
          <w:szCs w:val="22"/>
          <w:lang w:val="en-US"/>
        </w:rPr>
        <w:lastRenderedPageBreak/>
        <w:drawing>
          <wp:inline distT="0" distB="0" distL="0" distR="0" wp14:anchorId="68A89E74" wp14:editId="27D3C7D2">
            <wp:extent cx="5983605" cy="5213445"/>
            <wp:effectExtent l="0" t="0" r="0" b="6350"/>
            <wp:docPr id="762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8997" name=""/>
                    <pic:cNvPicPr/>
                  </pic:nvPicPr>
                  <pic:blipFill>
                    <a:blip r:embed="rId13"/>
                    <a:stretch>
                      <a:fillRect/>
                    </a:stretch>
                  </pic:blipFill>
                  <pic:spPr>
                    <a:xfrm>
                      <a:off x="0" y="0"/>
                      <a:ext cx="5983605" cy="5213445"/>
                    </a:xfrm>
                    <a:prstGeom prst="rect">
                      <a:avLst/>
                    </a:prstGeom>
                  </pic:spPr>
                </pic:pic>
              </a:graphicData>
            </a:graphic>
          </wp:inline>
        </w:drawing>
      </w:r>
    </w:p>
    <w:p w14:paraId="5C8AB8D5" w14:textId="786A6D9A" w:rsidR="00DB46A2" w:rsidRPr="00B61153" w:rsidRDefault="00915017" w:rsidP="003763F8">
      <w:pPr>
        <w:pStyle w:val="Heading3"/>
      </w:pPr>
      <w:bookmarkStart w:id="14" w:name="_Toc214883361"/>
      <w:r w:rsidRPr="00B61153">
        <w:t>Conclusion</w:t>
      </w:r>
      <w:bookmarkEnd w:id="14"/>
    </w:p>
    <w:p w14:paraId="24BACAE6" w14:textId="77777777" w:rsidR="00451065" w:rsidRPr="00451065" w:rsidRDefault="00451065" w:rsidP="00451065">
      <w:pPr>
        <w:pStyle w:val="NormalWeb"/>
        <w:jc w:val="both"/>
        <w:rPr>
          <w:rFonts w:ascii="Calibri" w:hAnsi="Calibri" w:cs="Calibri"/>
          <w:sz w:val="22"/>
          <w:szCs w:val="22"/>
          <w:lang w:val="en-US"/>
        </w:rPr>
      </w:pPr>
      <w:r w:rsidRPr="00451065">
        <w:rPr>
          <w:rFonts w:ascii="Calibri" w:hAnsi="Calibri" w:cs="Calibri"/>
          <w:sz w:val="22"/>
          <w:szCs w:val="22"/>
          <w:lang w:val="en-US"/>
        </w:rPr>
        <w:t>In summary, this structural analysis demonstrates that the fragmentation of inflation rates across the European Union in 2022 was not a random outcome, but the result of a symmetric shock interacting with asymmetric national structures.</w:t>
      </w:r>
    </w:p>
    <w:p w14:paraId="2048CA71" w14:textId="64B01FF1" w:rsidR="002C4E12" w:rsidRDefault="00451065" w:rsidP="0048545F">
      <w:pPr>
        <w:pStyle w:val="NormalWeb"/>
        <w:jc w:val="both"/>
        <w:rPr>
          <w:rFonts w:ascii="Calibri" w:hAnsi="Calibri" w:cs="Calibri"/>
          <w:sz w:val="22"/>
          <w:szCs w:val="22"/>
          <w:lang w:val="en-US"/>
        </w:rPr>
      </w:pPr>
      <w:r w:rsidRPr="00451065">
        <w:rPr>
          <w:rFonts w:ascii="Calibri" w:hAnsi="Calibri" w:cs="Calibri"/>
          <w:sz w:val="22"/>
          <w:szCs w:val="22"/>
          <w:lang w:val="en-US"/>
        </w:rPr>
        <w:t xml:space="preserve">While the energy crisis acted as the trigger, the intensity of the response was determined by pre-existing vulnerabilities. As evidenced by the heatmap, inflation in Central and Eastern European economies was not only higher but more diffusive, rapidly spilling over from energy to the rest of the consumption basket. The PCA further confirms that this fragility was identifiable as early as 2019: countries with "hotter" baseline price dynamics and higher sensitivity to volatile components (transport and energy) mechanically suffered a more severe amplification of the shock. Conversely, Western European economies benefited from more stable price structures that helped contain the contagion. </w:t>
      </w:r>
    </w:p>
    <w:p w14:paraId="7841CE69" w14:textId="77777777" w:rsidR="00F1440D" w:rsidRDefault="00F1440D" w:rsidP="0048545F">
      <w:pPr>
        <w:pStyle w:val="NormalWeb"/>
        <w:jc w:val="both"/>
        <w:rPr>
          <w:rFonts w:ascii="Calibri" w:hAnsi="Calibri" w:cs="Calibri"/>
          <w:sz w:val="22"/>
          <w:szCs w:val="22"/>
          <w:lang w:val="en-US"/>
        </w:rPr>
      </w:pPr>
    </w:p>
    <w:p w14:paraId="6AE16BEC" w14:textId="77777777" w:rsidR="00512A95" w:rsidRPr="0048545F" w:rsidRDefault="00512A95" w:rsidP="0048545F">
      <w:pPr>
        <w:pStyle w:val="NormalWeb"/>
        <w:jc w:val="both"/>
        <w:rPr>
          <w:rFonts w:ascii="Calibri" w:hAnsi="Calibri" w:cs="Calibri"/>
          <w:sz w:val="22"/>
          <w:szCs w:val="22"/>
          <w:lang w:val="en-US"/>
        </w:rPr>
      </w:pPr>
    </w:p>
    <w:p w14:paraId="27DABE65" w14:textId="77777777" w:rsidR="0003640E" w:rsidRPr="0003640E" w:rsidRDefault="0003640E" w:rsidP="005B2D9D">
      <w:pPr>
        <w:pStyle w:val="Heading2"/>
      </w:pPr>
      <w:bookmarkStart w:id="15" w:name="_Toc214883362"/>
      <w:r w:rsidRPr="0003640E">
        <w:lastRenderedPageBreak/>
        <w:t>General Conclusion</w:t>
      </w:r>
      <w:bookmarkEnd w:id="15"/>
    </w:p>
    <w:p w14:paraId="51FB2169" w14:textId="2349C850" w:rsidR="0003640E" w:rsidRPr="0003640E" w:rsidRDefault="0003640E" w:rsidP="0003640E">
      <w:pPr>
        <w:jc w:val="both"/>
        <w:rPr>
          <w:rFonts w:ascii="Calibri" w:hAnsi="Calibri" w:cs="Calibri"/>
          <w:lang w:val="en-US"/>
        </w:rPr>
      </w:pPr>
      <w:r w:rsidRPr="0003640E">
        <w:rPr>
          <w:rFonts w:ascii="Calibri" w:hAnsi="Calibri" w:cs="Calibri"/>
          <w:lang w:val="en-US"/>
        </w:rPr>
        <w:t xml:space="preserve">The analysis shows that the price surge of 2021–2022 represents a genuine structural shock for the European Union. While the origin of the phenomenon was common </w:t>
      </w:r>
      <w:r w:rsidR="0048545F">
        <w:rPr>
          <w:rFonts w:ascii="Calibri" w:hAnsi="Calibri" w:cs="Calibri"/>
          <w:lang w:val="en-US"/>
        </w:rPr>
        <w:t>(</w:t>
      </w:r>
      <w:r w:rsidRPr="0003640E">
        <w:rPr>
          <w:rFonts w:ascii="Calibri" w:hAnsi="Calibri" w:cs="Calibri"/>
          <w:lang w:val="en-US"/>
        </w:rPr>
        <w:t>a global spike in energy and commodity prices</w:t>
      </w:r>
      <w:r w:rsidR="0048545F">
        <w:rPr>
          <w:rFonts w:ascii="Calibri" w:hAnsi="Calibri" w:cs="Calibri"/>
          <w:lang w:val="en-US"/>
        </w:rPr>
        <w:t>)</w:t>
      </w:r>
      <w:r w:rsidRPr="0003640E">
        <w:rPr>
          <w:rFonts w:ascii="Calibri" w:hAnsi="Calibri" w:cs="Calibri"/>
          <w:lang w:val="en-US"/>
        </w:rPr>
        <w:t xml:space="preserve"> its effects were profoundly asymmetric. The inflation peak of 2022 was driven primarily by a massive energy shock, rapidly amplified by food and transport prices. However, the intensity of this shock differed significantly across Member States.</w:t>
      </w:r>
    </w:p>
    <w:p w14:paraId="3FB44317" w14:textId="1C7D5C32" w:rsidR="00FE3A0A" w:rsidRPr="00E52715" w:rsidRDefault="0003640E" w:rsidP="00E87CF3">
      <w:pPr>
        <w:jc w:val="both"/>
        <w:rPr>
          <w:rFonts w:ascii="Calibri" w:hAnsi="Calibri" w:cs="Calibri"/>
          <w:lang w:val="en-US"/>
        </w:rPr>
      </w:pPr>
      <w:r w:rsidRPr="00E52715">
        <w:rPr>
          <w:rFonts w:ascii="Calibri" w:hAnsi="Calibri" w:cs="Calibri"/>
          <w:lang w:val="en-US"/>
        </w:rPr>
        <w:t xml:space="preserve">Central and Eastern European countries, and especially the Baltic States, experienced markedly higher inflation, revealing pre-existing structural vulnerabilities: strong energy exposure, high dependence on fossil fuels, rapid cost pass-through, and already elevated underlying inflation before the crisis. Conversely, several Western European economies contained the diffusion of the shock more effectively </w:t>
      </w:r>
      <w:r w:rsidR="00E52715" w:rsidRPr="00E52715">
        <w:rPr>
          <w:rFonts w:ascii="Calibri" w:hAnsi="Calibri" w:cs="Calibri"/>
          <w:lang w:val="en-US"/>
        </w:rPr>
        <w:t>thanks to more stable consumption structures, lower energy dependence, and in some cases regulatory shielding</w:t>
      </w:r>
      <w:r w:rsidR="00E52715">
        <w:rPr>
          <w:rFonts w:ascii="Calibri" w:hAnsi="Calibri" w:cs="Calibri"/>
          <w:lang w:val="en-US"/>
        </w:rPr>
        <w:t>.</w:t>
      </w:r>
    </w:p>
    <w:sectPr w:rsidR="00FE3A0A" w:rsidRPr="00E52715" w:rsidSect="002A7F51">
      <w:headerReference w:type="even" r:id="rId14"/>
      <w:headerReference w:type="default" r:id="rId15"/>
      <w:footerReference w:type="default" r:id="rId16"/>
      <w:headerReference w:type="first" r:id="rId17"/>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90F850" w14:textId="77777777" w:rsidR="00971F32" w:rsidRDefault="00971F32" w:rsidP="008C121D">
      <w:pPr>
        <w:spacing w:after="0" w:line="240" w:lineRule="auto"/>
      </w:pPr>
      <w:r>
        <w:separator/>
      </w:r>
    </w:p>
    <w:p w14:paraId="6892CB02" w14:textId="77777777" w:rsidR="00971F32" w:rsidRDefault="00971F32"/>
  </w:endnote>
  <w:endnote w:type="continuationSeparator" w:id="0">
    <w:p w14:paraId="572B899E" w14:textId="77777777" w:rsidR="00971F32" w:rsidRDefault="00971F32" w:rsidP="008C121D">
      <w:pPr>
        <w:spacing w:after="0" w:line="240" w:lineRule="auto"/>
      </w:pPr>
      <w:r>
        <w:continuationSeparator/>
      </w:r>
    </w:p>
    <w:p w14:paraId="3C4B4CFD" w14:textId="77777777" w:rsidR="00971F32" w:rsidRDefault="00971F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25301644"/>
      <w:docPartObj>
        <w:docPartGallery w:val="Page Numbers (Bottom of Page)"/>
        <w:docPartUnique/>
      </w:docPartObj>
    </w:sdtPr>
    <w:sdtEndPr>
      <w:rPr>
        <w:noProof/>
      </w:rPr>
    </w:sdtEndPr>
    <w:sdtContent>
      <w:p w14:paraId="7E5FB4F7" w14:textId="55F1709E" w:rsidR="005F2BD8" w:rsidRDefault="005F2BD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37F9549" w14:textId="77777777" w:rsidR="005F2BD8" w:rsidRDefault="005F2B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0008C4" w14:textId="77777777" w:rsidR="00971F32" w:rsidRDefault="00971F32" w:rsidP="008C121D">
      <w:pPr>
        <w:spacing w:after="0" w:line="240" w:lineRule="auto"/>
      </w:pPr>
      <w:r>
        <w:separator/>
      </w:r>
    </w:p>
    <w:p w14:paraId="1C5CF5F6" w14:textId="77777777" w:rsidR="00971F32" w:rsidRDefault="00971F32"/>
  </w:footnote>
  <w:footnote w:type="continuationSeparator" w:id="0">
    <w:p w14:paraId="0A65D42B" w14:textId="77777777" w:rsidR="00971F32" w:rsidRDefault="00971F32" w:rsidP="008C121D">
      <w:pPr>
        <w:spacing w:after="0" w:line="240" w:lineRule="auto"/>
      </w:pPr>
      <w:r>
        <w:continuationSeparator/>
      </w:r>
    </w:p>
    <w:p w14:paraId="7F893C6D" w14:textId="77777777" w:rsidR="00971F32" w:rsidRDefault="00971F32"/>
  </w:footnote>
  <w:footnote w:type="continuationNotice" w:id="1">
    <w:p w14:paraId="057AFE4C" w14:textId="77777777" w:rsidR="00971F32" w:rsidRDefault="00971F32">
      <w:pPr>
        <w:spacing w:after="0" w:line="240" w:lineRule="auto"/>
      </w:pPr>
    </w:p>
  </w:footnote>
  <w:footnote w:id="2">
    <w:p w14:paraId="40F972CE" w14:textId="4AE9ECBF" w:rsidR="00FD74A9" w:rsidRPr="00682250" w:rsidRDefault="00FD74A9" w:rsidP="00FD74A9">
      <w:pPr>
        <w:rPr>
          <w:rFonts w:ascii="Calibri" w:hAnsi="Calibri" w:cs="Calibri"/>
          <w:sz w:val="16"/>
          <w:szCs w:val="16"/>
          <w:lang w:val="en-US"/>
        </w:rPr>
      </w:pPr>
      <w:r w:rsidRPr="00F238D7">
        <w:rPr>
          <w:rStyle w:val="FootnoteReference"/>
          <w:rFonts w:ascii="Calibri" w:hAnsi="Calibri" w:cs="Calibri"/>
          <w:i/>
          <w:iCs/>
        </w:rPr>
        <w:footnoteRef/>
      </w:r>
      <w:r w:rsidRPr="00F238D7">
        <w:rPr>
          <w:rFonts w:ascii="Calibri" w:hAnsi="Calibri" w:cs="Calibri"/>
          <w:i/>
          <w:iCs/>
          <w:sz w:val="16"/>
          <w:szCs w:val="16"/>
          <w:lang w:val="en-US"/>
        </w:rPr>
        <w:t>COICOP</w:t>
      </w:r>
      <w:r w:rsidRPr="00682250">
        <w:rPr>
          <w:rFonts w:ascii="Calibri" w:hAnsi="Calibri" w:cs="Calibri"/>
          <w:sz w:val="16"/>
          <w:szCs w:val="16"/>
          <w:lang w:val="en-US"/>
        </w:rPr>
        <w:t>:</w:t>
      </w:r>
      <w:r>
        <w:rPr>
          <w:rFonts w:ascii="Calibri" w:hAnsi="Calibri" w:cs="Calibri"/>
          <w:sz w:val="16"/>
          <w:szCs w:val="16"/>
          <w:lang w:val="en-US"/>
        </w:rPr>
        <w:t xml:space="preserve"> </w:t>
      </w:r>
      <w:r w:rsidRPr="00682250">
        <w:rPr>
          <w:rFonts w:ascii="Calibri" w:hAnsi="Calibri" w:cs="Calibri"/>
          <w:sz w:val="16"/>
          <w:szCs w:val="16"/>
          <w:lang w:val="en-US"/>
        </w:rPr>
        <w:t>The Classification of Individual Consumption by Purpose (COICOP) is an international standard used to classify consumer spending, adapted for the Harmonized Index of Consumer Prices (HICP) in the European Union and other regions. (</w:t>
      </w:r>
      <w:hyperlink r:id="rId1" w:history="1">
        <w:r w:rsidRPr="006E0F14">
          <w:rPr>
            <w:rStyle w:val="Hyperlink"/>
            <w:rFonts w:ascii="Calibri" w:hAnsi="Calibri" w:cs="Calibri"/>
            <w:sz w:val="16"/>
            <w:szCs w:val="16"/>
            <w:lang w:val="en-US"/>
          </w:rPr>
          <w:t>https://ec.europa.eu/eurostat/statistics-explained/index.php?title=Glossary:COICOP_HICP</w:t>
        </w:r>
      </w:hyperlink>
      <w:r w:rsidRPr="00682250">
        <w:rPr>
          <w:rFonts w:ascii="Calibri" w:hAnsi="Calibri" w:cs="Calibri"/>
          <w:sz w:val="16"/>
          <w:szCs w:val="16"/>
          <w:lang w:val="en-US"/>
        </w:rPr>
        <w:t>)</w:t>
      </w:r>
    </w:p>
    <w:p w14:paraId="1F6C8840" w14:textId="3CB62E84" w:rsidR="00FD74A9" w:rsidRPr="00FD74A9" w:rsidRDefault="00FD74A9">
      <w:pPr>
        <w:pStyle w:val="FootnoteText"/>
        <w:rPr>
          <w:lang w:val="en-US"/>
        </w:rPr>
      </w:pPr>
    </w:p>
  </w:footnote>
  <w:footnote w:id="3">
    <w:p w14:paraId="32D13E47" w14:textId="0A6DEB38" w:rsidR="00F238D7" w:rsidRPr="00F238D7" w:rsidRDefault="00F238D7">
      <w:pPr>
        <w:pStyle w:val="FootnoteText"/>
        <w:rPr>
          <w:lang w:val="en-U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B22F9" w14:textId="0DDAF41F" w:rsidR="008C121D" w:rsidRDefault="008C121D">
    <w:pPr>
      <w:pStyle w:val="Header"/>
    </w:pPr>
    <w:r>
      <w:rPr>
        <w:noProof/>
      </w:rPr>
      <mc:AlternateContent>
        <mc:Choice Requires="wps">
          <w:drawing>
            <wp:anchor distT="0" distB="0" distL="0" distR="0" simplePos="0" relativeHeight="251659264" behindDoc="0" locked="0" layoutInCell="1" allowOverlap="1" wp14:anchorId="23D401C2" wp14:editId="352B6696">
              <wp:simplePos x="635" y="635"/>
              <wp:positionH relativeFrom="page">
                <wp:align>right</wp:align>
              </wp:positionH>
              <wp:positionV relativeFrom="page">
                <wp:align>top</wp:align>
              </wp:positionV>
              <wp:extent cx="1489075" cy="347980"/>
              <wp:effectExtent l="0" t="0" r="0" b="13970"/>
              <wp:wrapNone/>
              <wp:docPr id="1991845305" name="Text Box 2" descr="ECB-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89075" cy="347980"/>
                      </a:xfrm>
                      <a:prstGeom prst="rect">
                        <a:avLst/>
                      </a:prstGeom>
                      <a:noFill/>
                      <a:ln>
                        <a:noFill/>
                      </a:ln>
                    </wps:spPr>
                    <wps:txbx>
                      <w:txbxContent>
                        <w:p w14:paraId="2F84D0E1" w14:textId="154E0DB9" w:rsidR="008C121D" w:rsidRPr="008C121D" w:rsidRDefault="008C121D" w:rsidP="008C121D">
                          <w:pPr>
                            <w:spacing w:after="0"/>
                            <w:rPr>
                              <w:rFonts w:ascii="Arial" w:eastAsia="Arial" w:hAnsi="Arial" w:cs="Arial"/>
                              <w:noProof/>
                              <w:color w:val="000000"/>
                              <w:sz w:val="20"/>
                              <w:szCs w:val="20"/>
                            </w:rPr>
                          </w:pPr>
                          <w:r w:rsidRPr="008C121D">
                            <w:rPr>
                              <w:rFonts w:ascii="Arial" w:eastAsia="Arial" w:hAnsi="Arial" w:cs="Arial"/>
                              <w:noProof/>
                              <w:color w:val="000000"/>
                              <w:sz w:val="20"/>
                              <w:szCs w:val="20"/>
                            </w:rPr>
                            <w:t>ECB-CONFIDENTIAL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3D401C2" id="_x0000_t202" coordsize="21600,21600" o:spt="202" path="m,l,21600r21600,l21600,xe">
              <v:stroke joinstyle="miter"/>
              <v:path gradientshapeok="t" o:connecttype="rect"/>
            </v:shapetype>
            <v:shape id="Text Box 2" o:spid="_x0000_s1026" type="#_x0000_t202" alt="ECB-CONFIDENTIAL" style="position:absolute;margin-left:66.05pt;margin-top:0;width:117.25pt;height:27.4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" filled="f" stroked="f">
              <v:textbox style="mso-fit-shape-to-text:t" inset="0,15pt,20pt,0">
                <w:txbxContent>
                  <w:p w14:paraId="2F84D0E1" w14:textId="154E0DB9" w:rsidR="008C121D" w:rsidRPr="008C121D" w:rsidRDefault="008C121D" w:rsidP="008C121D">
                    <w:pPr>
                      <w:spacing w:after="0"/>
                      <w:rPr>
                        <w:rFonts w:ascii="Arial" w:eastAsia="Arial" w:hAnsi="Arial" w:cs="Arial"/>
                        <w:noProof/>
                        <w:color w:val="000000"/>
                        <w:sz w:val="20"/>
                        <w:szCs w:val="20"/>
                      </w:rPr>
                    </w:pPr>
                    <w:r w:rsidRPr="008C121D">
                      <w:rPr>
                        <w:rFonts w:ascii="Arial" w:eastAsia="Arial" w:hAnsi="Arial" w:cs="Arial"/>
                        <w:noProof/>
                        <w:color w:val="000000"/>
                        <w:sz w:val="20"/>
                        <w:szCs w:val="20"/>
                      </w:rPr>
                      <w:t>ECB-CONFIDENTIAL</w:t>
                    </w:r>
                  </w:p>
                </w:txbxContent>
              </v:textbox>
              <w10:wrap anchorx="page" anchory="page"/>
            </v:shape>
          </w:pict>
        </mc:Fallback>
      </mc:AlternateContent>
    </w:r>
  </w:p>
  <w:p w14:paraId="1136559C" w14:textId="77777777" w:rsidR="00A02B43" w:rsidRDefault="00A02B4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D6D9F" w14:textId="15AECC3F" w:rsidR="008C121D" w:rsidRDefault="008C121D">
    <w:pPr>
      <w:pStyle w:val="Header"/>
    </w:pPr>
    <w:r>
      <w:rPr>
        <w:noProof/>
      </w:rPr>
      <mc:AlternateContent>
        <mc:Choice Requires="wps">
          <w:drawing>
            <wp:anchor distT="0" distB="0" distL="0" distR="0" simplePos="0" relativeHeight="251660288" behindDoc="0" locked="0" layoutInCell="1" allowOverlap="1" wp14:anchorId="6DDE58C9" wp14:editId="77A8D04A">
              <wp:simplePos x="914400" y="450273"/>
              <wp:positionH relativeFrom="page">
                <wp:align>right</wp:align>
              </wp:positionH>
              <wp:positionV relativeFrom="page">
                <wp:align>top</wp:align>
              </wp:positionV>
              <wp:extent cx="1489075" cy="347980"/>
              <wp:effectExtent l="0" t="0" r="0" b="13970"/>
              <wp:wrapNone/>
              <wp:docPr id="2056780957" name="Text Box 3" descr="ECB-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89075" cy="347980"/>
                      </a:xfrm>
                      <a:prstGeom prst="rect">
                        <a:avLst/>
                      </a:prstGeom>
                      <a:noFill/>
                      <a:ln>
                        <a:noFill/>
                      </a:ln>
                    </wps:spPr>
                    <wps:txbx>
                      <w:txbxContent>
                        <w:p w14:paraId="39A24785" w14:textId="4FA9E9EB" w:rsidR="008C121D" w:rsidRPr="008C121D" w:rsidRDefault="008C121D" w:rsidP="008C121D">
                          <w:pPr>
                            <w:spacing w:after="0"/>
                            <w:rPr>
                              <w:rFonts w:ascii="Arial" w:eastAsia="Arial" w:hAnsi="Arial" w:cs="Arial"/>
                              <w:noProof/>
                              <w:color w:val="000000"/>
                              <w:sz w:val="20"/>
                              <w:szCs w:val="20"/>
                            </w:rPr>
                          </w:pP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DDE58C9" id="_x0000_t202" coordsize="21600,21600" o:spt="202" path="m,l,21600r21600,l21600,xe">
              <v:stroke joinstyle="miter"/>
              <v:path gradientshapeok="t" o:connecttype="rect"/>
            </v:shapetype>
            <v:shape id="Text Box 3" o:spid="_x0000_s1027" type="#_x0000_t202" alt="ECB-CONFIDENTIAL" style="position:absolute;margin-left:66.05pt;margin-top:0;width:117.25pt;height:27.4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" filled="f" stroked="f">
              <v:textbox style="mso-fit-shape-to-text:t" inset="0,15pt,20pt,0">
                <w:txbxContent>
                  <w:p w14:paraId="39A24785" w14:textId="4FA9E9EB" w:rsidR="008C121D" w:rsidRPr="008C121D" w:rsidRDefault="008C121D" w:rsidP="008C121D">
                    <w:pPr>
                      <w:spacing w:after="0"/>
                      <w:rPr>
                        <w:rFonts w:ascii="Arial" w:eastAsia="Arial" w:hAnsi="Arial" w:cs="Arial"/>
                        <w:noProof/>
                        <w:color w:val="000000"/>
                        <w:sz w:val="20"/>
                        <w:szCs w:val="20"/>
                      </w:rPr>
                    </w:pPr>
                  </w:p>
                </w:txbxContent>
              </v:textbox>
              <w10:wrap anchorx="page" anchory="page"/>
            </v:shape>
          </w:pict>
        </mc:Fallback>
      </mc:AlternateContent>
    </w:r>
  </w:p>
  <w:p w14:paraId="67E55812" w14:textId="77777777" w:rsidR="00A02B43" w:rsidRDefault="00A02B4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27BC0" w14:textId="12277E0F" w:rsidR="008C121D" w:rsidRDefault="008C121D">
    <w:pPr>
      <w:pStyle w:val="Header"/>
    </w:pPr>
    <w:r>
      <w:rPr>
        <w:noProof/>
      </w:rPr>
      <mc:AlternateContent>
        <mc:Choice Requires="wps">
          <w:drawing>
            <wp:anchor distT="0" distB="0" distL="0" distR="0" simplePos="0" relativeHeight="251658240" behindDoc="0" locked="0" layoutInCell="1" allowOverlap="1" wp14:anchorId="101BCECF" wp14:editId="36D4A0D6">
              <wp:simplePos x="635" y="635"/>
              <wp:positionH relativeFrom="page">
                <wp:align>right</wp:align>
              </wp:positionH>
              <wp:positionV relativeFrom="page">
                <wp:align>top</wp:align>
              </wp:positionV>
              <wp:extent cx="1489075" cy="347980"/>
              <wp:effectExtent l="0" t="0" r="0" b="13970"/>
              <wp:wrapNone/>
              <wp:docPr id="988267016" name="Text Box 1" descr="ECB-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89075" cy="347980"/>
                      </a:xfrm>
                      <a:prstGeom prst="rect">
                        <a:avLst/>
                      </a:prstGeom>
                      <a:noFill/>
                      <a:ln>
                        <a:noFill/>
                      </a:ln>
                    </wps:spPr>
                    <wps:txbx>
                      <w:txbxContent>
                        <w:p w14:paraId="19937B71" w14:textId="49F34AEF" w:rsidR="008C121D" w:rsidRPr="008C121D" w:rsidRDefault="008C121D" w:rsidP="008C121D">
                          <w:pPr>
                            <w:spacing w:after="0"/>
                            <w:rPr>
                              <w:rFonts w:ascii="Arial" w:eastAsia="Arial" w:hAnsi="Arial" w:cs="Arial"/>
                              <w:noProof/>
                              <w:color w:val="000000"/>
                              <w:sz w:val="20"/>
                              <w:szCs w:val="20"/>
                            </w:rPr>
                          </w:pPr>
                          <w:r w:rsidRPr="008C121D">
                            <w:rPr>
                              <w:rFonts w:ascii="Arial" w:eastAsia="Arial" w:hAnsi="Arial" w:cs="Arial"/>
                              <w:noProof/>
                              <w:color w:val="000000"/>
                              <w:sz w:val="20"/>
                              <w:szCs w:val="20"/>
                            </w:rPr>
                            <w:t>ECB-CONFIDENTIAL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01BCECF" id="_x0000_t202" coordsize="21600,21600" o:spt="202" path="m,l,21600r21600,l21600,xe">
              <v:stroke joinstyle="miter"/>
              <v:path gradientshapeok="t" o:connecttype="rect"/>
            </v:shapetype>
            <v:shape id="Text Box 1" o:spid="_x0000_s1028" type="#_x0000_t202" alt="ECB-CONFIDENTIAL" style="position:absolute;margin-left:66.05pt;margin-top:0;width:117.25pt;height:27.4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" filled="f" stroked="f">
              <v:textbox style="mso-fit-shape-to-text:t" inset="0,15pt,20pt,0">
                <w:txbxContent>
                  <w:p w14:paraId="19937B71" w14:textId="49F34AEF" w:rsidR="008C121D" w:rsidRPr="008C121D" w:rsidRDefault="008C121D" w:rsidP="008C121D">
                    <w:pPr>
                      <w:spacing w:after="0"/>
                      <w:rPr>
                        <w:rFonts w:ascii="Arial" w:eastAsia="Arial" w:hAnsi="Arial" w:cs="Arial"/>
                        <w:noProof/>
                        <w:color w:val="000000"/>
                        <w:sz w:val="20"/>
                        <w:szCs w:val="20"/>
                      </w:rPr>
                    </w:pPr>
                    <w:r w:rsidRPr="008C121D">
                      <w:rPr>
                        <w:rFonts w:ascii="Arial" w:eastAsia="Arial" w:hAnsi="Arial" w:cs="Arial"/>
                        <w:noProof/>
                        <w:color w:val="000000"/>
                        <w:sz w:val="20"/>
                        <w:szCs w:val="20"/>
                      </w:rPr>
                      <w:t>ECB-CONFIDENTIAL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41E6D"/>
    <w:multiLevelType w:val="multilevel"/>
    <w:tmpl w:val="6AC6C750"/>
    <w:lvl w:ilvl="0">
      <w:start w:val="1"/>
      <w:numFmt w:val="upperRoman"/>
      <w:pStyle w:val="Heading2"/>
      <w:lvlText w:val="%1."/>
      <w:lvlJc w:val="right"/>
      <w:pPr>
        <w:tabs>
          <w:tab w:val="num" w:pos="357"/>
        </w:tabs>
        <w:ind w:left="360" w:hanging="218"/>
      </w:pPr>
      <w:rPr>
        <w:rFonts w:hint="default"/>
      </w:rPr>
    </w:lvl>
    <w:lvl w:ilvl="1">
      <w:start w:val="1"/>
      <w:numFmt w:val="decimal"/>
      <w:pStyle w:val="Heading3"/>
      <w:lvlText w:val="%1.%2."/>
      <w:lvlJc w:val="left"/>
      <w:pPr>
        <w:tabs>
          <w:tab w:val="num" w:pos="1077"/>
        </w:tabs>
        <w:ind w:left="1077" w:hanging="357"/>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37C5568"/>
    <w:multiLevelType w:val="multilevel"/>
    <w:tmpl w:val="334C61B6"/>
    <w:lvl w:ilvl="0">
      <w:start w:val="1"/>
      <w:numFmt w:val="upperRoman"/>
      <w:lvlText w:val="%1."/>
      <w:lvlJc w:val="right"/>
      <w:pPr>
        <w:tabs>
          <w:tab w:val="num" w:pos="357"/>
        </w:tabs>
        <w:ind w:left="360" w:hanging="218"/>
      </w:pPr>
      <w:rPr>
        <w:rFonts w:hint="default"/>
      </w:rPr>
    </w:lvl>
    <w:lvl w:ilvl="1">
      <w:start w:val="1"/>
      <w:numFmt w:val="decimal"/>
      <w:lvlText w:val="%1.%2."/>
      <w:lvlJc w:val="left"/>
      <w:pPr>
        <w:tabs>
          <w:tab w:val="num" w:pos="1077"/>
        </w:tabs>
        <w:ind w:left="1077" w:hanging="357"/>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6646573"/>
    <w:multiLevelType w:val="multilevel"/>
    <w:tmpl w:val="4E94D2C0"/>
    <w:lvl w:ilvl="0">
      <w:start w:val="1"/>
      <w:numFmt w:val="upperRoman"/>
      <w:lvlText w:val="%1."/>
      <w:lvlJc w:val="right"/>
      <w:pPr>
        <w:tabs>
          <w:tab w:val="num" w:pos="357"/>
        </w:tabs>
        <w:ind w:left="360" w:hanging="218"/>
      </w:pPr>
      <w:rPr>
        <w:rFonts w:hint="default"/>
      </w:rPr>
    </w:lvl>
    <w:lvl w:ilvl="1">
      <w:start w:val="1"/>
      <w:numFmt w:val="decimal"/>
      <w:lvlText w:val="%1.%2."/>
      <w:lvlJc w:val="left"/>
      <w:pPr>
        <w:tabs>
          <w:tab w:val="num" w:pos="1077"/>
        </w:tabs>
        <w:ind w:left="1077" w:hanging="357"/>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6B5082F"/>
    <w:multiLevelType w:val="hybridMultilevel"/>
    <w:tmpl w:val="6D5022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B2C4598"/>
    <w:multiLevelType w:val="multilevel"/>
    <w:tmpl w:val="567A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42154"/>
    <w:multiLevelType w:val="multilevel"/>
    <w:tmpl w:val="A9A00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83231F"/>
    <w:multiLevelType w:val="hybridMultilevel"/>
    <w:tmpl w:val="D07E0682"/>
    <w:lvl w:ilvl="0" w:tplc="21366158">
      <w:start w:val="1"/>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2AF7E3C"/>
    <w:multiLevelType w:val="hybridMultilevel"/>
    <w:tmpl w:val="FD6EFF00"/>
    <w:lvl w:ilvl="0" w:tplc="040C0019">
      <w:start w:val="1"/>
      <w:numFmt w:val="lowerLetter"/>
      <w:lvlText w:val="%1."/>
      <w:lvlJc w:val="left"/>
      <w:pPr>
        <w:ind w:left="785" w:hanging="360"/>
      </w:pPr>
      <w:rPr>
        <w:rFonts w:hint="default"/>
      </w:rPr>
    </w:lvl>
    <w:lvl w:ilvl="1" w:tplc="040C0001">
      <w:start w:val="1"/>
      <w:numFmt w:val="bullet"/>
      <w:lvlText w:val=""/>
      <w:lvlJc w:val="left"/>
      <w:pPr>
        <w:ind w:left="1440" w:hanging="360"/>
      </w:pPr>
      <w:rPr>
        <w:rFonts w:ascii="Symbol" w:hAnsi="Symbol"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2C70EAB"/>
    <w:multiLevelType w:val="multilevel"/>
    <w:tmpl w:val="DFEE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12369F"/>
    <w:multiLevelType w:val="multilevel"/>
    <w:tmpl w:val="58E4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913D6E"/>
    <w:multiLevelType w:val="multilevel"/>
    <w:tmpl w:val="B688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A62CAE"/>
    <w:multiLevelType w:val="hybridMultilevel"/>
    <w:tmpl w:val="5B2AE4CE"/>
    <w:lvl w:ilvl="0" w:tplc="BD62F418">
      <w:start w:val="1"/>
      <w:numFmt w:val="upperRoman"/>
      <w:lvlText w:val="%1."/>
      <w:lvlJc w:val="righ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2" w15:restartNumberingAfterBreak="0">
    <w:nsid w:val="23CD3905"/>
    <w:multiLevelType w:val="multilevel"/>
    <w:tmpl w:val="83E6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AA57D7"/>
    <w:multiLevelType w:val="multilevel"/>
    <w:tmpl w:val="16C4BE18"/>
    <w:lvl w:ilvl="0">
      <w:start w:val="1"/>
      <w:numFmt w:val="upperRoman"/>
      <w:lvlText w:val="%1."/>
      <w:lvlJc w:val="right"/>
      <w:pPr>
        <w:tabs>
          <w:tab w:val="num" w:pos="357"/>
        </w:tabs>
        <w:ind w:left="360" w:hanging="218"/>
      </w:pPr>
      <w:rPr>
        <w:rFonts w:hint="default"/>
      </w:rPr>
    </w:lvl>
    <w:lvl w:ilvl="1">
      <w:start w:val="1"/>
      <w:numFmt w:val="decimal"/>
      <w:lvlText w:val="%1.%2."/>
      <w:lvlJc w:val="left"/>
      <w:pPr>
        <w:tabs>
          <w:tab w:val="num" w:pos="1077"/>
        </w:tabs>
        <w:ind w:left="1077" w:hanging="357"/>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25876DFD"/>
    <w:multiLevelType w:val="hybridMultilevel"/>
    <w:tmpl w:val="2FC627F6"/>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728538B"/>
    <w:multiLevelType w:val="hybridMultilevel"/>
    <w:tmpl w:val="DC34593C"/>
    <w:lvl w:ilvl="0" w:tplc="5CFE17F2">
      <w:start w:val="2"/>
      <w:numFmt w:val="lowerLetter"/>
      <w:lvlText w:val="%1."/>
      <w:lvlJc w:val="left"/>
      <w:pPr>
        <w:ind w:left="785" w:hanging="360"/>
      </w:pPr>
      <w:rPr>
        <w:rFonts w:hint="default"/>
      </w:rPr>
    </w:lvl>
    <w:lvl w:ilvl="1" w:tplc="040C0019">
      <w:start w:val="1"/>
      <w:numFmt w:val="lowerLetter"/>
      <w:lvlText w:val="%2."/>
      <w:lvlJc w:val="left"/>
      <w:pPr>
        <w:ind w:left="1505" w:hanging="360"/>
      </w:pPr>
    </w:lvl>
    <w:lvl w:ilvl="2" w:tplc="040C001B" w:tentative="1">
      <w:start w:val="1"/>
      <w:numFmt w:val="lowerRoman"/>
      <w:lvlText w:val="%3."/>
      <w:lvlJc w:val="right"/>
      <w:pPr>
        <w:ind w:left="2225" w:hanging="180"/>
      </w:pPr>
    </w:lvl>
    <w:lvl w:ilvl="3" w:tplc="040C000F" w:tentative="1">
      <w:start w:val="1"/>
      <w:numFmt w:val="decimal"/>
      <w:lvlText w:val="%4."/>
      <w:lvlJc w:val="left"/>
      <w:pPr>
        <w:ind w:left="2945" w:hanging="360"/>
      </w:pPr>
    </w:lvl>
    <w:lvl w:ilvl="4" w:tplc="040C0019" w:tentative="1">
      <w:start w:val="1"/>
      <w:numFmt w:val="lowerLetter"/>
      <w:lvlText w:val="%5."/>
      <w:lvlJc w:val="left"/>
      <w:pPr>
        <w:ind w:left="3665" w:hanging="360"/>
      </w:pPr>
    </w:lvl>
    <w:lvl w:ilvl="5" w:tplc="040C001B" w:tentative="1">
      <w:start w:val="1"/>
      <w:numFmt w:val="lowerRoman"/>
      <w:lvlText w:val="%6."/>
      <w:lvlJc w:val="right"/>
      <w:pPr>
        <w:ind w:left="4385" w:hanging="180"/>
      </w:pPr>
    </w:lvl>
    <w:lvl w:ilvl="6" w:tplc="040C000F" w:tentative="1">
      <w:start w:val="1"/>
      <w:numFmt w:val="decimal"/>
      <w:lvlText w:val="%7."/>
      <w:lvlJc w:val="left"/>
      <w:pPr>
        <w:ind w:left="5105" w:hanging="360"/>
      </w:pPr>
    </w:lvl>
    <w:lvl w:ilvl="7" w:tplc="040C0019" w:tentative="1">
      <w:start w:val="1"/>
      <w:numFmt w:val="lowerLetter"/>
      <w:lvlText w:val="%8."/>
      <w:lvlJc w:val="left"/>
      <w:pPr>
        <w:ind w:left="5825" w:hanging="360"/>
      </w:pPr>
    </w:lvl>
    <w:lvl w:ilvl="8" w:tplc="040C001B" w:tentative="1">
      <w:start w:val="1"/>
      <w:numFmt w:val="lowerRoman"/>
      <w:lvlText w:val="%9."/>
      <w:lvlJc w:val="right"/>
      <w:pPr>
        <w:ind w:left="6545" w:hanging="180"/>
      </w:pPr>
    </w:lvl>
  </w:abstractNum>
  <w:abstractNum w:abstractNumId="16" w15:restartNumberingAfterBreak="0">
    <w:nsid w:val="27923DEE"/>
    <w:multiLevelType w:val="multilevel"/>
    <w:tmpl w:val="0BA0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754DD5"/>
    <w:multiLevelType w:val="multilevel"/>
    <w:tmpl w:val="6326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586622"/>
    <w:multiLevelType w:val="multilevel"/>
    <w:tmpl w:val="00EA4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A22EA5"/>
    <w:multiLevelType w:val="hybridMultilevel"/>
    <w:tmpl w:val="74C4069C"/>
    <w:lvl w:ilvl="0" w:tplc="B8820566">
      <w:start w:val="1"/>
      <w:numFmt w:val="lowerLetter"/>
      <w:lvlText w:val="%1."/>
      <w:lvlJc w:val="left"/>
      <w:pPr>
        <w:ind w:left="360" w:hanging="360"/>
      </w:pPr>
      <w:rPr>
        <w:rFonts w:hint="default"/>
        <w:sz w:val="24"/>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0" w15:restartNumberingAfterBreak="0">
    <w:nsid w:val="353E4BA3"/>
    <w:multiLevelType w:val="multilevel"/>
    <w:tmpl w:val="EE90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780593"/>
    <w:multiLevelType w:val="hybridMultilevel"/>
    <w:tmpl w:val="110435AA"/>
    <w:lvl w:ilvl="0" w:tplc="744E415E">
      <w:start w:val="1"/>
      <w:numFmt w:val="lowerRoman"/>
      <w:lvlText w:val="%1."/>
      <w:lvlJc w:val="right"/>
      <w:pPr>
        <w:ind w:left="360" w:hanging="360"/>
      </w:pPr>
      <w:rPr>
        <w:color w:val="auto"/>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2" w15:restartNumberingAfterBreak="0">
    <w:nsid w:val="3F0D1801"/>
    <w:multiLevelType w:val="multilevel"/>
    <w:tmpl w:val="29FC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927320"/>
    <w:multiLevelType w:val="multilevel"/>
    <w:tmpl w:val="A6F0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E26199"/>
    <w:multiLevelType w:val="multilevel"/>
    <w:tmpl w:val="0652C2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4C3C2C"/>
    <w:multiLevelType w:val="multilevel"/>
    <w:tmpl w:val="BCCEDD62"/>
    <w:lvl w:ilvl="0">
      <w:start w:val="1"/>
      <w:numFmt w:val="upperRoman"/>
      <w:lvlText w:val="%1."/>
      <w:lvlJc w:val="right"/>
      <w:pPr>
        <w:ind w:left="720" w:hanging="363"/>
      </w:pPr>
      <w:rPr>
        <w:rFonts w:hint="default"/>
      </w:rPr>
    </w:lvl>
    <w:lvl w:ilvl="1">
      <w:start w:val="1"/>
      <w:numFmt w:val="decimal"/>
      <w:lvlText w:val="%1.%2."/>
      <w:lvlJc w:val="left"/>
      <w:pPr>
        <w:ind w:left="1077" w:hanging="357"/>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44177839"/>
    <w:multiLevelType w:val="multilevel"/>
    <w:tmpl w:val="C416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033F42"/>
    <w:multiLevelType w:val="hybridMultilevel"/>
    <w:tmpl w:val="2792715E"/>
    <w:lvl w:ilvl="0" w:tplc="0809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45FB6635"/>
    <w:multiLevelType w:val="multilevel"/>
    <w:tmpl w:val="8C98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9321E6"/>
    <w:multiLevelType w:val="hybridMultilevel"/>
    <w:tmpl w:val="5184B9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47BC41E3"/>
    <w:multiLevelType w:val="multilevel"/>
    <w:tmpl w:val="ABE6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3358BD"/>
    <w:multiLevelType w:val="multilevel"/>
    <w:tmpl w:val="38AC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064FB2"/>
    <w:multiLevelType w:val="multilevel"/>
    <w:tmpl w:val="50C6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CA0E8C"/>
    <w:multiLevelType w:val="hybridMultilevel"/>
    <w:tmpl w:val="7408E02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4EEB575C"/>
    <w:multiLevelType w:val="multilevel"/>
    <w:tmpl w:val="A7FE2A1E"/>
    <w:lvl w:ilvl="0">
      <w:start w:val="1"/>
      <w:numFmt w:val="upperRoman"/>
      <w:lvlText w:val="%1."/>
      <w:lvlJc w:val="right"/>
      <w:pPr>
        <w:tabs>
          <w:tab w:val="num" w:pos="357"/>
        </w:tabs>
        <w:ind w:left="360" w:hanging="218"/>
      </w:pPr>
      <w:rPr>
        <w:rFonts w:hint="default"/>
      </w:rPr>
    </w:lvl>
    <w:lvl w:ilvl="1">
      <w:start w:val="1"/>
      <w:numFmt w:val="decimal"/>
      <w:lvlText w:val="%1.%2."/>
      <w:lvlJc w:val="left"/>
      <w:pPr>
        <w:tabs>
          <w:tab w:val="num" w:pos="1077"/>
        </w:tabs>
        <w:ind w:left="1077" w:hanging="357"/>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6196770A"/>
    <w:multiLevelType w:val="hybridMultilevel"/>
    <w:tmpl w:val="2774DDE0"/>
    <w:lvl w:ilvl="0" w:tplc="08090013">
      <w:start w:val="1"/>
      <w:numFmt w:val="upperRoman"/>
      <w:lvlText w:val="%1."/>
      <w:lvlJc w:val="righ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6" w15:restartNumberingAfterBreak="0">
    <w:nsid w:val="68F251FB"/>
    <w:multiLevelType w:val="multilevel"/>
    <w:tmpl w:val="96FA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ED5C0E"/>
    <w:multiLevelType w:val="hybridMultilevel"/>
    <w:tmpl w:val="90D23D4A"/>
    <w:lvl w:ilvl="0" w:tplc="21366158">
      <w:start w:val="1"/>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1F46220"/>
    <w:multiLevelType w:val="multilevel"/>
    <w:tmpl w:val="697E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590359"/>
    <w:multiLevelType w:val="multilevel"/>
    <w:tmpl w:val="1AD0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4520EA"/>
    <w:multiLevelType w:val="hybridMultilevel"/>
    <w:tmpl w:val="13DEAFCE"/>
    <w:lvl w:ilvl="0" w:tplc="0809001B">
      <w:start w:val="1"/>
      <w:numFmt w:val="lowerRoman"/>
      <w:lvlText w:val="%1."/>
      <w:lvlJc w:val="right"/>
      <w:pPr>
        <w:ind w:left="360" w:hanging="360"/>
      </w:pPr>
      <w:rPr>
        <w:rFonts w:hint="default"/>
        <w:color w:val="auto"/>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1" w15:restartNumberingAfterBreak="0">
    <w:nsid w:val="79DF3C25"/>
    <w:multiLevelType w:val="hybridMultilevel"/>
    <w:tmpl w:val="1778C00C"/>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F070264"/>
    <w:multiLevelType w:val="multilevel"/>
    <w:tmpl w:val="A516CDEA"/>
    <w:lvl w:ilvl="0">
      <w:start w:val="1"/>
      <w:numFmt w:val="upperRoman"/>
      <w:lvlText w:val="%1."/>
      <w:lvlJc w:val="right"/>
      <w:pPr>
        <w:tabs>
          <w:tab w:val="num" w:pos="357"/>
        </w:tabs>
        <w:ind w:left="360" w:hanging="218"/>
      </w:pPr>
      <w:rPr>
        <w:rFonts w:hint="default"/>
      </w:rPr>
    </w:lvl>
    <w:lvl w:ilvl="1">
      <w:start w:val="1"/>
      <w:numFmt w:val="decimal"/>
      <w:lvlText w:val="%1.%2."/>
      <w:lvlJc w:val="left"/>
      <w:pPr>
        <w:tabs>
          <w:tab w:val="num" w:pos="1077"/>
        </w:tabs>
        <w:ind w:left="1077" w:hanging="357"/>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2022003750">
    <w:abstractNumId w:val="38"/>
  </w:num>
  <w:num w:numId="2" w16cid:durableId="649478708">
    <w:abstractNumId w:val="39"/>
  </w:num>
  <w:num w:numId="3" w16cid:durableId="1250651263">
    <w:abstractNumId w:val="3"/>
  </w:num>
  <w:num w:numId="4" w16cid:durableId="183401855">
    <w:abstractNumId w:val="33"/>
  </w:num>
  <w:num w:numId="5" w16cid:durableId="1099838461">
    <w:abstractNumId w:val="31"/>
  </w:num>
  <w:num w:numId="6" w16cid:durableId="1855612741">
    <w:abstractNumId w:val="20"/>
  </w:num>
  <w:num w:numId="7" w16cid:durableId="672608087">
    <w:abstractNumId w:val="5"/>
  </w:num>
  <w:num w:numId="8" w16cid:durableId="1680959372">
    <w:abstractNumId w:val="28"/>
  </w:num>
  <w:num w:numId="9" w16cid:durableId="120923088">
    <w:abstractNumId w:val="12"/>
  </w:num>
  <w:num w:numId="10" w16cid:durableId="919758824">
    <w:abstractNumId w:val="9"/>
  </w:num>
  <w:num w:numId="11" w16cid:durableId="1053700207">
    <w:abstractNumId w:val="32"/>
  </w:num>
  <w:num w:numId="12" w16cid:durableId="283124482">
    <w:abstractNumId w:val="22"/>
  </w:num>
  <w:num w:numId="13" w16cid:durableId="910384595">
    <w:abstractNumId w:val="30"/>
  </w:num>
  <w:num w:numId="14" w16cid:durableId="325934548">
    <w:abstractNumId w:val="18"/>
  </w:num>
  <w:num w:numId="15" w16cid:durableId="1949041941">
    <w:abstractNumId w:val="4"/>
  </w:num>
  <w:num w:numId="16" w16cid:durableId="1109475389">
    <w:abstractNumId w:val="16"/>
  </w:num>
  <w:num w:numId="17" w16cid:durableId="1215854214">
    <w:abstractNumId w:val="8"/>
  </w:num>
  <w:num w:numId="18" w16cid:durableId="2100826342">
    <w:abstractNumId w:val="26"/>
  </w:num>
  <w:num w:numId="19" w16cid:durableId="1873574953">
    <w:abstractNumId w:val="41"/>
  </w:num>
  <w:num w:numId="20" w16cid:durableId="1443764142">
    <w:abstractNumId w:val="14"/>
  </w:num>
  <w:num w:numId="21" w16cid:durableId="560874582">
    <w:abstractNumId w:val="29"/>
  </w:num>
  <w:num w:numId="22" w16cid:durableId="1171486968">
    <w:abstractNumId w:val="23"/>
  </w:num>
  <w:num w:numId="23" w16cid:durableId="9571194">
    <w:abstractNumId w:val="10"/>
  </w:num>
  <w:num w:numId="24" w16cid:durableId="1465082984">
    <w:abstractNumId w:val="36"/>
  </w:num>
  <w:num w:numId="25" w16cid:durableId="1628925472">
    <w:abstractNumId w:val="17"/>
  </w:num>
  <w:num w:numId="26" w16cid:durableId="145702732">
    <w:abstractNumId w:val="6"/>
  </w:num>
  <w:num w:numId="27" w16cid:durableId="522867081">
    <w:abstractNumId w:val="7"/>
  </w:num>
  <w:num w:numId="28" w16cid:durableId="293217407">
    <w:abstractNumId w:val="19"/>
  </w:num>
  <w:num w:numId="29" w16cid:durableId="86006447">
    <w:abstractNumId w:val="15"/>
  </w:num>
  <w:num w:numId="30" w16cid:durableId="1510828707">
    <w:abstractNumId w:val="21"/>
  </w:num>
  <w:num w:numId="31" w16cid:durableId="1005979640">
    <w:abstractNumId w:val="37"/>
  </w:num>
  <w:num w:numId="32" w16cid:durableId="2070879906">
    <w:abstractNumId w:val="40"/>
  </w:num>
  <w:num w:numId="33" w16cid:durableId="196356135">
    <w:abstractNumId w:val="11"/>
  </w:num>
  <w:num w:numId="34" w16cid:durableId="797797552">
    <w:abstractNumId w:val="35"/>
  </w:num>
  <w:num w:numId="35" w16cid:durableId="1307052737">
    <w:abstractNumId w:val="27"/>
  </w:num>
  <w:num w:numId="36" w16cid:durableId="1354766742">
    <w:abstractNumId w:val="11"/>
    <w:lvlOverride w:ilvl="0">
      <w:startOverride w:val="1"/>
    </w:lvlOverride>
  </w:num>
  <w:num w:numId="37" w16cid:durableId="1479154560">
    <w:abstractNumId w:val="13"/>
  </w:num>
  <w:num w:numId="38" w16cid:durableId="1583371604">
    <w:abstractNumId w:val="25"/>
  </w:num>
  <w:num w:numId="39" w16cid:durableId="1571847983">
    <w:abstractNumId w:val="42"/>
  </w:num>
  <w:num w:numId="40" w16cid:durableId="1814833955">
    <w:abstractNumId w:val="2"/>
  </w:num>
  <w:num w:numId="41" w16cid:durableId="617375449">
    <w:abstractNumId w:val="34"/>
  </w:num>
  <w:num w:numId="42" w16cid:durableId="363485770">
    <w:abstractNumId w:val="1"/>
  </w:num>
  <w:num w:numId="43" w16cid:durableId="1840348475">
    <w:abstractNumId w:val="0"/>
  </w:num>
  <w:num w:numId="44" w16cid:durableId="178966585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21D"/>
    <w:rsid w:val="00016C64"/>
    <w:rsid w:val="00025CDD"/>
    <w:rsid w:val="00025DA9"/>
    <w:rsid w:val="0003640E"/>
    <w:rsid w:val="000431BA"/>
    <w:rsid w:val="00055BC4"/>
    <w:rsid w:val="00057BA4"/>
    <w:rsid w:val="00076D7E"/>
    <w:rsid w:val="00082D70"/>
    <w:rsid w:val="000875A3"/>
    <w:rsid w:val="00097838"/>
    <w:rsid w:val="000B37B1"/>
    <w:rsid w:val="000D3899"/>
    <w:rsid w:val="000E62A1"/>
    <w:rsid w:val="000F7669"/>
    <w:rsid w:val="00111F81"/>
    <w:rsid w:val="00125922"/>
    <w:rsid w:val="001409A7"/>
    <w:rsid w:val="00151221"/>
    <w:rsid w:val="00151F5F"/>
    <w:rsid w:val="0015407E"/>
    <w:rsid w:val="00154FE7"/>
    <w:rsid w:val="00156313"/>
    <w:rsid w:val="001604D6"/>
    <w:rsid w:val="00167159"/>
    <w:rsid w:val="00183E1D"/>
    <w:rsid w:val="00183E59"/>
    <w:rsid w:val="001858D3"/>
    <w:rsid w:val="001B4A0B"/>
    <w:rsid w:val="001C1120"/>
    <w:rsid w:val="001C4760"/>
    <w:rsid w:val="001D3549"/>
    <w:rsid w:val="001D4581"/>
    <w:rsid w:val="001D4997"/>
    <w:rsid w:val="001E23F3"/>
    <w:rsid w:val="001E5150"/>
    <w:rsid w:val="001E7446"/>
    <w:rsid w:val="00212225"/>
    <w:rsid w:val="00212EAA"/>
    <w:rsid w:val="0024129E"/>
    <w:rsid w:val="002412E0"/>
    <w:rsid w:val="00241C2D"/>
    <w:rsid w:val="00245690"/>
    <w:rsid w:val="00262E49"/>
    <w:rsid w:val="00275295"/>
    <w:rsid w:val="0028251C"/>
    <w:rsid w:val="00285520"/>
    <w:rsid w:val="00296D7C"/>
    <w:rsid w:val="002A0B93"/>
    <w:rsid w:val="002A1D06"/>
    <w:rsid w:val="002A397F"/>
    <w:rsid w:val="002A7F51"/>
    <w:rsid w:val="002B48A7"/>
    <w:rsid w:val="002B7939"/>
    <w:rsid w:val="002C4E12"/>
    <w:rsid w:val="002D4376"/>
    <w:rsid w:val="002D743E"/>
    <w:rsid w:val="002D7E79"/>
    <w:rsid w:val="002E1834"/>
    <w:rsid w:val="002E3983"/>
    <w:rsid w:val="00302D72"/>
    <w:rsid w:val="0030687D"/>
    <w:rsid w:val="00310F4D"/>
    <w:rsid w:val="00321638"/>
    <w:rsid w:val="00354FE2"/>
    <w:rsid w:val="00361EE9"/>
    <w:rsid w:val="00363D6A"/>
    <w:rsid w:val="00370F45"/>
    <w:rsid w:val="00373699"/>
    <w:rsid w:val="003763F8"/>
    <w:rsid w:val="00380765"/>
    <w:rsid w:val="00381931"/>
    <w:rsid w:val="00387DD7"/>
    <w:rsid w:val="0039190C"/>
    <w:rsid w:val="00397DC7"/>
    <w:rsid w:val="003B3DA0"/>
    <w:rsid w:val="003D6211"/>
    <w:rsid w:val="003D7CDD"/>
    <w:rsid w:val="003E57FC"/>
    <w:rsid w:val="003E636A"/>
    <w:rsid w:val="003E6FA1"/>
    <w:rsid w:val="003F752E"/>
    <w:rsid w:val="00401AB3"/>
    <w:rsid w:val="00403C27"/>
    <w:rsid w:val="00410BDE"/>
    <w:rsid w:val="00432207"/>
    <w:rsid w:val="004352F6"/>
    <w:rsid w:val="00451065"/>
    <w:rsid w:val="00460394"/>
    <w:rsid w:val="00477BA3"/>
    <w:rsid w:val="0048545F"/>
    <w:rsid w:val="0049006E"/>
    <w:rsid w:val="004B5575"/>
    <w:rsid w:val="004B58E9"/>
    <w:rsid w:val="004C1D84"/>
    <w:rsid w:val="004C2478"/>
    <w:rsid w:val="004D7948"/>
    <w:rsid w:val="004E3CC0"/>
    <w:rsid w:val="004F4A43"/>
    <w:rsid w:val="004F5933"/>
    <w:rsid w:val="00512A95"/>
    <w:rsid w:val="00514622"/>
    <w:rsid w:val="00515D18"/>
    <w:rsid w:val="005220EC"/>
    <w:rsid w:val="00536DF1"/>
    <w:rsid w:val="0054009A"/>
    <w:rsid w:val="00543B45"/>
    <w:rsid w:val="005446B0"/>
    <w:rsid w:val="005569B7"/>
    <w:rsid w:val="00561F53"/>
    <w:rsid w:val="00567606"/>
    <w:rsid w:val="00567CFE"/>
    <w:rsid w:val="00572D77"/>
    <w:rsid w:val="0057690A"/>
    <w:rsid w:val="00576AB9"/>
    <w:rsid w:val="00597B35"/>
    <w:rsid w:val="005B2B71"/>
    <w:rsid w:val="005B2D9D"/>
    <w:rsid w:val="005B6A67"/>
    <w:rsid w:val="005D17B2"/>
    <w:rsid w:val="005E682E"/>
    <w:rsid w:val="005F2BD8"/>
    <w:rsid w:val="00600FD6"/>
    <w:rsid w:val="00626B02"/>
    <w:rsid w:val="00642842"/>
    <w:rsid w:val="00644CDB"/>
    <w:rsid w:val="00647032"/>
    <w:rsid w:val="00647D45"/>
    <w:rsid w:val="00652418"/>
    <w:rsid w:val="00654107"/>
    <w:rsid w:val="00673D80"/>
    <w:rsid w:val="0068166D"/>
    <w:rsid w:val="00682250"/>
    <w:rsid w:val="00686243"/>
    <w:rsid w:val="0069156B"/>
    <w:rsid w:val="006B2A4D"/>
    <w:rsid w:val="006B3DA1"/>
    <w:rsid w:val="006B740F"/>
    <w:rsid w:val="006C22DD"/>
    <w:rsid w:val="006C514B"/>
    <w:rsid w:val="006D012E"/>
    <w:rsid w:val="006D0177"/>
    <w:rsid w:val="006E0F14"/>
    <w:rsid w:val="006E18C6"/>
    <w:rsid w:val="006E71CF"/>
    <w:rsid w:val="006F70A1"/>
    <w:rsid w:val="007301E7"/>
    <w:rsid w:val="00734AE5"/>
    <w:rsid w:val="007447C1"/>
    <w:rsid w:val="00757056"/>
    <w:rsid w:val="007609D8"/>
    <w:rsid w:val="00761E8C"/>
    <w:rsid w:val="0076250E"/>
    <w:rsid w:val="00766280"/>
    <w:rsid w:val="00767782"/>
    <w:rsid w:val="00781017"/>
    <w:rsid w:val="007A161B"/>
    <w:rsid w:val="007C4F4B"/>
    <w:rsid w:val="007C63EB"/>
    <w:rsid w:val="007D60DA"/>
    <w:rsid w:val="007E161A"/>
    <w:rsid w:val="007E17BB"/>
    <w:rsid w:val="007F3DFB"/>
    <w:rsid w:val="007F5545"/>
    <w:rsid w:val="00801D90"/>
    <w:rsid w:val="00832E96"/>
    <w:rsid w:val="00832FC2"/>
    <w:rsid w:val="008420A1"/>
    <w:rsid w:val="0084603F"/>
    <w:rsid w:val="0085144B"/>
    <w:rsid w:val="008559B4"/>
    <w:rsid w:val="00864482"/>
    <w:rsid w:val="00875074"/>
    <w:rsid w:val="008771A0"/>
    <w:rsid w:val="008771AA"/>
    <w:rsid w:val="00882867"/>
    <w:rsid w:val="00885468"/>
    <w:rsid w:val="00897263"/>
    <w:rsid w:val="008A1FDF"/>
    <w:rsid w:val="008B1DF0"/>
    <w:rsid w:val="008B5DA5"/>
    <w:rsid w:val="008C121D"/>
    <w:rsid w:val="008C74C5"/>
    <w:rsid w:val="008D7EB8"/>
    <w:rsid w:val="008E1789"/>
    <w:rsid w:val="008E288A"/>
    <w:rsid w:val="008E6C61"/>
    <w:rsid w:val="008F10A4"/>
    <w:rsid w:val="008F11C0"/>
    <w:rsid w:val="008F43F5"/>
    <w:rsid w:val="00902BC0"/>
    <w:rsid w:val="0091419C"/>
    <w:rsid w:val="00915017"/>
    <w:rsid w:val="00922E24"/>
    <w:rsid w:val="009323A9"/>
    <w:rsid w:val="009408FE"/>
    <w:rsid w:val="00945ED9"/>
    <w:rsid w:val="00947986"/>
    <w:rsid w:val="0095556F"/>
    <w:rsid w:val="0095647B"/>
    <w:rsid w:val="00962A98"/>
    <w:rsid w:val="00971F32"/>
    <w:rsid w:val="009779D7"/>
    <w:rsid w:val="009A3249"/>
    <w:rsid w:val="009A40D4"/>
    <w:rsid w:val="009A51BE"/>
    <w:rsid w:val="009B3A0D"/>
    <w:rsid w:val="009E6F5C"/>
    <w:rsid w:val="009E70D4"/>
    <w:rsid w:val="009F722D"/>
    <w:rsid w:val="00A02B43"/>
    <w:rsid w:val="00A139FD"/>
    <w:rsid w:val="00A24C08"/>
    <w:rsid w:val="00A609C0"/>
    <w:rsid w:val="00A64BC2"/>
    <w:rsid w:val="00A87554"/>
    <w:rsid w:val="00A91492"/>
    <w:rsid w:val="00A956C3"/>
    <w:rsid w:val="00AA688F"/>
    <w:rsid w:val="00AB5E37"/>
    <w:rsid w:val="00AB68D4"/>
    <w:rsid w:val="00AD2E34"/>
    <w:rsid w:val="00AD7C09"/>
    <w:rsid w:val="00AE067C"/>
    <w:rsid w:val="00AE7DDC"/>
    <w:rsid w:val="00B1413E"/>
    <w:rsid w:val="00B31D3C"/>
    <w:rsid w:val="00B41C36"/>
    <w:rsid w:val="00B46496"/>
    <w:rsid w:val="00B4722D"/>
    <w:rsid w:val="00B56237"/>
    <w:rsid w:val="00B61153"/>
    <w:rsid w:val="00B65D68"/>
    <w:rsid w:val="00B8597B"/>
    <w:rsid w:val="00B86EB3"/>
    <w:rsid w:val="00B91021"/>
    <w:rsid w:val="00B95980"/>
    <w:rsid w:val="00B9619D"/>
    <w:rsid w:val="00BB5794"/>
    <w:rsid w:val="00BB75C8"/>
    <w:rsid w:val="00BB7FB7"/>
    <w:rsid w:val="00BE098C"/>
    <w:rsid w:val="00BE2CF9"/>
    <w:rsid w:val="00BE4729"/>
    <w:rsid w:val="00C04F91"/>
    <w:rsid w:val="00C74BF3"/>
    <w:rsid w:val="00C82D64"/>
    <w:rsid w:val="00CA1ABC"/>
    <w:rsid w:val="00CA24F4"/>
    <w:rsid w:val="00CA40CB"/>
    <w:rsid w:val="00CC581D"/>
    <w:rsid w:val="00CE2882"/>
    <w:rsid w:val="00CF3A42"/>
    <w:rsid w:val="00CF74DF"/>
    <w:rsid w:val="00D01CD0"/>
    <w:rsid w:val="00D07E9B"/>
    <w:rsid w:val="00D1581E"/>
    <w:rsid w:val="00D23820"/>
    <w:rsid w:val="00D26B92"/>
    <w:rsid w:val="00D270AC"/>
    <w:rsid w:val="00D83BE6"/>
    <w:rsid w:val="00DB46A2"/>
    <w:rsid w:val="00DC1745"/>
    <w:rsid w:val="00DC4A77"/>
    <w:rsid w:val="00DD5601"/>
    <w:rsid w:val="00DD6179"/>
    <w:rsid w:val="00DD6878"/>
    <w:rsid w:val="00DD7770"/>
    <w:rsid w:val="00DF6646"/>
    <w:rsid w:val="00E118EB"/>
    <w:rsid w:val="00E1763E"/>
    <w:rsid w:val="00E22FC4"/>
    <w:rsid w:val="00E42D92"/>
    <w:rsid w:val="00E52715"/>
    <w:rsid w:val="00E57085"/>
    <w:rsid w:val="00E608AD"/>
    <w:rsid w:val="00E627D0"/>
    <w:rsid w:val="00E653B8"/>
    <w:rsid w:val="00E73A94"/>
    <w:rsid w:val="00E83227"/>
    <w:rsid w:val="00E87CF3"/>
    <w:rsid w:val="00E96DDD"/>
    <w:rsid w:val="00EA00D1"/>
    <w:rsid w:val="00EB133C"/>
    <w:rsid w:val="00EC5BC9"/>
    <w:rsid w:val="00ED6DC5"/>
    <w:rsid w:val="00ED773E"/>
    <w:rsid w:val="00EE49DA"/>
    <w:rsid w:val="00EF3A0A"/>
    <w:rsid w:val="00EF7A26"/>
    <w:rsid w:val="00F02D7F"/>
    <w:rsid w:val="00F131EC"/>
    <w:rsid w:val="00F1440D"/>
    <w:rsid w:val="00F238D7"/>
    <w:rsid w:val="00F23D3E"/>
    <w:rsid w:val="00F2485E"/>
    <w:rsid w:val="00F429D4"/>
    <w:rsid w:val="00F520B6"/>
    <w:rsid w:val="00F53CE2"/>
    <w:rsid w:val="00F65662"/>
    <w:rsid w:val="00F67184"/>
    <w:rsid w:val="00F72D2C"/>
    <w:rsid w:val="00F8070A"/>
    <w:rsid w:val="00F82589"/>
    <w:rsid w:val="00F854F8"/>
    <w:rsid w:val="00F97174"/>
    <w:rsid w:val="00FC0064"/>
    <w:rsid w:val="00FC17AD"/>
    <w:rsid w:val="00FD1725"/>
    <w:rsid w:val="00FD74A9"/>
    <w:rsid w:val="00FE1DB4"/>
    <w:rsid w:val="00FE1EA3"/>
    <w:rsid w:val="00FE3A0A"/>
    <w:rsid w:val="00FE6760"/>
    <w:rsid w:val="00FF34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B68593"/>
  <w15:chartTrackingRefBased/>
  <w15:docId w15:val="{BCEA33A9-A3B9-4373-8EB9-6513C9EB4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38D7"/>
    <w:rPr>
      <w:lang w:val="fr-FR"/>
    </w:rPr>
  </w:style>
  <w:style w:type="paragraph" w:styleId="Heading1">
    <w:name w:val="heading 1"/>
    <w:basedOn w:val="Normal"/>
    <w:next w:val="Normal"/>
    <w:link w:val="Heading1Char"/>
    <w:uiPriority w:val="9"/>
    <w:qFormat/>
    <w:rsid w:val="008C12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2D2C"/>
    <w:pPr>
      <w:keepNext/>
      <w:keepLines/>
      <w:numPr>
        <w:numId w:val="43"/>
      </w:numPr>
      <w:spacing w:before="120" w:after="120" w:line="276" w:lineRule="auto"/>
      <w:contextualSpacing/>
      <w:jc w:val="both"/>
      <w:outlineLvl w:val="1"/>
    </w:pPr>
    <w:rPr>
      <w:rFonts w:ascii="Calibri" w:eastAsiaTheme="majorEastAsia" w:hAnsi="Calibri" w:cs="Calibri"/>
      <w:b/>
      <w:bCs/>
      <w:sz w:val="28"/>
      <w:szCs w:val="28"/>
      <w:lang w:val="en-US"/>
    </w:rPr>
  </w:style>
  <w:style w:type="paragraph" w:styleId="Heading3">
    <w:name w:val="heading 3"/>
    <w:basedOn w:val="Normal"/>
    <w:next w:val="Normal"/>
    <w:link w:val="Heading3Char"/>
    <w:uiPriority w:val="9"/>
    <w:unhideWhenUsed/>
    <w:qFormat/>
    <w:rsid w:val="00F72D2C"/>
    <w:pPr>
      <w:keepNext/>
      <w:keepLines/>
      <w:numPr>
        <w:ilvl w:val="1"/>
        <w:numId w:val="43"/>
      </w:numPr>
      <w:spacing w:before="120" w:after="120" w:line="276" w:lineRule="auto"/>
      <w:contextualSpacing/>
      <w:jc w:val="both"/>
      <w:outlineLvl w:val="2"/>
    </w:pPr>
    <w:rPr>
      <w:rFonts w:ascii="Calibri" w:eastAsiaTheme="majorEastAsia" w:hAnsi="Calibri" w:cs="Calibri"/>
      <w:sz w:val="24"/>
      <w:szCs w:val="24"/>
      <w:lang w:val="en-US"/>
    </w:rPr>
  </w:style>
  <w:style w:type="paragraph" w:styleId="Heading4">
    <w:name w:val="heading 4"/>
    <w:basedOn w:val="Normal"/>
    <w:next w:val="Normal"/>
    <w:link w:val="Heading4Char"/>
    <w:uiPriority w:val="9"/>
    <w:semiHidden/>
    <w:unhideWhenUsed/>
    <w:qFormat/>
    <w:rsid w:val="008C12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12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12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2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2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2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21D"/>
    <w:rPr>
      <w:rFonts w:asciiTheme="majorHAnsi" w:eastAsiaTheme="majorEastAsia" w:hAnsiTheme="majorHAnsi" w:cstheme="majorBidi"/>
      <w:color w:val="0F4761" w:themeColor="accent1" w:themeShade="BF"/>
      <w:sz w:val="40"/>
      <w:szCs w:val="40"/>
      <w:lang w:val="fr-FR"/>
    </w:rPr>
  </w:style>
  <w:style w:type="character" w:customStyle="1" w:styleId="Heading2Char">
    <w:name w:val="Heading 2 Char"/>
    <w:basedOn w:val="DefaultParagraphFont"/>
    <w:link w:val="Heading2"/>
    <w:uiPriority w:val="9"/>
    <w:rsid w:val="00F72D2C"/>
    <w:rPr>
      <w:rFonts w:ascii="Calibri" w:eastAsiaTheme="majorEastAsia" w:hAnsi="Calibri" w:cs="Calibri"/>
      <w:b/>
      <w:bCs/>
      <w:sz w:val="28"/>
      <w:szCs w:val="28"/>
      <w:lang w:val="en-US"/>
    </w:rPr>
  </w:style>
  <w:style w:type="character" w:customStyle="1" w:styleId="Heading3Char">
    <w:name w:val="Heading 3 Char"/>
    <w:basedOn w:val="DefaultParagraphFont"/>
    <w:link w:val="Heading3"/>
    <w:uiPriority w:val="9"/>
    <w:rsid w:val="00F72D2C"/>
    <w:rPr>
      <w:rFonts w:ascii="Calibri" w:eastAsiaTheme="majorEastAsia" w:hAnsi="Calibri" w:cs="Calibri"/>
      <w:sz w:val="24"/>
      <w:szCs w:val="24"/>
      <w:lang w:val="en-US"/>
    </w:rPr>
  </w:style>
  <w:style w:type="character" w:customStyle="1" w:styleId="Heading4Char">
    <w:name w:val="Heading 4 Char"/>
    <w:basedOn w:val="DefaultParagraphFont"/>
    <w:link w:val="Heading4"/>
    <w:uiPriority w:val="9"/>
    <w:semiHidden/>
    <w:rsid w:val="008C121D"/>
    <w:rPr>
      <w:rFonts w:eastAsiaTheme="majorEastAsia" w:cstheme="majorBidi"/>
      <w:i/>
      <w:iCs/>
      <w:color w:val="0F4761" w:themeColor="accent1" w:themeShade="BF"/>
      <w:lang w:val="fr-FR"/>
    </w:rPr>
  </w:style>
  <w:style w:type="character" w:customStyle="1" w:styleId="Heading5Char">
    <w:name w:val="Heading 5 Char"/>
    <w:basedOn w:val="DefaultParagraphFont"/>
    <w:link w:val="Heading5"/>
    <w:uiPriority w:val="9"/>
    <w:semiHidden/>
    <w:rsid w:val="008C121D"/>
    <w:rPr>
      <w:rFonts w:eastAsiaTheme="majorEastAsia" w:cstheme="majorBidi"/>
      <w:color w:val="0F4761" w:themeColor="accent1" w:themeShade="BF"/>
      <w:lang w:val="fr-FR"/>
    </w:rPr>
  </w:style>
  <w:style w:type="character" w:customStyle="1" w:styleId="Heading6Char">
    <w:name w:val="Heading 6 Char"/>
    <w:basedOn w:val="DefaultParagraphFont"/>
    <w:link w:val="Heading6"/>
    <w:uiPriority w:val="9"/>
    <w:semiHidden/>
    <w:rsid w:val="008C121D"/>
    <w:rPr>
      <w:rFonts w:eastAsiaTheme="majorEastAsia" w:cstheme="majorBidi"/>
      <w:i/>
      <w:iCs/>
      <w:color w:val="595959" w:themeColor="text1" w:themeTint="A6"/>
      <w:lang w:val="fr-FR"/>
    </w:rPr>
  </w:style>
  <w:style w:type="character" w:customStyle="1" w:styleId="Heading7Char">
    <w:name w:val="Heading 7 Char"/>
    <w:basedOn w:val="DefaultParagraphFont"/>
    <w:link w:val="Heading7"/>
    <w:uiPriority w:val="9"/>
    <w:semiHidden/>
    <w:rsid w:val="008C121D"/>
    <w:rPr>
      <w:rFonts w:eastAsiaTheme="majorEastAsia" w:cstheme="majorBidi"/>
      <w:color w:val="595959" w:themeColor="text1" w:themeTint="A6"/>
      <w:lang w:val="fr-FR"/>
    </w:rPr>
  </w:style>
  <w:style w:type="character" w:customStyle="1" w:styleId="Heading8Char">
    <w:name w:val="Heading 8 Char"/>
    <w:basedOn w:val="DefaultParagraphFont"/>
    <w:link w:val="Heading8"/>
    <w:uiPriority w:val="9"/>
    <w:semiHidden/>
    <w:rsid w:val="008C121D"/>
    <w:rPr>
      <w:rFonts w:eastAsiaTheme="majorEastAsia" w:cstheme="majorBidi"/>
      <w:i/>
      <w:iCs/>
      <w:color w:val="272727" w:themeColor="text1" w:themeTint="D8"/>
      <w:lang w:val="fr-FR"/>
    </w:rPr>
  </w:style>
  <w:style w:type="character" w:customStyle="1" w:styleId="Heading9Char">
    <w:name w:val="Heading 9 Char"/>
    <w:basedOn w:val="DefaultParagraphFont"/>
    <w:link w:val="Heading9"/>
    <w:uiPriority w:val="9"/>
    <w:semiHidden/>
    <w:rsid w:val="008C121D"/>
    <w:rPr>
      <w:rFonts w:eastAsiaTheme="majorEastAsia" w:cstheme="majorBidi"/>
      <w:color w:val="272727" w:themeColor="text1" w:themeTint="D8"/>
      <w:lang w:val="fr-FR"/>
    </w:rPr>
  </w:style>
  <w:style w:type="paragraph" w:styleId="Title">
    <w:name w:val="Title"/>
    <w:basedOn w:val="Normal"/>
    <w:next w:val="Normal"/>
    <w:link w:val="TitleChar"/>
    <w:uiPriority w:val="10"/>
    <w:qFormat/>
    <w:rsid w:val="008C12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21D"/>
    <w:rPr>
      <w:rFonts w:asciiTheme="majorHAnsi" w:eastAsiaTheme="majorEastAsia" w:hAnsiTheme="majorHAnsi" w:cstheme="majorBidi"/>
      <w:spacing w:val="-10"/>
      <w:kern w:val="28"/>
      <w:sz w:val="56"/>
      <w:szCs w:val="56"/>
      <w:lang w:val="fr-FR"/>
    </w:rPr>
  </w:style>
  <w:style w:type="paragraph" w:styleId="Subtitle">
    <w:name w:val="Subtitle"/>
    <w:basedOn w:val="Normal"/>
    <w:next w:val="Normal"/>
    <w:link w:val="SubtitleChar"/>
    <w:uiPriority w:val="11"/>
    <w:qFormat/>
    <w:rsid w:val="008C12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21D"/>
    <w:rPr>
      <w:rFonts w:eastAsiaTheme="majorEastAsia" w:cstheme="majorBidi"/>
      <w:color w:val="595959" w:themeColor="text1" w:themeTint="A6"/>
      <w:spacing w:val="15"/>
      <w:sz w:val="28"/>
      <w:szCs w:val="28"/>
      <w:lang w:val="fr-FR"/>
    </w:rPr>
  </w:style>
  <w:style w:type="paragraph" w:styleId="Quote">
    <w:name w:val="Quote"/>
    <w:basedOn w:val="Normal"/>
    <w:next w:val="Normal"/>
    <w:link w:val="QuoteChar"/>
    <w:uiPriority w:val="29"/>
    <w:qFormat/>
    <w:rsid w:val="008C121D"/>
    <w:pPr>
      <w:spacing w:before="160"/>
      <w:jc w:val="center"/>
    </w:pPr>
    <w:rPr>
      <w:i/>
      <w:iCs/>
      <w:color w:val="404040" w:themeColor="text1" w:themeTint="BF"/>
    </w:rPr>
  </w:style>
  <w:style w:type="character" w:customStyle="1" w:styleId="QuoteChar">
    <w:name w:val="Quote Char"/>
    <w:basedOn w:val="DefaultParagraphFont"/>
    <w:link w:val="Quote"/>
    <w:uiPriority w:val="29"/>
    <w:rsid w:val="008C121D"/>
    <w:rPr>
      <w:i/>
      <w:iCs/>
      <w:color w:val="404040" w:themeColor="text1" w:themeTint="BF"/>
      <w:lang w:val="fr-FR"/>
    </w:rPr>
  </w:style>
  <w:style w:type="paragraph" w:styleId="ListParagraph">
    <w:name w:val="List Paragraph"/>
    <w:basedOn w:val="Normal"/>
    <w:uiPriority w:val="34"/>
    <w:qFormat/>
    <w:rsid w:val="008C121D"/>
    <w:pPr>
      <w:ind w:left="720"/>
      <w:contextualSpacing/>
    </w:pPr>
  </w:style>
  <w:style w:type="character" w:styleId="IntenseEmphasis">
    <w:name w:val="Intense Emphasis"/>
    <w:basedOn w:val="DefaultParagraphFont"/>
    <w:uiPriority w:val="21"/>
    <w:qFormat/>
    <w:rsid w:val="008C121D"/>
    <w:rPr>
      <w:i/>
      <w:iCs/>
      <w:color w:val="0F4761" w:themeColor="accent1" w:themeShade="BF"/>
    </w:rPr>
  </w:style>
  <w:style w:type="paragraph" w:styleId="IntenseQuote">
    <w:name w:val="Intense Quote"/>
    <w:basedOn w:val="Normal"/>
    <w:next w:val="Normal"/>
    <w:link w:val="IntenseQuoteChar"/>
    <w:uiPriority w:val="30"/>
    <w:qFormat/>
    <w:rsid w:val="008C12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121D"/>
    <w:rPr>
      <w:i/>
      <w:iCs/>
      <w:color w:val="0F4761" w:themeColor="accent1" w:themeShade="BF"/>
      <w:lang w:val="fr-FR"/>
    </w:rPr>
  </w:style>
  <w:style w:type="character" w:styleId="IntenseReference">
    <w:name w:val="Intense Reference"/>
    <w:basedOn w:val="DefaultParagraphFont"/>
    <w:uiPriority w:val="32"/>
    <w:qFormat/>
    <w:rsid w:val="008C121D"/>
    <w:rPr>
      <w:b/>
      <w:bCs/>
      <w:smallCaps/>
      <w:color w:val="0F4761" w:themeColor="accent1" w:themeShade="BF"/>
      <w:spacing w:val="5"/>
    </w:rPr>
  </w:style>
  <w:style w:type="paragraph" w:styleId="Header">
    <w:name w:val="header"/>
    <w:basedOn w:val="Normal"/>
    <w:link w:val="HeaderChar"/>
    <w:uiPriority w:val="99"/>
    <w:unhideWhenUsed/>
    <w:rsid w:val="008C12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121D"/>
    <w:rPr>
      <w:lang w:val="fr-FR"/>
    </w:rPr>
  </w:style>
  <w:style w:type="character" w:styleId="CommentReference">
    <w:name w:val="annotation reference"/>
    <w:basedOn w:val="DefaultParagraphFont"/>
    <w:uiPriority w:val="99"/>
    <w:semiHidden/>
    <w:unhideWhenUsed/>
    <w:rsid w:val="001D3549"/>
    <w:rPr>
      <w:sz w:val="16"/>
      <w:szCs w:val="16"/>
    </w:rPr>
  </w:style>
  <w:style w:type="paragraph" w:styleId="CommentText">
    <w:name w:val="annotation text"/>
    <w:basedOn w:val="Normal"/>
    <w:link w:val="CommentTextChar"/>
    <w:uiPriority w:val="99"/>
    <w:unhideWhenUsed/>
    <w:rsid w:val="001D3549"/>
    <w:pPr>
      <w:spacing w:line="240" w:lineRule="auto"/>
    </w:pPr>
    <w:rPr>
      <w:sz w:val="20"/>
      <w:szCs w:val="20"/>
    </w:rPr>
  </w:style>
  <w:style w:type="character" w:customStyle="1" w:styleId="CommentTextChar">
    <w:name w:val="Comment Text Char"/>
    <w:basedOn w:val="DefaultParagraphFont"/>
    <w:link w:val="CommentText"/>
    <w:uiPriority w:val="99"/>
    <w:rsid w:val="001D3549"/>
    <w:rPr>
      <w:sz w:val="20"/>
      <w:szCs w:val="20"/>
      <w:lang w:val="fr-FR"/>
    </w:rPr>
  </w:style>
  <w:style w:type="paragraph" w:styleId="CommentSubject">
    <w:name w:val="annotation subject"/>
    <w:basedOn w:val="CommentText"/>
    <w:next w:val="CommentText"/>
    <w:link w:val="CommentSubjectChar"/>
    <w:uiPriority w:val="99"/>
    <w:semiHidden/>
    <w:unhideWhenUsed/>
    <w:rsid w:val="001D3549"/>
    <w:rPr>
      <w:b/>
      <w:bCs/>
    </w:rPr>
  </w:style>
  <w:style w:type="character" w:customStyle="1" w:styleId="CommentSubjectChar">
    <w:name w:val="Comment Subject Char"/>
    <w:basedOn w:val="CommentTextChar"/>
    <w:link w:val="CommentSubject"/>
    <w:uiPriority w:val="99"/>
    <w:semiHidden/>
    <w:rsid w:val="001D3549"/>
    <w:rPr>
      <w:b/>
      <w:bCs/>
      <w:sz w:val="20"/>
      <w:szCs w:val="20"/>
      <w:lang w:val="fr-FR"/>
    </w:rPr>
  </w:style>
  <w:style w:type="paragraph" w:styleId="Revision">
    <w:name w:val="Revision"/>
    <w:hidden/>
    <w:uiPriority w:val="99"/>
    <w:semiHidden/>
    <w:rsid w:val="001D3549"/>
    <w:pPr>
      <w:spacing w:after="0" w:line="240" w:lineRule="auto"/>
    </w:pPr>
    <w:rPr>
      <w:lang w:val="fr-FR"/>
    </w:rPr>
  </w:style>
  <w:style w:type="paragraph" w:styleId="TOCHeading">
    <w:name w:val="TOC Heading"/>
    <w:basedOn w:val="Heading1"/>
    <w:next w:val="Normal"/>
    <w:uiPriority w:val="39"/>
    <w:unhideWhenUsed/>
    <w:qFormat/>
    <w:rsid w:val="002B7939"/>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2B7939"/>
    <w:pPr>
      <w:spacing w:after="100"/>
    </w:pPr>
  </w:style>
  <w:style w:type="paragraph" w:styleId="TOC2">
    <w:name w:val="toc 2"/>
    <w:basedOn w:val="Normal"/>
    <w:next w:val="Normal"/>
    <w:autoRedefine/>
    <w:uiPriority w:val="39"/>
    <w:unhideWhenUsed/>
    <w:rsid w:val="002B7939"/>
    <w:pPr>
      <w:spacing w:after="100"/>
      <w:ind w:left="220"/>
    </w:pPr>
  </w:style>
  <w:style w:type="paragraph" w:styleId="TOC3">
    <w:name w:val="toc 3"/>
    <w:basedOn w:val="Normal"/>
    <w:next w:val="Normal"/>
    <w:autoRedefine/>
    <w:uiPriority w:val="39"/>
    <w:unhideWhenUsed/>
    <w:rsid w:val="002B7939"/>
    <w:pPr>
      <w:spacing w:after="100"/>
      <w:ind w:left="440"/>
    </w:pPr>
  </w:style>
  <w:style w:type="character" w:styleId="Hyperlink">
    <w:name w:val="Hyperlink"/>
    <w:basedOn w:val="DefaultParagraphFont"/>
    <w:uiPriority w:val="99"/>
    <w:unhideWhenUsed/>
    <w:rsid w:val="002B7939"/>
    <w:rPr>
      <w:color w:val="467886" w:themeColor="hyperlink"/>
      <w:u w:val="single"/>
    </w:rPr>
  </w:style>
  <w:style w:type="paragraph" w:styleId="Footer">
    <w:name w:val="footer"/>
    <w:basedOn w:val="Normal"/>
    <w:link w:val="FooterChar"/>
    <w:uiPriority w:val="99"/>
    <w:unhideWhenUsed/>
    <w:rsid w:val="005F2B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2BD8"/>
    <w:rPr>
      <w:lang w:val="fr-FR"/>
    </w:rPr>
  </w:style>
  <w:style w:type="paragraph" w:styleId="NoSpacing">
    <w:name w:val="No Spacing"/>
    <w:uiPriority w:val="1"/>
    <w:qFormat/>
    <w:rsid w:val="00CA1ABC"/>
    <w:pPr>
      <w:spacing w:after="0" w:line="240" w:lineRule="auto"/>
    </w:pPr>
    <w:rPr>
      <w:lang w:val="fr-FR"/>
    </w:rPr>
  </w:style>
  <w:style w:type="paragraph" w:styleId="NormalWeb">
    <w:name w:val="Normal (Web)"/>
    <w:basedOn w:val="Normal"/>
    <w:uiPriority w:val="99"/>
    <w:unhideWhenUsed/>
    <w:rsid w:val="00CA40CB"/>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styleId="FootnoteText">
    <w:name w:val="footnote text"/>
    <w:basedOn w:val="Normal"/>
    <w:link w:val="FootnoteTextChar"/>
    <w:uiPriority w:val="99"/>
    <w:semiHidden/>
    <w:unhideWhenUsed/>
    <w:rsid w:val="00F238D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238D7"/>
    <w:rPr>
      <w:sz w:val="20"/>
      <w:szCs w:val="20"/>
      <w:lang w:val="fr-FR"/>
    </w:rPr>
  </w:style>
  <w:style w:type="character" w:styleId="FootnoteReference">
    <w:name w:val="footnote reference"/>
    <w:basedOn w:val="DefaultParagraphFont"/>
    <w:uiPriority w:val="99"/>
    <w:semiHidden/>
    <w:unhideWhenUsed/>
    <w:rsid w:val="00F238D7"/>
    <w:rPr>
      <w:vertAlign w:val="superscript"/>
    </w:rPr>
  </w:style>
  <w:style w:type="character" w:styleId="FollowedHyperlink">
    <w:name w:val="FollowedHyperlink"/>
    <w:basedOn w:val="DefaultParagraphFont"/>
    <w:uiPriority w:val="99"/>
    <w:semiHidden/>
    <w:unhideWhenUsed/>
    <w:rsid w:val="00F131EC"/>
    <w:rPr>
      <w:color w:val="96607D" w:themeColor="followedHyperlink"/>
      <w:u w:val="single"/>
    </w:rPr>
  </w:style>
  <w:style w:type="character" w:styleId="Strong">
    <w:name w:val="Strong"/>
    <w:basedOn w:val="DefaultParagraphFont"/>
    <w:uiPriority w:val="22"/>
    <w:qFormat/>
    <w:rsid w:val="00DD6878"/>
    <w:rPr>
      <w:b/>
      <w:bCs/>
    </w:rPr>
  </w:style>
  <w:style w:type="character" w:styleId="UnresolvedMention">
    <w:name w:val="Unresolved Mention"/>
    <w:basedOn w:val="DefaultParagraphFont"/>
    <w:uiPriority w:val="99"/>
    <w:semiHidden/>
    <w:unhideWhenUsed/>
    <w:rsid w:val="006E0F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068014">
      <w:bodyDiv w:val="1"/>
      <w:marLeft w:val="0"/>
      <w:marRight w:val="0"/>
      <w:marTop w:val="0"/>
      <w:marBottom w:val="0"/>
      <w:divBdr>
        <w:top w:val="none" w:sz="0" w:space="0" w:color="auto"/>
        <w:left w:val="none" w:sz="0" w:space="0" w:color="auto"/>
        <w:bottom w:val="none" w:sz="0" w:space="0" w:color="auto"/>
        <w:right w:val="none" w:sz="0" w:space="0" w:color="auto"/>
      </w:divBdr>
    </w:div>
    <w:div w:id="61801351">
      <w:bodyDiv w:val="1"/>
      <w:marLeft w:val="0"/>
      <w:marRight w:val="0"/>
      <w:marTop w:val="0"/>
      <w:marBottom w:val="0"/>
      <w:divBdr>
        <w:top w:val="none" w:sz="0" w:space="0" w:color="auto"/>
        <w:left w:val="none" w:sz="0" w:space="0" w:color="auto"/>
        <w:bottom w:val="none" w:sz="0" w:space="0" w:color="auto"/>
        <w:right w:val="none" w:sz="0" w:space="0" w:color="auto"/>
      </w:divBdr>
    </w:div>
    <w:div w:id="123163470">
      <w:bodyDiv w:val="1"/>
      <w:marLeft w:val="0"/>
      <w:marRight w:val="0"/>
      <w:marTop w:val="0"/>
      <w:marBottom w:val="0"/>
      <w:divBdr>
        <w:top w:val="none" w:sz="0" w:space="0" w:color="auto"/>
        <w:left w:val="none" w:sz="0" w:space="0" w:color="auto"/>
        <w:bottom w:val="none" w:sz="0" w:space="0" w:color="auto"/>
        <w:right w:val="none" w:sz="0" w:space="0" w:color="auto"/>
      </w:divBdr>
    </w:div>
    <w:div w:id="136724678">
      <w:bodyDiv w:val="1"/>
      <w:marLeft w:val="0"/>
      <w:marRight w:val="0"/>
      <w:marTop w:val="0"/>
      <w:marBottom w:val="0"/>
      <w:divBdr>
        <w:top w:val="none" w:sz="0" w:space="0" w:color="auto"/>
        <w:left w:val="none" w:sz="0" w:space="0" w:color="auto"/>
        <w:bottom w:val="none" w:sz="0" w:space="0" w:color="auto"/>
        <w:right w:val="none" w:sz="0" w:space="0" w:color="auto"/>
      </w:divBdr>
    </w:div>
    <w:div w:id="144394571">
      <w:bodyDiv w:val="1"/>
      <w:marLeft w:val="0"/>
      <w:marRight w:val="0"/>
      <w:marTop w:val="0"/>
      <w:marBottom w:val="0"/>
      <w:divBdr>
        <w:top w:val="none" w:sz="0" w:space="0" w:color="auto"/>
        <w:left w:val="none" w:sz="0" w:space="0" w:color="auto"/>
        <w:bottom w:val="none" w:sz="0" w:space="0" w:color="auto"/>
        <w:right w:val="none" w:sz="0" w:space="0" w:color="auto"/>
      </w:divBdr>
    </w:div>
    <w:div w:id="148525161">
      <w:bodyDiv w:val="1"/>
      <w:marLeft w:val="0"/>
      <w:marRight w:val="0"/>
      <w:marTop w:val="0"/>
      <w:marBottom w:val="0"/>
      <w:divBdr>
        <w:top w:val="none" w:sz="0" w:space="0" w:color="auto"/>
        <w:left w:val="none" w:sz="0" w:space="0" w:color="auto"/>
        <w:bottom w:val="none" w:sz="0" w:space="0" w:color="auto"/>
        <w:right w:val="none" w:sz="0" w:space="0" w:color="auto"/>
      </w:divBdr>
    </w:div>
    <w:div w:id="167061453">
      <w:bodyDiv w:val="1"/>
      <w:marLeft w:val="0"/>
      <w:marRight w:val="0"/>
      <w:marTop w:val="0"/>
      <w:marBottom w:val="0"/>
      <w:divBdr>
        <w:top w:val="none" w:sz="0" w:space="0" w:color="auto"/>
        <w:left w:val="none" w:sz="0" w:space="0" w:color="auto"/>
        <w:bottom w:val="none" w:sz="0" w:space="0" w:color="auto"/>
        <w:right w:val="none" w:sz="0" w:space="0" w:color="auto"/>
      </w:divBdr>
    </w:div>
    <w:div w:id="213928814">
      <w:bodyDiv w:val="1"/>
      <w:marLeft w:val="0"/>
      <w:marRight w:val="0"/>
      <w:marTop w:val="0"/>
      <w:marBottom w:val="0"/>
      <w:divBdr>
        <w:top w:val="none" w:sz="0" w:space="0" w:color="auto"/>
        <w:left w:val="none" w:sz="0" w:space="0" w:color="auto"/>
        <w:bottom w:val="none" w:sz="0" w:space="0" w:color="auto"/>
        <w:right w:val="none" w:sz="0" w:space="0" w:color="auto"/>
      </w:divBdr>
    </w:div>
    <w:div w:id="258218235">
      <w:bodyDiv w:val="1"/>
      <w:marLeft w:val="0"/>
      <w:marRight w:val="0"/>
      <w:marTop w:val="0"/>
      <w:marBottom w:val="0"/>
      <w:divBdr>
        <w:top w:val="none" w:sz="0" w:space="0" w:color="auto"/>
        <w:left w:val="none" w:sz="0" w:space="0" w:color="auto"/>
        <w:bottom w:val="none" w:sz="0" w:space="0" w:color="auto"/>
        <w:right w:val="none" w:sz="0" w:space="0" w:color="auto"/>
      </w:divBdr>
    </w:div>
    <w:div w:id="356081194">
      <w:bodyDiv w:val="1"/>
      <w:marLeft w:val="0"/>
      <w:marRight w:val="0"/>
      <w:marTop w:val="0"/>
      <w:marBottom w:val="0"/>
      <w:divBdr>
        <w:top w:val="none" w:sz="0" w:space="0" w:color="auto"/>
        <w:left w:val="none" w:sz="0" w:space="0" w:color="auto"/>
        <w:bottom w:val="none" w:sz="0" w:space="0" w:color="auto"/>
        <w:right w:val="none" w:sz="0" w:space="0" w:color="auto"/>
      </w:divBdr>
    </w:div>
    <w:div w:id="360320447">
      <w:bodyDiv w:val="1"/>
      <w:marLeft w:val="0"/>
      <w:marRight w:val="0"/>
      <w:marTop w:val="0"/>
      <w:marBottom w:val="0"/>
      <w:divBdr>
        <w:top w:val="none" w:sz="0" w:space="0" w:color="auto"/>
        <w:left w:val="none" w:sz="0" w:space="0" w:color="auto"/>
        <w:bottom w:val="none" w:sz="0" w:space="0" w:color="auto"/>
        <w:right w:val="none" w:sz="0" w:space="0" w:color="auto"/>
      </w:divBdr>
    </w:div>
    <w:div w:id="394860397">
      <w:bodyDiv w:val="1"/>
      <w:marLeft w:val="0"/>
      <w:marRight w:val="0"/>
      <w:marTop w:val="0"/>
      <w:marBottom w:val="0"/>
      <w:divBdr>
        <w:top w:val="none" w:sz="0" w:space="0" w:color="auto"/>
        <w:left w:val="none" w:sz="0" w:space="0" w:color="auto"/>
        <w:bottom w:val="none" w:sz="0" w:space="0" w:color="auto"/>
        <w:right w:val="none" w:sz="0" w:space="0" w:color="auto"/>
      </w:divBdr>
    </w:div>
    <w:div w:id="412895147">
      <w:bodyDiv w:val="1"/>
      <w:marLeft w:val="0"/>
      <w:marRight w:val="0"/>
      <w:marTop w:val="0"/>
      <w:marBottom w:val="0"/>
      <w:divBdr>
        <w:top w:val="none" w:sz="0" w:space="0" w:color="auto"/>
        <w:left w:val="none" w:sz="0" w:space="0" w:color="auto"/>
        <w:bottom w:val="none" w:sz="0" w:space="0" w:color="auto"/>
        <w:right w:val="none" w:sz="0" w:space="0" w:color="auto"/>
      </w:divBdr>
    </w:div>
    <w:div w:id="418984606">
      <w:bodyDiv w:val="1"/>
      <w:marLeft w:val="0"/>
      <w:marRight w:val="0"/>
      <w:marTop w:val="0"/>
      <w:marBottom w:val="0"/>
      <w:divBdr>
        <w:top w:val="none" w:sz="0" w:space="0" w:color="auto"/>
        <w:left w:val="none" w:sz="0" w:space="0" w:color="auto"/>
        <w:bottom w:val="none" w:sz="0" w:space="0" w:color="auto"/>
        <w:right w:val="none" w:sz="0" w:space="0" w:color="auto"/>
      </w:divBdr>
    </w:div>
    <w:div w:id="432288912">
      <w:bodyDiv w:val="1"/>
      <w:marLeft w:val="0"/>
      <w:marRight w:val="0"/>
      <w:marTop w:val="0"/>
      <w:marBottom w:val="0"/>
      <w:divBdr>
        <w:top w:val="none" w:sz="0" w:space="0" w:color="auto"/>
        <w:left w:val="none" w:sz="0" w:space="0" w:color="auto"/>
        <w:bottom w:val="none" w:sz="0" w:space="0" w:color="auto"/>
        <w:right w:val="none" w:sz="0" w:space="0" w:color="auto"/>
      </w:divBdr>
    </w:div>
    <w:div w:id="514270513">
      <w:bodyDiv w:val="1"/>
      <w:marLeft w:val="0"/>
      <w:marRight w:val="0"/>
      <w:marTop w:val="0"/>
      <w:marBottom w:val="0"/>
      <w:divBdr>
        <w:top w:val="none" w:sz="0" w:space="0" w:color="auto"/>
        <w:left w:val="none" w:sz="0" w:space="0" w:color="auto"/>
        <w:bottom w:val="none" w:sz="0" w:space="0" w:color="auto"/>
        <w:right w:val="none" w:sz="0" w:space="0" w:color="auto"/>
      </w:divBdr>
    </w:div>
    <w:div w:id="545221613">
      <w:bodyDiv w:val="1"/>
      <w:marLeft w:val="0"/>
      <w:marRight w:val="0"/>
      <w:marTop w:val="0"/>
      <w:marBottom w:val="0"/>
      <w:divBdr>
        <w:top w:val="none" w:sz="0" w:space="0" w:color="auto"/>
        <w:left w:val="none" w:sz="0" w:space="0" w:color="auto"/>
        <w:bottom w:val="none" w:sz="0" w:space="0" w:color="auto"/>
        <w:right w:val="none" w:sz="0" w:space="0" w:color="auto"/>
      </w:divBdr>
    </w:div>
    <w:div w:id="556285470">
      <w:bodyDiv w:val="1"/>
      <w:marLeft w:val="0"/>
      <w:marRight w:val="0"/>
      <w:marTop w:val="0"/>
      <w:marBottom w:val="0"/>
      <w:divBdr>
        <w:top w:val="none" w:sz="0" w:space="0" w:color="auto"/>
        <w:left w:val="none" w:sz="0" w:space="0" w:color="auto"/>
        <w:bottom w:val="none" w:sz="0" w:space="0" w:color="auto"/>
        <w:right w:val="none" w:sz="0" w:space="0" w:color="auto"/>
      </w:divBdr>
    </w:div>
    <w:div w:id="595093975">
      <w:bodyDiv w:val="1"/>
      <w:marLeft w:val="0"/>
      <w:marRight w:val="0"/>
      <w:marTop w:val="0"/>
      <w:marBottom w:val="0"/>
      <w:divBdr>
        <w:top w:val="none" w:sz="0" w:space="0" w:color="auto"/>
        <w:left w:val="none" w:sz="0" w:space="0" w:color="auto"/>
        <w:bottom w:val="none" w:sz="0" w:space="0" w:color="auto"/>
        <w:right w:val="none" w:sz="0" w:space="0" w:color="auto"/>
      </w:divBdr>
    </w:div>
    <w:div w:id="698552931">
      <w:bodyDiv w:val="1"/>
      <w:marLeft w:val="0"/>
      <w:marRight w:val="0"/>
      <w:marTop w:val="0"/>
      <w:marBottom w:val="0"/>
      <w:divBdr>
        <w:top w:val="none" w:sz="0" w:space="0" w:color="auto"/>
        <w:left w:val="none" w:sz="0" w:space="0" w:color="auto"/>
        <w:bottom w:val="none" w:sz="0" w:space="0" w:color="auto"/>
        <w:right w:val="none" w:sz="0" w:space="0" w:color="auto"/>
      </w:divBdr>
    </w:div>
    <w:div w:id="723871319">
      <w:bodyDiv w:val="1"/>
      <w:marLeft w:val="0"/>
      <w:marRight w:val="0"/>
      <w:marTop w:val="0"/>
      <w:marBottom w:val="0"/>
      <w:divBdr>
        <w:top w:val="none" w:sz="0" w:space="0" w:color="auto"/>
        <w:left w:val="none" w:sz="0" w:space="0" w:color="auto"/>
        <w:bottom w:val="none" w:sz="0" w:space="0" w:color="auto"/>
        <w:right w:val="none" w:sz="0" w:space="0" w:color="auto"/>
      </w:divBdr>
    </w:div>
    <w:div w:id="851575669">
      <w:bodyDiv w:val="1"/>
      <w:marLeft w:val="0"/>
      <w:marRight w:val="0"/>
      <w:marTop w:val="0"/>
      <w:marBottom w:val="0"/>
      <w:divBdr>
        <w:top w:val="none" w:sz="0" w:space="0" w:color="auto"/>
        <w:left w:val="none" w:sz="0" w:space="0" w:color="auto"/>
        <w:bottom w:val="none" w:sz="0" w:space="0" w:color="auto"/>
        <w:right w:val="none" w:sz="0" w:space="0" w:color="auto"/>
      </w:divBdr>
    </w:div>
    <w:div w:id="881668592">
      <w:bodyDiv w:val="1"/>
      <w:marLeft w:val="0"/>
      <w:marRight w:val="0"/>
      <w:marTop w:val="0"/>
      <w:marBottom w:val="0"/>
      <w:divBdr>
        <w:top w:val="none" w:sz="0" w:space="0" w:color="auto"/>
        <w:left w:val="none" w:sz="0" w:space="0" w:color="auto"/>
        <w:bottom w:val="none" w:sz="0" w:space="0" w:color="auto"/>
        <w:right w:val="none" w:sz="0" w:space="0" w:color="auto"/>
      </w:divBdr>
    </w:div>
    <w:div w:id="892930445">
      <w:bodyDiv w:val="1"/>
      <w:marLeft w:val="0"/>
      <w:marRight w:val="0"/>
      <w:marTop w:val="0"/>
      <w:marBottom w:val="0"/>
      <w:divBdr>
        <w:top w:val="none" w:sz="0" w:space="0" w:color="auto"/>
        <w:left w:val="none" w:sz="0" w:space="0" w:color="auto"/>
        <w:bottom w:val="none" w:sz="0" w:space="0" w:color="auto"/>
        <w:right w:val="none" w:sz="0" w:space="0" w:color="auto"/>
      </w:divBdr>
    </w:div>
    <w:div w:id="905339906">
      <w:bodyDiv w:val="1"/>
      <w:marLeft w:val="0"/>
      <w:marRight w:val="0"/>
      <w:marTop w:val="0"/>
      <w:marBottom w:val="0"/>
      <w:divBdr>
        <w:top w:val="none" w:sz="0" w:space="0" w:color="auto"/>
        <w:left w:val="none" w:sz="0" w:space="0" w:color="auto"/>
        <w:bottom w:val="none" w:sz="0" w:space="0" w:color="auto"/>
        <w:right w:val="none" w:sz="0" w:space="0" w:color="auto"/>
      </w:divBdr>
    </w:div>
    <w:div w:id="915167451">
      <w:bodyDiv w:val="1"/>
      <w:marLeft w:val="0"/>
      <w:marRight w:val="0"/>
      <w:marTop w:val="0"/>
      <w:marBottom w:val="0"/>
      <w:divBdr>
        <w:top w:val="none" w:sz="0" w:space="0" w:color="auto"/>
        <w:left w:val="none" w:sz="0" w:space="0" w:color="auto"/>
        <w:bottom w:val="none" w:sz="0" w:space="0" w:color="auto"/>
        <w:right w:val="none" w:sz="0" w:space="0" w:color="auto"/>
      </w:divBdr>
    </w:div>
    <w:div w:id="951940249">
      <w:bodyDiv w:val="1"/>
      <w:marLeft w:val="0"/>
      <w:marRight w:val="0"/>
      <w:marTop w:val="0"/>
      <w:marBottom w:val="0"/>
      <w:divBdr>
        <w:top w:val="none" w:sz="0" w:space="0" w:color="auto"/>
        <w:left w:val="none" w:sz="0" w:space="0" w:color="auto"/>
        <w:bottom w:val="none" w:sz="0" w:space="0" w:color="auto"/>
        <w:right w:val="none" w:sz="0" w:space="0" w:color="auto"/>
      </w:divBdr>
      <w:divsChild>
        <w:div w:id="1347176578">
          <w:marLeft w:val="0"/>
          <w:marRight w:val="0"/>
          <w:marTop w:val="0"/>
          <w:marBottom w:val="0"/>
          <w:divBdr>
            <w:top w:val="none" w:sz="0" w:space="0" w:color="auto"/>
            <w:left w:val="none" w:sz="0" w:space="0" w:color="auto"/>
            <w:bottom w:val="none" w:sz="0" w:space="0" w:color="auto"/>
            <w:right w:val="none" w:sz="0" w:space="0" w:color="auto"/>
          </w:divBdr>
          <w:divsChild>
            <w:div w:id="205292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515701">
      <w:bodyDiv w:val="1"/>
      <w:marLeft w:val="0"/>
      <w:marRight w:val="0"/>
      <w:marTop w:val="0"/>
      <w:marBottom w:val="0"/>
      <w:divBdr>
        <w:top w:val="none" w:sz="0" w:space="0" w:color="auto"/>
        <w:left w:val="none" w:sz="0" w:space="0" w:color="auto"/>
        <w:bottom w:val="none" w:sz="0" w:space="0" w:color="auto"/>
        <w:right w:val="none" w:sz="0" w:space="0" w:color="auto"/>
      </w:divBdr>
    </w:div>
    <w:div w:id="1034618164">
      <w:bodyDiv w:val="1"/>
      <w:marLeft w:val="0"/>
      <w:marRight w:val="0"/>
      <w:marTop w:val="0"/>
      <w:marBottom w:val="0"/>
      <w:divBdr>
        <w:top w:val="none" w:sz="0" w:space="0" w:color="auto"/>
        <w:left w:val="none" w:sz="0" w:space="0" w:color="auto"/>
        <w:bottom w:val="none" w:sz="0" w:space="0" w:color="auto"/>
        <w:right w:val="none" w:sz="0" w:space="0" w:color="auto"/>
      </w:divBdr>
    </w:div>
    <w:div w:id="1057970710">
      <w:bodyDiv w:val="1"/>
      <w:marLeft w:val="0"/>
      <w:marRight w:val="0"/>
      <w:marTop w:val="0"/>
      <w:marBottom w:val="0"/>
      <w:divBdr>
        <w:top w:val="none" w:sz="0" w:space="0" w:color="auto"/>
        <w:left w:val="none" w:sz="0" w:space="0" w:color="auto"/>
        <w:bottom w:val="none" w:sz="0" w:space="0" w:color="auto"/>
        <w:right w:val="none" w:sz="0" w:space="0" w:color="auto"/>
      </w:divBdr>
    </w:div>
    <w:div w:id="1080908356">
      <w:bodyDiv w:val="1"/>
      <w:marLeft w:val="0"/>
      <w:marRight w:val="0"/>
      <w:marTop w:val="0"/>
      <w:marBottom w:val="0"/>
      <w:divBdr>
        <w:top w:val="none" w:sz="0" w:space="0" w:color="auto"/>
        <w:left w:val="none" w:sz="0" w:space="0" w:color="auto"/>
        <w:bottom w:val="none" w:sz="0" w:space="0" w:color="auto"/>
        <w:right w:val="none" w:sz="0" w:space="0" w:color="auto"/>
      </w:divBdr>
    </w:div>
    <w:div w:id="1114397185">
      <w:bodyDiv w:val="1"/>
      <w:marLeft w:val="0"/>
      <w:marRight w:val="0"/>
      <w:marTop w:val="0"/>
      <w:marBottom w:val="0"/>
      <w:divBdr>
        <w:top w:val="none" w:sz="0" w:space="0" w:color="auto"/>
        <w:left w:val="none" w:sz="0" w:space="0" w:color="auto"/>
        <w:bottom w:val="none" w:sz="0" w:space="0" w:color="auto"/>
        <w:right w:val="none" w:sz="0" w:space="0" w:color="auto"/>
      </w:divBdr>
      <w:divsChild>
        <w:div w:id="1499422128">
          <w:marLeft w:val="0"/>
          <w:marRight w:val="0"/>
          <w:marTop w:val="0"/>
          <w:marBottom w:val="0"/>
          <w:divBdr>
            <w:top w:val="none" w:sz="0" w:space="0" w:color="auto"/>
            <w:left w:val="none" w:sz="0" w:space="0" w:color="auto"/>
            <w:bottom w:val="none" w:sz="0" w:space="0" w:color="auto"/>
            <w:right w:val="none" w:sz="0" w:space="0" w:color="auto"/>
          </w:divBdr>
          <w:divsChild>
            <w:div w:id="25016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05064">
      <w:bodyDiv w:val="1"/>
      <w:marLeft w:val="0"/>
      <w:marRight w:val="0"/>
      <w:marTop w:val="0"/>
      <w:marBottom w:val="0"/>
      <w:divBdr>
        <w:top w:val="none" w:sz="0" w:space="0" w:color="auto"/>
        <w:left w:val="none" w:sz="0" w:space="0" w:color="auto"/>
        <w:bottom w:val="none" w:sz="0" w:space="0" w:color="auto"/>
        <w:right w:val="none" w:sz="0" w:space="0" w:color="auto"/>
      </w:divBdr>
    </w:div>
    <w:div w:id="1214462627">
      <w:bodyDiv w:val="1"/>
      <w:marLeft w:val="0"/>
      <w:marRight w:val="0"/>
      <w:marTop w:val="0"/>
      <w:marBottom w:val="0"/>
      <w:divBdr>
        <w:top w:val="none" w:sz="0" w:space="0" w:color="auto"/>
        <w:left w:val="none" w:sz="0" w:space="0" w:color="auto"/>
        <w:bottom w:val="none" w:sz="0" w:space="0" w:color="auto"/>
        <w:right w:val="none" w:sz="0" w:space="0" w:color="auto"/>
      </w:divBdr>
    </w:div>
    <w:div w:id="1221163714">
      <w:bodyDiv w:val="1"/>
      <w:marLeft w:val="0"/>
      <w:marRight w:val="0"/>
      <w:marTop w:val="0"/>
      <w:marBottom w:val="0"/>
      <w:divBdr>
        <w:top w:val="none" w:sz="0" w:space="0" w:color="auto"/>
        <w:left w:val="none" w:sz="0" w:space="0" w:color="auto"/>
        <w:bottom w:val="none" w:sz="0" w:space="0" w:color="auto"/>
        <w:right w:val="none" w:sz="0" w:space="0" w:color="auto"/>
      </w:divBdr>
    </w:div>
    <w:div w:id="1310554151">
      <w:bodyDiv w:val="1"/>
      <w:marLeft w:val="0"/>
      <w:marRight w:val="0"/>
      <w:marTop w:val="0"/>
      <w:marBottom w:val="0"/>
      <w:divBdr>
        <w:top w:val="none" w:sz="0" w:space="0" w:color="auto"/>
        <w:left w:val="none" w:sz="0" w:space="0" w:color="auto"/>
        <w:bottom w:val="none" w:sz="0" w:space="0" w:color="auto"/>
        <w:right w:val="none" w:sz="0" w:space="0" w:color="auto"/>
      </w:divBdr>
    </w:div>
    <w:div w:id="1316641809">
      <w:bodyDiv w:val="1"/>
      <w:marLeft w:val="0"/>
      <w:marRight w:val="0"/>
      <w:marTop w:val="0"/>
      <w:marBottom w:val="0"/>
      <w:divBdr>
        <w:top w:val="none" w:sz="0" w:space="0" w:color="auto"/>
        <w:left w:val="none" w:sz="0" w:space="0" w:color="auto"/>
        <w:bottom w:val="none" w:sz="0" w:space="0" w:color="auto"/>
        <w:right w:val="none" w:sz="0" w:space="0" w:color="auto"/>
      </w:divBdr>
      <w:divsChild>
        <w:div w:id="1218856443">
          <w:marLeft w:val="0"/>
          <w:marRight w:val="0"/>
          <w:marTop w:val="0"/>
          <w:marBottom w:val="0"/>
          <w:divBdr>
            <w:top w:val="none" w:sz="0" w:space="0" w:color="auto"/>
            <w:left w:val="none" w:sz="0" w:space="0" w:color="auto"/>
            <w:bottom w:val="none" w:sz="0" w:space="0" w:color="auto"/>
            <w:right w:val="none" w:sz="0" w:space="0" w:color="auto"/>
          </w:divBdr>
          <w:divsChild>
            <w:div w:id="90676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305787">
      <w:bodyDiv w:val="1"/>
      <w:marLeft w:val="0"/>
      <w:marRight w:val="0"/>
      <w:marTop w:val="0"/>
      <w:marBottom w:val="0"/>
      <w:divBdr>
        <w:top w:val="none" w:sz="0" w:space="0" w:color="auto"/>
        <w:left w:val="none" w:sz="0" w:space="0" w:color="auto"/>
        <w:bottom w:val="none" w:sz="0" w:space="0" w:color="auto"/>
        <w:right w:val="none" w:sz="0" w:space="0" w:color="auto"/>
      </w:divBdr>
    </w:div>
    <w:div w:id="1380322574">
      <w:bodyDiv w:val="1"/>
      <w:marLeft w:val="0"/>
      <w:marRight w:val="0"/>
      <w:marTop w:val="0"/>
      <w:marBottom w:val="0"/>
      <w:divBdr>
        <w:top w:val="none" w:sz="0" w:space="0" w:color="auto"/>
        <w:left w:val="none" w:sz="0" w:space="0" w:color="auto"/>
        <w:bottom w:val="none" w:sz="0" w:space="0" w:color="auto"/>
        <w:right w:val="none" w:sz="0" w:space="0" w:color="auto"/>
      </w:divBdr>
    </w:div>
    <w:div w:id="1515924783">
      <w:bodyDiv w:val="1"/>
      <w:marLeft w:val="0"/>
      <w:marRight w:val="0"/>
      <w:marTop w:val="0"/>
      <w:marBottom w:val="0"/>
      <w:divBdr>
        <w:top w:val="none" w:sz="0" w:space="0" w:color="auto"/>
        <w:left w:val="none" w:sz="0" w:space="0" w:color="auto"/>
        <w:bottom w:val="none" w:sz="0" w:space="0" w:color="auto"/>
        <w:right w:val="none" w:sz="0" w:space="0" w:color="auto"/>
      </w:divBdr>
    </w:div>
    <w:div w:id="1550452605">
      <w:bodyDiv w:val="1"/>
      <w:marLeft w:val="0"/>
      <w:marRight w:val="0"/>
      <w:marTop w:val="0"/>
      <w:marBottom w:val="0"/>
      <w:divBdr>
        <w:top w:val="none" w:sz="0" w:space="0" w:color="auto"/>
        <w:left w:val="none" w:sz="0" w:space="0" w:color="auto"/>
        <w:bottom w:val="none" w:sz="0" w:space="0" w:color="auto"/>
        <w:right w:val="none" w:sz="0" w:space="0" w:color="auto"/>
      </w:divBdr>
    </w:div>
    <w:div w:id="1560551851">
      <w:bodyDiv w:val="1"/>
      <w:marLeft w:val="0"/>
      <w:marRight w:val="0"/>
      <w:marTop w:val="0"/>
      <w:marBottom w:val="0"/>
      <w:divBdr>
        <w:top w:val="none" w:sz="0" w:space="0" w:color="auto"/>
        <w:left w:val="none" w:sz="0" w:space="0" w:color="auto"/>
        <w:bottom w:val="none" w:sz="0" w:space="0" w:color="auto"/>
        <w:right w:val="none" w:sz="0" w:space="0" w:color="auto"/>
      </w:divBdr>
    </w:div>
    <w:div w:id="1561552343">
      <w:bodyDiv w:val="1"/>
      <w:marLeft w:val="0"/>
      <w:marRight w:val="0"/>
      <w:marTop w:val="0"/>
      <w:marBottom w:val="0"/>
      <w:divBdr>
        <w:top w:val="none" w:sz="0" w:space="0" w:color="auto"/>
        <w:left w:val="none" w:sz="0" w:space="0" w:color="auto"/>
        <w:bottom w:val="none" w:sz="0" w:space="0" w:color="auto"/>
        <w:right w:val="none" w:sz="0" w:space="0" w:color="auto"/>
      </w:divBdr>
    </w:div>
    <w:div w:id="1665663415">
      <w:bodyDiv w:val="1"/>
      <w:marLeft w:val="0"/>
      <w:marRight w:val="0"/>
      <w:marTop w:val="0"/>
      <w:marBottom w:val="0"/>
      <w:divBdr>
        <w:top w:val="none" w:sz="0" w:space="0" w:color="auto"/>
        <w:left w:val="none" w:sz="0" w:space="0" w:color="auto"/>
        <w:bottom w:val="none" w:sz="0" w:space="0" w:color="auto"/>
        <w:right w:val="none" w:sz="0" w:space="0" w:color="auto"/>
      </w:divBdr>
    </w:div>
    <w:div w:id="1679773346">
      <w:bodyDiv w:val="1"/>
      <w:marLeft w:val="0"/>
      <w:marRight w:val="0"/>
      <w:marTop w:val="0"/>
      <w:marBottom w:val="0"/>
      <w:divBdr>
        <w:top w:val="none" w:sz="0" w:space="0" w:color="auto"/>
        <w:left w:val="none" w:sz="0" w:space="0" w:color="auto"/>
        <w:bottom w:val="none" w:sz="0" w:space="0" w:color="auto"/>
        <w:right w:val="none" w:sz="0" w:space="0" w:color="auto"/>
      </w:divBdr>
    </w:div>
    <w:div w:id="1683123937">
      <w:bodyDiv w:val="1"/>
      <w:marLeft w:val="0"/>
      <w:marRight w:val="0"/>
      <w:marTop w:val="0"/>
      <w:marBottom w:val="0"/>
      <w:divBdr>
        <w:top w:val="none" w:sz="0" w:space="0" w:color="auto"/>
        <w:left w:val="none" w:sz="0" w:space="0" w:color="auto"/>
        <w:bottom w:val="none" w:sz="0" w:space="0" w:color="auto"/>
        <w:right w:val="none" w:sz="0" w:space="0" w:color="auto"/>
      </w:divBdr>
    </w:div>
    <w:div w:id="1690764366">
      <w:bodyDiv w:val="1"/>
      <w:marLeft w:val="0"/>
      <w:marRight w:val="0"/>
      <w:marTop w:val="0"/>
      <w:marBottom w:val="0"/>
      <w:divBdr>
        <w:top w:val="none" w:sz="0" w:space="0" w:color="auto"/>
        <w:left w:val="none" w:sz="0" w:space="0" w:color="auto"/>
        <w:bottom w:val="none" w:sz="0" w:space="0" w:color="auto"/>
        <w:right w:val="none" w:sz="0" w:space="0" w:color="auto"/>
      </w:divBdr>
    </w:div>
    <w:div w:id="1824814732">
      <w:bodyDiv w:val="1"/>
      <w:marLeft w:val="0"/>
      <w:marRight w:val="0"/>
      <w:marTop w:val="0"/>
      <w:marBottom w:val="0"/>
      <w:divBdr>
        <w:top w:val="none" w:sz="0" w:space="0" w:color="auto"/>
        <w:left w:val="none" w:sz="0" w:space="0" w:color="auto"/>
        <w:bottom w:val="none" w:sz="0" w:space="0" w:color="auto"/>
        <w:right w:val="none" w:sz="0" w:space="0" w:color="auto"/>
      </w:divBdr>
    </w:div>
    <w:div w:id="1841431296">
      <w:bodyDiv w:val="1"/>
      <w:marLeft w:val="0"/>
      <w:marRight w:val="0"/>
      <w:marTop w:val="0"/>
      <w:marBottom w:val="0"/>
      <w:divBdr>
        <w:top w:val="none" w:sz="0" w:space="0" w:color="auto"/>
        <w:left w:val="none" w:sz="0" w:space="0" w:color="auto"/>
        <w:bottom w:val="none" w:sz="0" w:space="0" w:color="auto"/>
        <w:right w:val="none" w:sz="0" w:space="0" w:color="auto"/>
      </w:divBdr>
    </w:div>
    <w:div w:id="1850561468">
      <w:bodyDiv w:val="1"/>
      <w:marLeft w:val="0"/>
      <w:marRight w:val="0"/>
      <w:marTop w:val="0"/>
      <w:marBottom w:val="0"/>
      <w:divBdr>
        <w:top w:val="none" w:sz="0" w:space="0" w:color="auto"/>
        <w:left w:val="none" w:sz="0" w:space="0" w:color="auto"/>
        <w:bottom w:val="none" w:sz="0" w:space="0" w:color="auto"/>
        <w:right w:val="none" w:sz="0" w:space="0" w:color="auto"/>
      </w:divBdr>
    </w:div>
    <w:div w:id="1888297009">
      <w:bodyDiv w:val="1"/>
      <w:marLeft w:val="0"/>
      <w:marRight w:val="0"/>
      <w:marTop w:val="0"/>
      <w:marBottom w:val="0"/>
      <w:divBdr>
        <w:top w:val="none" w:sz="0" w:space="0" w:color="auto"/>
        <w:left w:val="none" w:sz="0" w:space="0" w:color="auto"/>
        <w:bottom w:val="none" w:sz="0" w:space="0" w:color="auto"/>
        <w:right w:val="none" w:sz="0" w:space="0" w:color="auto"/>
      </w:divBdr>
    </w:div>
    <w:div w:id="1911230399">
      <w:bodyDiv w:val="1"/>
      <w:marLeft w:val="0"/>
      <w:marRight w:val="0"/>
      <w:marTop w:val="0"/>
      <w:marBottom w:val="0"/>
      <w:divBdr>
        <w:top w:val="none" w:sz="0" w:space="0" w:color="auto"/>
        <w:left w:val="none" w:sz="0" w:space="0" w:color="auto"/>
        <w:bottom w:val="none" w:sz="0" w:space="0" w:color="auto"/>
        <w:right w:val="none" w:sz="0" w:space="0" w:color="auto"/>
      </w:divBdr>
    </w:div>
    <w:div w:id="1922639029">
      <w:bodyDiv w:val="1"/>
      <w:marLeft w:val="0"/>
      <w:marRight w:val="0"/>
      <w:marTop w:val="0"/>
      <w:marBottom w:val="0"/>
      <w:divBdr>
        <w:top w:val="none" w:sz="0" w:space="0" w:color="auto"/>
        <w:left w:val="none" w:sz="0" w:space="0" w:color="auto"/>
        <w:bottom w:val="none" w:sz="0" w:space="0" w:color="auto"/>
        <w:right w:val="none" w:sz="0" w:space="0" w:color="auto"/>
      </w:divBdr>
    </w:div>
    <w:div w:id="1938438169">
      <w:bodyDiv w:val="1"/>
      <w:marLeft w:val="0"/>
      <w:marRight w:val="0"/>
      <w:marTop w:val="0"/>
      <w:marBottom w:val="0"/>
      <w:divBdr>
        <w:top w:val="none" w:sz="0" w:space="0" w:color="auto"/>
        <w:left w:val="none" w:sz="0" w:space="0" w:color="auto"/>
        <w:bottom w:val="none" w:sz="0" w:space="0" w:color="auto"/>
        <w:right w:val="none" w:sz="0" w:space="0" w:color="auto"/>
      </w:divBdr>
    </w:div>
    <w:div w:id="1952350104">
      <w:bodyDiv w:val="1"/>
      <w:marLeft w:val="0"/>
      <w:marRight w:val="0"/>
      <w:marTop w:val="0"/>
      <w:marBottom w:val="0"/>
      <w:divBdr>
        <w:top w:val="none" w:sz="0" w:space="0" w:color="auto"/>
        <w:left w:val="none" w:sz="0" w:space="0" w:color="auto"/>
        <w:bottom w:val="none" w:sz="0" w:space="0" w:color="auto"/>
        <w:right w:val="none" w:sz="0" w:space="0" w:color="auto"/>
      </w:divBdr>
      <w:divsChild>
        <w:div w:id="1034189225">
          <w:marLeft w:val="0"/>
          <w:marRight w:val="0"/>
          <w:marTop w:val="0"/>
          <w:marBottom w:val="0"/>
          <w:divBdr>
            <w:top w:val="none" w:sz="0" w:space="0" w:color="auto"/>
            <w:left w:val="none" w:sz="0" w:space="0" w:color="auto"/>
            <w:bottom w:val="none" w:sz="0" w:space="0" w:color="auto"/>
            <w:right w:val="none" w:sz="0" w:space="0" w:color="auto"/>
          </w:divBdr>
          <w:divsChild>
            <w:div w:id="143636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246075">
      <w:bodyDiv w:val="1"/>
      <w:marLeft w:val="0"/>
      <w:marRight w:val="0"/>
      <w:marTop w:val="0"/>
      <w:marBottom w:val="0"/>
      <w:divBdr>
        <w:top w:val="none" w:sz="0" w:space="0" w:color="auto"/>
        <w:left w:val="none" w:sz="0" w:space="0" w:color="auto"/>
        <w:bottom w:val="none" w:sz="0" w:space="0" w:color="auto"/>
        <w:right w:val="none" w:sz="0" w:space="0" w:color="auto"/>
      </w:divBdr>
    </w:div>
    <w:div w:id="1959529372">
      <w:bodyDiv w:val="1"/>
      <w:marLeft w:val="0"/>
      <w:marRight w:val="0"/>
      <w:marTop w:val="0"/>
      <w:marBottom w:val="0"/>
      <w:divBdr>
        <w:top w:val="none" w:sz="0" w:space="0" w:color="auto"/>
        <w:left w:val="none" w:sz="0" w:space="0" w:color="auto"/>
        <w:bottom w:val="none" w:sz="0" w:space="0" w:color="auto"/>
        <w:right w:val="none" w:sz="0" w:space="0" w:color="auto"/>
      </w:divBdr>
    </w:div>
    <w:div w:id="1993370652">
      <w:bodyDiv w:val="1"/>
      <w:marLeft w:val="0"/>
      <w:marRight w:val="0"/>
      <w:marTop w:val="0"/>
      <w:marBottom w:val="0"/>
      <w:divBdr>
        <w:top w:val="none" w:sz="0" w:space="0" w:color="auto"/>
        <w:left w:val="none" w:sz="0" w:space="0" w:color="auto"/>
        <w:bottom w:val="none" w:sz="0" w:space="0" w:color="auto"/>
        <w:right w:val="none" w:sz="0" w:space="0" w:color="auto"/>
      </w:divBdr>
    </w:div>
    <w:div w:id="2037387263">
      <w:bodyDiv w:val="1"/>
      <w:marLeft w:val="0"/>
      <w:marRight w:val="0"/>
      <w:marTop w:val="0"/>
      <w:marBottom w:val="0"/>
      <w:divBdr>
        <w:top w:val="none" w:sz="0" w:space="0" w:color="auto"/>
        <w:left w:val="none" w:sz="0" w:space="0" w:color="auto"/>
        <w:bottom w:val="none" w:sz="0" w:space="0" w:color="auto"/>
        <w:right w:val="none" w:sz="0" w:space="0" w:color="auto"/>
      </w:divBdr>
    </w:div>
    <w:div w:id="2047557668">
      <w:bodyDiv w:val="1"/>
      <w:marLeft w:val="0"/>
      <w:marRight w:val="0"/>
      <w:marTop w:val="0"/>
      <w:marBottom w:val="0"/>
      <w:divBdr>
        <w:top w:val="none" w:sz="0" w:space="0" w:color="auto"/>
        <w:left w:val="none" w:sz="0" w:space="0" w:color="auto"/>
        <w:bottom w:val="none" w:sz="0" w:space="0" w:color="auto"/>
        <w:right w:val="none" w:sz="0" w:space="0" w:color="auto"/>
      </w:divBdr>
    </w:div>
    <w:div w:id="2051414876">
      <w:bodyDiv w:val="1"/>
      <w:marLeft w:val="0"/>
      <w:marRight w:val="0"/>
      <w:marTop w:val="0"/>
      <w:marBottom w:val="0"/>
      <w:divBdr>
        <w:top w:val="none" w:sz="0" w:space="0" w:color="auto"/>
        <w:left w:val="none" w:sz="0" w:space="0" w:color="auto"/>
        <w:bottom w:val="none" w:sz="0" w:space="0" w:color="auto"/>
        <w:right w:val="none" w:sz="0" w:space="0" w:color="auto"/>
      </w:divBdr>
    </w:div>
    <w:div w:id="2057313869">
      <w:bodyDiv w:val="1"/>
      <w:marLeft w:val="0"/>
      <w:marRight w:val="0"/>
      <w:marTop w:val="0"/>
      <w:marBottom w:val="0"/>
      <w:divBdr>
        <w:top w:val="none" w:sz="0" w:space="0" w:color="auto"/>
        <w:left w:val="none" w:sz="0" w:space="0" w:color="auto"/>
        <w:bottom w:val="none" w:sz="0" w:space="0" w:color="auto"/>
        <w:right w:val="none" w:sz="0" w:space="0" w:color="auto"/>
      </w:divBdr>
    </w:div>
    <w:div w:id="2061202979">
      <w:bodyDiv w:val="1"/>
      <w:marLeft w:val="0"/>
      <w:marRight w:val="0"/>
      <w:marTop w:val="0"/>
      <w:marBottom w:val="0"/>
      <w:divBdr>
        <w:top w:val="none" w:sz="0" w:space="0" w:color="auto"/>
        <w:left w:val="none" w:sz="0" w:space="0" w:color="auto"/>
        <w:bottom w:val="none" w:sz="0" w:space="0" w:color="auto"/>
        <w:right w:val="none" w:sz="0" w:space="0" w:color="auto"/>
      </w:divBdr>
    </w:div>
    <w:div w:id="2104757425">
      <w:bodyDiv w:val="1"/>
      <w:marLeft w:val="0"/>
      <w:marRight w:val="0"/>
      <w:marTop w:val="0"/>
      <w:marBottom w:val="0"/>
      <w:divBdr>
        <w:top w:val="none" w:sz="0" w:space="0" w:color="auto"/>
        <w:left w:val="none" w:sz="0" w:space="0" w:color="auto"/>
        <w:bottom w:val="none" w:sz="0" w:space="0" w:color="auto"/>
        <w:right w:val="none" w:sz="0" w:space="0" w:color="auto"/>
      </w:divBdr>
    </w:div>
    <w:div w:id="2113820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s://ec.europa.eu/eurostat/statistics-explained/index.php?title=Glossary:COICOP_HIC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FA472-0A2C-46B8-9108-6B4554AFA3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8202</TotalTime>
  <Pages>11</Pages>
  <Words>2955</Words>
  <Characters>16255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Hedi</dc:creator>
  <cp:keywords/>
  <dc:description/>
  <cp:lastModifiedBy>Sagar, Hedi</cp:lastModifiedBy>
  <cp:revision>220</cp:revision>
  <dcterms:created xsi:type="dcterms:W3CDTF">2025-11-12T12:29:00Z</dcterms:created>
  <dcterms:modified xsi:type="dcterms:W3CDTF">2025-11-24T17:25:00Z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3ae7c208,76b925b9,7a97fc9d</vt:lpwstr>
  </property>
  <property fmtid="{D5CDD505-2E9C-101B-9397-08002B2CF9AE}" pid="3" name="ClassificationContentMarkingHeaderFontProps">
    <vt:lpwstr>#000000,10,Arial</vt:lpwstr>
  </property>
  <property fmtid="{D5CDD505-2E9C-101B-9397-08002B2CF9AE}" pid="4" name="ClassificationContentMarkingHeaderText">
    <vt:lpwstr>ECB-CONFIDENTIAL</vt:lpwstr>
  </property>
  <property fmtid="{D5CDD505-2E9C-101B-9397-08002B2CF9AE}" pid="5" name="MSIP_Label_894145f4-aec7-4462-867f-61720b9452af_Enabled">
    <vt:lpwstr>true</vt:lpwstr>
  </property>
  <property fmtid="{D5CDD505-2E9C-101B-9397-08002B2CF9AE}" pid="6" name="MSIP_Label_894145f4-aec7-4462-867f-61720b9452af_SetDate">
    <vt:lpwstr>2025-11-12T12:30:52Z</vt:lpwstr>
  </property>
  <property fmtid="{D5CDD505-2E9C-101B-9397-08002B2CF9AE}" pid="7" name="MSIP_Label_894145f4-aec7-4462-867f-61720b9452af_Method">
    <vt:lpwstr>Privileged</vt:lpwstr>
  </property>
  <property fmtid="{D5CDD505-2E9C-101B-9397-08002B2CF9AE}" pid="8" name="MSIP_Label_894145f4-aec7-4462-867f-61720b9452af_Name">
    <vt:lpwstr>ECB-CONFIDENTIAL - Business</vt:lpwstr>
  </property>
  <property fmtid="{D5CDD505-2E9C-101B-9397-08002B2CF9AE}" pid="9" name="MSIP_Label_894145f4-aec7-4462-867f-61720b9452af_SiteId">
    <vt:lpwstr>b84ee435-4816-49d2-8d92-e740dbda4064</vt:lpwstr>
  </property>
  <property fmtid="{D5CDD505-2E9C-101B-9397-08002B2CF9AE}" pid="10" name="MSIP_Label_894145f4-aec7-4462-867f-61720b9452af_ActionId">
    <vt:lpwstr>8339f1e2-2b12-4182-903b-b3aabc555d6a</vt:lpwstr>
  </property>
  <property fmtid="{D5CDD505-2E9C-101B-9397-08002B2CF9AE}" pid="11" name="MSIP_Label_894145f4-aec7-4462-867f-61720b9452af_ContentBits">
    <vt:lpwstr>1</vt:lpwstr>
  </property>
</Properties>
</file>