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ConcreteVisitor</w:t>
      </w:r>
      <w:proofErr w:type="spellEnd"/>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ConcreteElement</w:t>
      </w:r>
      <w:proofErr w:type="spellEnd"/>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proofErr w:type="spellStart"/>
      <w:r>
        <w:rPr>
          <w:rFonts w:hint="eastAsia"/>
          <w:color w:val="000000" w:themeColor="text1"/>
        </w:rPr>
        <w:t>v</w:t>
      </w:r>
      <w:r>
        <w:rPr>
          <w:color w:val="000000" w:themeColor="text1"/>
        </w:rPr>
        <w:t>isitor.visit</w:t>
      </w:r>
      <w:proofErr w:type="spellEnd"/>
      <w:r>
        <w:rPr>
          <w:color w:val="000000" w:themeColor="text1"/>
        </w:rPr>
        <w:t>(this)</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ObjectStruture</w:t>
      </w:r>
      <w:proofErr w:type="spellEnd"/>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lastRenderedPageBreak/>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rsidR="00230E76" w:rsidRDefault="00230E76" w:rsidP="00230E76">
      <w:pPr>
        <w:pStyle w:val="a3"/>
        <w:ind w:left="360" w:firstLineChars="0" w:firstLine="0"/>
        <w:rPr>
          <w:color w:val="000000" w:themeColor="text1"/>
        </w:rPr>
      </w:pPr>
      <w:proofErr w:type="spellStart"/>
      <w:r>
        <w:rPr>
          <w:color w:val="000000" w:themeColor="text1"/>
        </w:rPr>
        <w:t>ConcreteState</w:t>
      </w:r>
      <w:proofErr w:type="spellEnd"/>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rsidR="00524C1C" w:rsidRPr="00230E76" w:rsidRDefault="00524C1C" w:rsidP="00230E76">
      <w:pPr>
        <w:pStyle w:val="a3"/>
        <w:ind w:left="360" w:firstLineChars="0" w:firstLine="0"/>
        <w:rPr>
          <w:rFonts w:hint="eastAsia"/>
          <w:color w:val="000000" w:themeColor="text1"/>
        </w:rPr>
      </w:pPr>
      <w:bookmarkStart w:id="0" w:name="_GoBack"/>
      <w:bookmarkEnd w:id="0"/>
    </w:p>
    <w:sectPr w:rsidR="00524C1C" w:rsidRPr="00230E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3"/>
  </w:num>
  <w:num w:numId="2">
    <w:abstractNumId w:val="25"/>
  </w:num>
  <w:num w:numId="3">
    <w:abstractNumId w:val="28"/>
  </w:num>
  <w:num w:numId="4">
    <w:abstractNumId w:val="38"/>
  </w:num>
  <w:num w:numId="5">
    <w:abstractNumId w:val="4"/>
  </w:num>
  <w:num w:numId="6">
    <w:abstractNumId w:val="3"/>
  </w:num>
  <w:num w:numId="7">
    <w:abstractNumId w:val="46"/>
  </w:num>
  <w:num w:numId="8">
    <w:abstractNumId w:val="15"/>
  </w:num>
  <w:num w:numId="9">
    <w:abstractNumId w:val="27"/>
  </w:num>
  <w:num w:numId="10">
    <w:abstractNumId w:val="52"/>
  </w:num>
  <w:num w:numId="11">
    <w:abstractNumId w:val="39"/>
  </w:num>
  <w:num w:numId="12">
    <w:abstractNumId w:val="9"/>
  </w:num>
  <w:num w:numId="13">
    <w:abstractNumId w:val="6"/>
  </w:num>
  <w:num w:numId="14">
    <w:abstractNumId w:val="5"/>
  </w:num>
  <w:num w:numId="15">
    <w:abstractNumId w:val="31"/>
  </w:num>
  <w:num w:numId="16">
    <w:abstractNumId w:val="57"/>
  </w:num>
  <w:num w:numId="17">
    <w:abstractNumId w:val="51"/>
  </w:num>
  <w:num w:numId="18">
    <w:abstractNumId w:val="11"/>
  </w:num>
  <w:num w:numId="19">
    <w:abstractNumId w:val="30"/>
  </w:num>
  <w:num w:numId="20">
    <w:abstractNumId w:val="40"/>
  </w:num>
  <w:num w:numId="21">
    <w:abstractNumId w:val="48"/>
  </w:num>
  <w:num w:numId="22">
    <w:abstractNumId w:val="41"/>
  </w:num>
  <w:num w:numId="23">
    <w:abstractNumId w:val="2"/>
  </w:num>
  <w:num w:numId="24">
    <w:abstractNumId w:val="44"/>
  </w:num>
  <w:num w:numId="25">
    <w:abstractNumId w:val="49"/>
  </w:num>
  <w:num w:numId="26">
    <w:abstractNumId w:val="13"/>
  </w:num>
  <w:num w:numId="27">
    <w:abstractNumId w:val="12"/>
  </w:num>
  <w:num w:numId="28">
    <w:abstractNumId w:val="45"/>
  </w:num>
  <w:num w:numId="29">
    <w:abstractNumId w:val="16"/>
  </w:num>
  <w:num w:numId="30">
    <w:abstractNumId w:val="54"/>
  </w:num>
  <w:num w:numId="31">
    <w:abstractNumId w:val="50"/>
  </w:num>
  <w:num w:numId="32">
    <w:abstractNumId w:val="21"/>
  </w:num>
  <w:num w:numId="33">
    <w:abstractNumId w:val="37"/>
  </w:num>
  <w:num w:numId="34">
    <w:abstractNumId w:val="17"/>
  </w:num>
  <w:num w:numId="35">
    <w:abstractNumId w:val="14"/>
  </w:num>
  <w:num w:numId="36">
    <w:abstractNumId w:val="20"/>
  </w:num>
  <w:num w:numId="37">
    <w:abstractNumId w:val="47"/>
  </w:num>
  <w:num w:numId="38">
    <w:abstractNumId w:val="19"/>
  </w:num>
  <w:num w:numId="39">
    <w:abstractNumId w:val="7"/>
  </w:num>
  <w:num w:numId="40">
    <w:abstractNumId w:val="56"/>
  </w:num>
  <w:num w:numId="41">
    <w:abstractNumId w:val="23"/>
  </w:num>
  <w:num w:numId="42">
    <w:abstractNumId w:val="1"/>
  </w:num>
  <w:num w:numId="43">
    <w:abstractNumId w:val="32"/>
  </w:num>
  <w:num w:numId="44">
    <w:abstractNumId w:val="29"/>
  </w:num>
  <w:num w:numId="45">
    <w:abstractNumId w:val="34"/>
  </w:num>
  <w:num w:numId="46">
    <w:abstractNumId w:val="22"/>
  </w:num>
  <w:num w:numId="47">
    <w:abstractNumId w:val="53"/>
  </w:num>
  <w:num w:numId="48">
    <w:abstractNumId w:val="24"/>
  </w:num>
  <w:num w:numId="49">
    <w:abstractNumId w:val="10"/>
  </w:num>
  <w:num w:numId="50">
    <w:abstractNumId w:val="18"/>
  </w:num>
  <w:num w:numId="51">
    <w:abstractNumId w:val="35"/>
  </w:num>
  <w:num w:numId="52">
    <w:abstractNumId w:val="8"/>
  </w:num>
  <w:num w:numId="53">
    <w:abstractNumId w:val="0"/>
  </w:num>
  <w:num w:numId="54">
    <w:abstractNumId w:val="36"/>
  </w:num>
  <w:num w:numId="55">
    <w:abstractNumId w:val="55"/>
  </w:num>
  <w:num w:numId="56">
    <w:abstractNumId w:val="59"/>
  </w:num>
  <w:num w:numId="57">
    <w:abstractNumId w:val="58"/>
  </w:num>
  <w:num w:numId="58">
    <w:abstractNumId w:val="33"/>
  </w:num>
  <w:num w:numId="59">
    <w:abstractNumId w:val="42"/>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154DE"/>
    <w:rsid w:val="00230E76"/>
    <w:rsid w:val="00252037"/>
    <w:rsid w:val="00256261"/>
    <w:rsid w:val="00266DB7"/>
    <w:rsid w:val="002A6131"/>
    <w:rsid w:val="002D33DA"/>
    <w:rsid w:val="002D3E9D"/>
    <w:rsid w:val="002E2548"/>
    <w:rsid w:val="002E3AAB"/>
    <w:rsid w:val="002F3A1D"/>
    <w:rsid w:val="002F709D"/>
    <w:rsid w:val="003007A2"/>
    <w:rsid w:val="003215DA"/>
    <w:rsid w:val="00322286"/>
    <w:rsid w:val="00341CC6"/>
    <w:rsid w:val="003621E3"/>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24C1C"/>
    <w:rsid w:val="005361B7"/>
    <w:rsid w:val="00540EB4"/>
    <w:rsid w:val="00574F46"/>
    <w:rsid w:val="00581F57"/>
    <w:rsid w:val="00590637"/>
    <w:rsid w:val="00594462"/>
    <w:rsid w:val="0059691C"/>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14A1A"/>
    <w:rsid w:val="00A2285D"/>
    <w:rsid w:val="00A36045"/>
    <w:rsid w:val="00A65F26"/>
    <w:rsid w:val="00A92CC2"/>
    <w:rsid w:val="00AE6B70"/>
    <w:rsid w:val="00B42BCB"/>
    <w:rsid w:val="00B46EC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12</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225</cp:revision>
  <dcterms:created xsi:type="dcterms:W3CDTF">2016-11-26T05:37:00Z</dcterms:created>
  <dcterms:modified xsi:type="dcterms:W3CDTF">2017-07-03T12:36:00Z</dcterms:modified>
</cp:coreProperties>
</file>