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lang w:val="pt-BR"/>
        </w:rPr>
      </w:pPr>
      <w:r>
        <w:rPr>
          <w:rFonts w:cs="Times New Roman" w:ascii="Times New Roman" w:hAnsi="Times New Roman"/>
          <w:sz w:val="24"/>
          <w:szCs w:val="24"/>
          <w:lang w:val="pt-BR"/>
        </w:rPr>
        <w:t>ÉDIPO OU O MITO RACIONAL</w:t>
      </w:r>
      <w:r>
        <w:rPr>
          <w:rStyle w:val="Refdenotaderodap"/>
          <w:rStyle w:val="FootnoteAnchor"/>
          <w:rFonts w:cs="Times New Roman" w:ascii="Times New Roman" w:hAnsi="Times New Roman"/>
          <w:sz w:val="24"/>
          <w:szCs w:val="24"/>
          <w:lang w:val="pt-BR"/>
        </w:rPr>
        <w:footnoteReference w:customMarkFollows="1" w:id="2"/>
        <w:t>*</w:t>
      </w:r>
    </w:p>
    <w:p>
      <w:pPr>
        <w:pStyle w:val="Normal"/>
        <w:spacing w:lineRule="auto" w:line="360"/>
        <w:jc w:val="both"/>
        <w:rPr>
          <w:lang w:val="pt-BR"/>
        </w:rPr>
      </w:pPr>
      <w:r>
        <w:rPr>
          <w:rFonts w:cs="Times New Roman" w:ascii="Times New Roman" w:hAnsi="Times New Roman"/>
          <w:sz w:val="24"/>
          <w:szCs w:val="24"/>
          <w:lang w:val="pt-BR"/>
        </w:rPr>
        <w:t>Deve ter sido logo após a guerra que se ouvia falar sobre o experimento teatral inglês “Hamlet de casaca”.</w:t>
      </w:r>
      <w:r>
        <w:rPr>
          <w:rStyle w:val="Ncoradanotaderodap"/>
          <w:rStyle w:val="FootnoteAnchor"/>
          <w:rFonts w:cs="Times New Roman" w:ascii="Times New Roman" w:hAnsi="Times New Roman"/>
          <w:sz w:val="24"/>
          <w:szCs w:val="24"/>
          <w:lang w:val="pt-BR"/>
        </w:rPr>
        <w:footnoteReference w:id="3"/>
      </w:r>
      <w:r>
        <w:rPr>
          <w:rFonts w:cs="Times New Roman" w:ascii="Times New Roman" w:hAnsi="Times New Roman"/>
          <w:sz w:val="24"/>
          <w:szCs w:val="24"/>
          <w:lang w:val="pt-BR"/>
        </w:rPr>
        <w:t xml:space="preserve"> Naquela época debateu-se muito sobre essa experimentação; talvez aqui fosse suficiente notar o paradoxo de que a peça seja excessivamente moderna para ser modernizada. Inquestionavelmente, houve épocas em que se podia empreender coisas semelhantes sem visar conscientemente objetivos com isso. Sabe-se que nas peças de Mistérios da Idade Média, assim como nas pinturas de seu tempo, as personagens entravam em cena com figurinos de época. Mas é certo que o mesmo procedimento hoje deva provir da mais precisa reflexão artística para ser mais do que uma brincadeira esnobe. Na verdade, pôde-se agora acompanhar como nos últimos anos grandes artistas – ou ao menos reflexivos – aplicaram tais “modernizações” tão bem na poesia quanto na música e na pintura. À tendência representada pelas pinturas de Picasso por volta de 1927, pelo </w:t>
      </w:r>
      <w:r>
        <w:rPr>
          <w:rFonts w:cs="Times New Roman" w:ascii="Times New Roman" w:hAnsi="Times New Roman"/>
          <w:i/>
          <w:sz w:val="24"/>
          <w:szCs w:val="24"/>
          <w:lang w:val="pt-BR"/>
        </w:rPr>
        <w:t xml:space="preserve">Oedipus Rex </w:t>
      </w:r>
      <w:r>
        <w:rPr>
          <w:rFonts w:cs="Times New Roman" w:ascii="Times New Roman" w:hAnsi="Times New Roman"/>
          <w:sz w:val="24"/>
          <w:szCs w:val="24"/>
          <w:lang w:val="pt-BR"/>
        </w:rPr>
        <w:t xml:space="preserve">de Strawinsky e por Cocteau com </w:t>
      </w:r>
      <w:r>
        <w:rPr>
          <w:rFonts w:cs="Times New Roman" w:ascii="Times New Roman" w:hAnsi="Times New Roman"/>
          <w:i/>
          <w:sz w:val="24"/>
          <w:szCs w:val="24"/>
          <w:lang w:val="pt-BR"/>
        </w:rPr>
        <w:t>Orfeu</w:t>
      </w:r>
      <w:r>
        <w:rPr>
          <w:rFonts w:cs="Times New Roman" w:ascii="Times New Roman" w:hAnsi="Times New Roman"/>
          <w:sz w:val="24"/>
          <w:szCs w:val="24"/>
          <w:lang w:val="pt-BR"/>
        </w:rPr>
        <w:t xml:space="preserve"> deu-se o nome de neoclassicismo. </w:t>
      </w:r>
      <w:r>
        <w:rPr>
          <w:rFonts w:cs="Times New Roman" w:ascii="Times New Roman" w:hAnsi="Times New Roman"/>
          <w:color w:val="000000"/>
          <w:sz w:val="24"/>
          <w:szCs w:val="24"/>
          <w:lang w:val="pt-BR"/>
        </w:rPr>
        <w:t>Porém, não colocamos esse nome aqui para associar Gide a essa tendência (contra a qual ele teria com razão protestado), mas sim para indicar como os mais diferentes artistas chegaram a adotar, justamente em relação aos gregos, aquele despir (</w:t>
      </w:r>
      <w:r>
        <w:rPr>
          <w:rFonts w:cs="Times New Roman" w:ascii="Times New Roman" w:hAnsi="Times New Roman"/>
          <w:i/>
          <w:color w:val="000000"/>
          <w:sz w:val="24"/>
          <w:szCs w:val="24"/>
          <w:lang w:val="pt-BR"/>
        </w:rPr>
        <w:t>Entkleidung</w:t>
      </w:r>
      <w:r>
        <w:rPr>
          <w:rFonts w:cs="Times New Roman" w:ascii="Times New Roman" w:hAnsi="Times New Roman"/>
          <w:color w:val="000000"/>
          <w:sz w:val="24"/>
          <w:szCs w:val="24"/>
          <w:lang w:val="pt-BR"/>
        </w:rPr>
        <w:t>), ou se quisermos, transvestir (</w:t>
      </w:r>
      <w:r>
        <w:rPr>
          <w:rFonts w:cs="Times New Roman" w:ascii="Times New Roman" w:hAnsi="Times New Roman"/>
          <w:i/>
          <w:color w:val="000000"/>
          <w:sz w:val="24"/>
          <w:szCs w:val="24"/>
          <w:lang w:val="pt-BR"/>
        </w:rPr>
        <w:t>Verkleidung</w:t>
      </w:r>
      <w:r>
        <w:rPr>
          <w:rFonts w:cs="Times New Roman" w:ascii="Times New Roman" w:hAnsi="Times New Roman"/>
          <w:color w:val="000000"/>
          <w:sz w:val="24"/>
          <w:szCs w:val="24"/>
          <w:lang w:val="pt-BR"/>
        </w:rPr>
        <w:t>) no sentido atual.</w:t>
      </w:r>
      <w:r>
        <w:rPr>
          <w:rFonts w:cs="Times New Roman" w:ascii="Times New Roman" w:hAnsi="Times New Roman"/>
          <w:sz w:val="24"/>
          <w:szCs w:val="24"/>
          <w:lang w:val="pt-BR"/>
        </w:rPr>
        <w:t xml:space="preserve"> Primeiramente, podiam iludir-se sobre a vantagem de obter para suas experimentações objetos conhecidos, porém distantes da esfera temática atual. Pois, trata-se expressamente, em todos esses casos, de experimentações de caráter construtivo, em certa medida, de obras de estúdio. Em segundo lugar, por outro lado, nada poderia interessar mais ao intento construtivista do que concorrer com as obras dos gregos (</w:t>
      </w:r>
      <w:r>
        <w:rPr>
          <w:rFonts w:cs="Times New Roman" w:ascii="Times New Roman" w:hAnsi="Times New Roman"/>
          <w:i/>
          <w:sz w:val="24"/>
          <w:szCs w:val="24"/>
          <w:lang w:val="pt-BR"/>
        </w:rPr>
        <w:t>Griechentum</w:t>
      </w:r>
      <w:r>
        <w:rPr>
          <w:rFonts w:cs="Times New Roman" w:ascii="Times New Roman" w:hAnsi="Times New Roman"/>
          <w:sz w:val="24"/>
          <w:szCs w:val="24"/>
          <w:lang w:val="pt-BR"/>
        </w:rPr>
        <w:t>), cuja legitimidade perdura através dos séculos como cânon do natural e do orgânico. E, em terceiro lugar, estava em jogo o intento, secreto ou público, de fazer uma genuína prova histórico-filosófica da eternidade dos gregos – quer dizer, da sua atualidade reiteradamente confirmada. Com essa terceira consideração, entretanto, o observador já se encontra no cerne da última obra de André Gide</w:t>
      </w:r>
      <w:r>
        <w:rPr>
          <w:rStyle w:val="Ncoradanotaderodap"/>
          <w:rStyle w:val="FootnoteAnchor"/>
          <w:rFonts w:cs="Times New Roman" w:ascii="Times New Roman" w:hAnsi="Times New Roman"/>
          <w:color w:val="000000"/>
          <w:sz w:val="24"/>
          <w:szCs w:val="24"/>
          <w:lang w:val="pt-BR"/>
        </w:rPr>
        <w:footnoteReference w:id="4"/>
      </w:r>
      <w:r>
        <w:rPr>
          <w:rFonts w:cs="Times New Roman" w:ascii="Times New Roman" w:hAnsi="Times New Roman"/>
          <w:color w:val="000000"/>
          <w:sz w:val="24"/>
          <w:szCs w:val="24"/>
          <w:lang w:val="pt-BR"/>
        </w:rPr>
        <w:t>. Em todo caso, logo ele perceberá que no ambiente deste Édipo, a obra ganha seu sentido.</w:t>
      </w:r>
      <w:r>
        <w:rPr>
          <w:rFonts w:cs="Times New Roman" w:ascii="Times New Roman" w:hAnsi="Times New Roman"/>
          <w:sz w:val="24"/>
          <w:szCs w:val="24"/>
          <w:lang w:val="pt-BR"/>
        </w:rPr>
        <w:t xml:space="preserve"> Nela está a fala do domingo, do recalque, de Lothringern, dos </w:t>
      </w:r>
      <w:r>
        <w:rPr>
          <w:rFonts w:cs="Times New Roman" w:ascii="Times New Roman" w:hAnsi="Times New Roman"/>
          <w:i/>
          <w:sz w:val="24"/>
          <w:szCs w:val="24"/>
          <w:lang w:val="pt-BR"/>
        </w:rPr>
        <w:t>décadents</w:t>
      </w:r>
      <w:r>
        <w:rPr>
          <w:rFonts w:cs="Times New Roman" w:ascii="Times New Roman" w:hAnsi="Times New Roman"/>
          <w:sz w:val="24"/>
          <w:szCs w:val="24"/>
          <w:lang w:val="pt-BR"/>
        </w:rPr>
        <w:t xml:space="preserve"> e das vestais. O poeta torna impossível ao seu público agarrar-se às particularidades do local ou da situação; ele retira-lhe até a ilusão, chamando logo nas primeiras palavras o palco pelo seu nome. Em suma, quem quiser segui-lo, deve “lançar-se na água”, pegar as cristas e os vales da onda como vierem do mar das sagas em movimento há dois mil anos, deixando-se levar e deixando-se cair. Apenas assim ele sentirá o que esta cultura grega pode ser para ele, ou ele para ela. [E] o que [isso significa]? Que isso se pode encontrar no próprio Édipo, e de todas as variantes de profundo pensamento ou lúdicas profundas variantes de significação ou de encenação que a saga experimenta em Gide, esta é a mais estranha de todas: “Mas eu entendo, sozinho entendi, que a única senha, com a qual alguém poderia se salvar das garras</w:t>
      </w:r>
      <w:r>
        <w:rPr>
          <w:rStyle w:val="Ncoradanotaderodap"/>
          <w:rStyle w:val="FootnoteAnchor"/>
          <w:rFonts w:cs="Times New Roman" w:ascii="Times New Roman" w:hAnsi="Times New Roman"/>
          <w:sz w:val="24"/>
          <w:szCs w:val="24"/>
          <w:lang w:val="pt-BR"/>
        </w:rPr>
        <w:footnoteReference w:id="5"/>
      </w:r>
      <w:r>
        <w:rPr>
          <w:rFonts w:cs="Times New Roman" w:ascii="Times New Roman" w:hAnsi="Times New Roman"/>
          <w:sz w:val="24"/>
          <w:szCs w:val="24"/>
          <w:lang w:val="pt-BR"/>
        </w:rPr>
        <w:t xml:space="preserve"> da Esfinge, chama-se ‘homem’. Embora certa coragem fosse necessária para pronunciar esta palavra, eu já a tinha em prontidão antes que tivesse escutado o enigma, e minha força reside no fato de que não quis saber de nenhuma outra resposta, qualquer que fosse a pergunta”</w:t>
      </w:r>
      <w:r>
        <w:rPr>
          <w:rStyle w:val="Ncoradanotaderodap"/>
          <w:rStyle w:val="FootnoteAnchor"/>
          <w:rFonts w:cs="Times New Roman" w:ascii="Times New Roman" w:hAnsi="Times New Roman"/>
          <w:sz w:val="24"/>
          <w:szCs w:val="24"/>
          <w:lang w:val="pt-BR"/>
        </w:rPr>
        <w:footnoteReference w:id="6"/>
      </w:r>
      <w:r>
        <w:rPr>
          <w:rFonts w:cs="Times New Roman" w:ascii="Times New Roman" w:hAnsi="Times New Roman"/>
          <w:sz w:val="24"/>
          <w:szCs w:val="24"/>
          <w:lang w:val="pt-BR"/>
        </w:rPr>
        <w:t>.</w:t>
      </w:r>
    </w:p>
    <w:p>
      <w:pPr>
        <w:pStyle w:val="Normal"/>
        <w:spacing w:lineRule="auto" w:line="360"/>
        <w:ind w:firstLine="708"/>
        <w:jc w:val="both"/>
        <w:rPr>
          <w:lang w:val="pt-BR"/>
        </w:rPr>
      </w:pPr>
      <w:r>
        <w:rPr>
          <w:rFonts w:cs="Times New Roman" w:ascii="Times New Roman" w:hAnsi="Times New Roman"/>
          <w:sz w:val="24"/>
          <w:szCs w:val="24"/>
          <w:lang w:val="pt-BR"/>
        </w:rPr>
        <w:t>Édipo conhecia antecipadamente a palavra na qual o poder da Esfinge tinha que se romper; assim como Gide também conhecia a palavra em virtude da qual o horror da tragédia de Sófocles esvaneceu. Há mais de doze anos foi publicado suas “Reflexões sobre a mitologia grega” e lá consta: “‘Como foi possível acredita nisso?’ exclama Voltaire. E, contudo, em primeiro lugar, é à razão e somente à razão que cada mito se dirige, e ninguém terá compreendido nada deste mito enquanto a razão não o admitir primeiramente. A saga grega é fundamentalmente racional e por isso pode-se dizer justamente, sem ser um mau Cristão, que ela é muito mais fácil de compreender do que a doutrina de Paulo”.</w:t>
      </w:r>
      <w:r>
        <w:rPr>
          <w:rStyle w:val="Ncoradanotaderodap"/>
          <w:rStyle w:val="FootnoteAnchor"/>
          <w:rFonts w:cs="Times New Roman" w:ascii="Times New Roman" w:hAnsi="Times New Roman"/>
          <w:sz w:val="24"/>
          <w:szCs w:val="24"/>
          <w:lang w:val="pt-BR"/>
        </w:rPr>
        <w:footnoteReference w:id="7"/>
      </w:r>
      <w:r>
        <w:rPr>
          <w:rFonts w:cs="Times New Roman" w:ascii="Times New Roman" w:hAnsi="Times New Roman"/>
          <w:sz w:val="24"/>
          <w:szCs w:val="24"/>
          <w:lang w:val="pt-BR"/>
        </w:rPr>
        <w:t xml:space="preserve"> Bem entendido: em parte alguma o poeta afirma que a </w:t>
      </w:r>
      <w:r>
        <w:rPr>
          <w:rFonts w:cs="Times New Roman" w:ascii="Times New Roman" w:hAnsi="Times New Roman"/>
          <w:i/>
          <w:sz w:val="24"/>
          <w:szCs w:val="24"/>
          <w:lang w:val="pt-BR"/>
        </w:rPr>
        <w:t>ratio</w:t>
      </w:r>
      <w:r>
        <w:rPr>
          <w:rFonts w:cs="Times New Roman" w:ascii="Times New Roman" w:hAnsi="Times New Roman"/>
          <w:sz w:val="24"/>
          <w:szCs w:val="24"/>
          <w:lang w:val="pt-BR"/>
        </w:rPr>
        <w:t xml:space="preserve"> teceu a saga grega, tampouco que o sentido grego do mito repousou apenas nela. O mais importante é antes saber qual distância o sentido de hoje ganha do antigo sentido e como esta distância do antigo significado é apenas uma nova aproximação da própria saga, a partir da qual o novo sentido oferece-se inesgotavelmente sempre para novas descobertas. Eis porque a saga grega é como o cântaro de Filémon “que nenhuma sede esvazia quando se bebe em companhia de Júpiter”</w:t>
      </w:r>
      <w:r>
        <w:rPr>
          <w:rStyle w:val="Ncoradanotaderodap"/>
          <w:rStyle w:val="FootnoteAnchor"/>
          <w:rFonts w:cs="Times New Roman" w:ascii="Times New Roman" w:hAnsi="Times New Roman"/>
          <w:sz w:val="24"/>
          <w:szCs w:val="24"/>
          <w:lang w:val="pt-BR"/>
        </w:rPr>
        <w:footnoteReference w:id="8"/>
      </w:r>
      <w:r>
        <w:rPr>
          <w:rFonts w:cs="Times New Roman" w:ascii="Times New Roman" w:hAnsi="Times New Roman"/>
          <w:sz w:val="24"/>
          <w:szCs w:val="24"/>
          <w:lang w:val="pt-BR"/>
        </w:rPr>
        <w:t>. O momento certo é também um Júpiter, e, por conseguinte, o neoclassicismo hoje pode descobrir na saga aquilo que ainda não tinha sido nela encontrado: a construção, a lógica, a razão.</w:t>
      </w:r>
    </w:p>
    <w:p>
      <w:pPr>
        <w:pStyle w:val="Normal"/>
        <w:spacing w:lineRule="auto" w:line="360"/>
        <w:ind w:firstLine="708"/>
        <w:jc w:val="both"/>
        <w:rPr>
          <w:rFonts w:ascii="Times New Roman" w:hAnsi="Times New Roman" w:cs="Times New Roman"/>
          <w:sz w:val="24"/>
          <w:szCs w:val="24"/>
          <w:lang w:val="pt-BR"/>
        </w:rPr>
      </w:pPr>
      <w:r>
        <w:rPr>
          <w:rFonts w:cs="Times New Roman" w:ascii="Times New Roman" w:hAnsi="Times New Roman"/>
          <w:sz w:val="24"/>
          <w:szCs w:val="24"/>
          <w:lang w:val="pt-BR"/>
        </w:rPr>
        <w:t xml:space="preserve">Paremos aqui para nos permitir um contra-argumento: substituir a explicação por um paradoxo verdadeiramente vertiginoso. É no lugar onde ficava o palácio de Édipo – a casa que como nenhuma outra foi rodeada pela noite e pela escuridão, pelo incesto, parricídio, fatalidade e culpa – que se deve erguer hoje o templo da deusa da Razão? Como é possível? O que aconteceu a Édipo nos vinte e três séculos, desde que Sófocles colocou-o primeiramente no palco grego até os dias atuais quando Gide o apresenta de novo no palco francês? Pouco. E o que resultou deste pouco? Muito. </w:t>
      </w:r>
      <w:r>
        <w:rPr>
          <w:rFonts w:cs="Times New Roman" w:ascii="Times New Roman" w:hAnsi="Times New Roman"/>
          <w:i/>
          <w:sz w:val="24"/>
          <w:szCs w:val="24"/>
          <w:lang w:val="pt-BR"/>
        </w:rPr>
        <w:t>Édipo ganhou a fala.</w:t>
      </w:r>
      <w:r>
        <w:rPr>
          <w:rFonts w:cs="Times New Roman" w:ascii="Times New Roman" w:hAnsi="Times New Roman"/>
          <w:sz w:val="24"/>
          <w:szCs w:val="24"/>
          <w:lang w:val="pt-BR"/>
        </w:rPr>
        <w:t xml:space="preserve"> Pois o Édipo de Sófocles é mudo, quase mudo. Cão rastreador de seu próprio rastro, urrando em consequência dos maus tratos cometidos por suas próprias mãos, o pensar até o refletir, não encontra nenhum lugar em sua fala. Embora Édipo seja insaciável em pronunciar sempre, repetidamente, o terrível. </w:t>
      </w:r>
    </w:p>
    <w:p>
      <w:pPr>
        <w:pStyle w:val="Normal"/>
        <w:tabs>
          <w:tab w:val="left" w:pos="708" w:leader="none"/>
        </w:tabs>
        <w:spacing w:lineRule="auto" w:line="360" w:before="0" w:after="0"/>
        <w:ind w:left="1701" w:hanging="0"/>
        <w:rPr>
          <w:rFonts w:ascii="Times New Roman" w:hAnsi="Times New Roman" w:cs="Times New Roman"/>
          <w:lang w:val="pt-BR"/>
        </w:rPr>
      </w:pPr>
      <w:r>
        <w:rPr>
          <w:rFonts w:cs="Times New Roman" w:ascii="Times New Roman" w:hAnsi="Times New Roman"/>
          <w:color w:val="000000"/>
          <w:sz w:val="20"/>
          <w:lang w:val="pt-BR"/>
        </w:rPr>
        <w:t>Geraste-me, conúbio, e germinaste,</w:t>
      </w:r>
    </w:p>
    <w:p>
      <w:pPr>
        <w:pStyle w:val="Normal"/>
        <w:tabs>
          <w:tab w:val="left" w:pos="708" w:leader="none"/>
        </w:tabs>
        <w:spacing w:lineRule="auto" w:line="360" w:before="0" w:after="0"/>
        <w:ind w:left="1701" w:hanging="0"/>
        <w:rPr>
          <w:rFonts w:ascii="Times New Roman" w:hAnsi="Times New Roman" w:cs="Times New Roman"/>
          <w:lang w:val="pt-BR"/>
        </w:rPr>
      </w:pPr>
      <w:r>
        <w:rPr>
          <w:rFonts w:cs="Times New Roman" w:ascii="Times New Roman" w:hAnsi="Times New Roman"/>
          <w:color w:val="000000"/>
          <w:sz w:val="20"/>
          <w:lang w:val="pt-BR"/>
        </w:rPr>
        <w:t>Semeando o mesmo sêmen. Revelaste</w:t>
      </w:r>
    </w:p>
    <w:p>
      <w:pPr>
        <w:pStyle w:val="Normal"/>
        <w:tabs>
          <w:tab w:val="left" w:pos="708" w:leader="none"/>
        </w:tabs>
        <w:spacing w:lineRule="auto" w:line="360" w:before="0" w:after="0"/>
        <w:ind w:left="1701" w:hanging="0"/>
        <w:rPr>
          <w:rFonts w:ascii="Times New Roman" w:hAnsi="Times New Roman" w:cs="Times New Roman"/>
          <w:lang w:val="pt-BR"/>
        </w:rPr>
      </w:pPr>
      <w:r>
        <w:rPr>
          <w:rFonts w:cs="Times New Roman" w:ascii="Times New Roman" w:hAnsi="Times New Roman"/>
          <w:color w:val="000000"/>
          <w:sz w:val="20"/>
          <w:lang w:val="pt-BR"/>
        </w:rPr>
        <w:t>pais, irmãos, filhos – tribo homossangüinea –,</w:t>
      </w:r>
    </w:p>
    <w:p>
      <w:pPr>
        <w:pStyle w:val="Normal"/>
        <w:tabs>
          <w:tab w:val="left" w:pos="708" w:leader="none"/>
        </w:tabs>
        <w:spacing w:lineRule="auto" w:line="360" w:before="0" w:after="0"/>
        <w:ind w:left="1701" w:hanging="0"/>
        <w:rPr>
          <w:rFonts w:ascii="Times New Roman" w:hAnsi="Times New Roman" w:cs="Times New Roman"/>
          <w:lang w:val="pt-BR"/>
        </w:rPr>
      </w:pPr>
      <w:r>
        <w:rPr>
          <w:rFonts w:cs="Times New Roman" w:ascii="Times New Roman" w:hAnsi="Times New Roman"/>
          <w:color w:val="000000"/>
          <w:sz w:val="20"/>
          <w:lang w:val="pt-BR"/>
        </w:rPr>
        <w:t>fêmeas, mulheres-mães, o quanto houver</w:t>
      </w:r>
    </w:p>
    <w:p>
      <w:pPr>
        <w:pStyle w:val="Normal"/>
        <w:tabs>
          <w:tab w:val="left" w:pos="708" w:leader="none"/>
        </w:tabs>
        <w:spacing w:lineRule="auto" w:line="360" w:before="0" w:after="0"/>
        <w:ind w:left="1701" w:hanging="0"/>
        <w:rPr>
          <w:rFonts w:ascii="Times New Roman" w:hAnsi="Times New Roman" w:cs="Times New Roman"/>
          <w:lang w:val="pt-BR"/>
        </w:rPr>
      </w:pPr>
      <w:r>
        <w:rPr>
          <w:rFonts w:cs="Times New Roman" w:ascii="Times New Roman" w:hAnsi="Times New Roman"/>
          <w:color w:val="000000"/>
          <w:sz w:val="20"/>
          <w:lang w:val="pt-BR"/>
        </w:rPr>
        <w:t>de mais abominável entre os homens.</w:t>
      </w:r>
    </w:p>
    <w:p>
      <w:pPr>
        <w:pStyle w:val="Normal"/>
        <w:tabs>
          <w:tab w:val="left" w:pos="708" w:leader="none"/>
        </w:tabs>
        <w:spacing w:lineRule="auto" w:line="360" w:before="0" w:after="0"/>
        <w:ind w:left="1701" w:hanging="0"/>
        <w:rPr>
          <w:rFonts w:ascii="Times New Roman" w:hAnsi="Times New Roman" w:cs="Times New Roman"/>
          <w:lang w:val="pt-BR"/>
        </w:rPr>
      </w:pPr>
      <w:r>
        <w:rPr>
          <w:rFonts w:cs="Times New Roman" w:ascii="Times New Roman" w:hAnsi="Times New Roman"/>
          <w:color w:val="000000"/>
          <w:sz w:val="20"/>
          <w:lang w:val="pt-BR"/>
        </w:rPr>
        <w:t xml:space="preserve">(Versos 1404-1408, p. 105-106) </w:t>
      </w:r>
      <w:r>
        <w:rPr>
          <w:rStyle w:val="Refdenotaderodap"/>
          <w:rStyle w:val="FootnoteAnchor"/>
          <w:rFonts w:cs="Times New Roman" w:ascii="Times New Roman" w:hAnsi="Times New Roman"/>
          <w:color w:val="000000"/>
          <w:sz w:val="20"/>
          <w:lang w:val="pt-BR"/>
        </w:rPr>
        <w:footnoteReference w:id="9"/>
      </w:r>
    </w:p>
    <w:p>
      <w:pPr>
        <w:pStyle w:val="Normal"/>
        <w:tabs>
          <w:tab w:val="left" w:pos="708" w:leader="none"/>
        </w:tabs>
        <w:spacing w:lineRule="auto" w:line="360" w:before="0" w:after="0"/>
        <w:jc w:val="center"/>
        <w:rPr>
          <w:rFonts w:ascii="Times New Roman" w:hAnsi="Times New Roman" w:cs="Times New Roman"/>
          <w:color w:val="000000"/>
          <w:sz w:val="20"/>
          <w:lang w:val="pt-BR"/>
        </w:rPr>
      </w:pPr>
      <w:r>
        <w:rPr>
          <w:rFonts w:cs="Times New Roman" w:ascii="Times New Roman" w:hAnsi="Times New Roman"/>
          <w:color w:val="000000"/>
          <w:sz w:val="20"/>
          <w:lang w:val="pt-BR"/>
        </w:rPr>
      </w:r>
    </w:p>
    <w:p>
      <w:pPr>
        <w:pStyle w:val="Normal"/>
        <w:tabs>
          <w:tab w:val="left" w:pos="708" w:leader="none"/>
        </w:tabs>
        <w:spacing w:lineRule="auto" w:line="360" w:before="0" w:after="0"/>
        <w:rPr>
          <w:rFonts w:ascii="Times New Roman" w:hAnsi="Times New Roman" w:cs="Times New Roman"/>
          <w:color w:val="000000"/>
          <w:sz w:val="24"/>
          <w:szCs w:val="24"/>
          <w:lang w:val="pt-BR"/>
        </w:rPr>
      </w:pPr>
      <w:r>
        <w:rPr>
          <w:rFonts w:cs="Times New Roman" w:ascii="Times New Roman" w:hAnsi="Times New Roman"/>
          <w:color w:val="000000"/>
          <w:sz w:val="24"/>
          <w:szCs w:val="24"/>
          <w:lang w:val="pt-BR"/>
        </w:rPr>
      </w:r>
    </w:p>
    <w:p>
      <w:pPr>
        <w:pStyle w:val="Normal"/>
        <w:spacing w:lineRule="auto" w:line="360"/>
        <w:ind w:firstLine="708"/>
        <w:jc w:val="both"/>
        <w:rPr>
          <w:rFonts w:ascii="Times New Roman" w:hAnsi="Times New Roman" w:cs="Times New Roman"/>
          <w:sz w:val="24"/>
          <w:szCs w:val="24"/>
          <w:lang w:val="pt-BR"/>
        </w:rPr>
      </w:pPr>
      <w:r>
        <w:rPr>
          <w:rFonts w:cs="Times New Roman" w:ascii="Times New Roman" w:hAnsi="Times New Roman"/>
          <w:sz w:val="24"/>
          <w:szCs w:val="24"/>
          <w:lang w:val="pt-BR"/>
        </w:rPr>
        <w:t>É justamente esta fala que faz calar seu interior, assim como ele gostaria de ser semelhante à noite:</w:t>
      </w:r>
    </w:p>
    <w:p>
      <w:pPr>
        <w:pStyle w:val="Normal"/>
        <w:spacing w:lineRule="auto" w:line="360"/>
        <w:jc w:val="both"/>
        <w:rPr>
          <w:rFonts w:ascii="Times New Roman" w:hAnsi="Times New Roman" w:cs="Times New Roman"/>
          <w:sz w:val="24"/>
          <w:szCs w:val="24"/>
          <w:lang w:val="pt-BR"/>
        </w:rPr>
      </w:pPr>
      <w:r>
        <w:rPr>
          <w:rFonts w:cs="Times New Roman" w:ascii="Times New Roman" w:hAnsi="Times New Roman"/>
          <w:sz w:val="24"/>
          <w:szCs w:val="24"/>
          <w:lang w:val="pt-BR"/>
        </w:rPr>
      </w:r>
    </w:p>
    <w:p>
      <w:pPr>
        <w:pStyle w:val="Normal"/>
        <w:spacing w:lineRule="auto" w:line="360" w:before="0" w:after="0"/>
        <w:jc w:val="both"/>
        <w:rPr>
          <w:rFonts w:ascii="Times New Roman" w:hAnsi="Times New Roman" w:cs="Times New Roman"/>
          <w:sz w:val="24"/>
          <w:szCs w:val="24"/>
          <w:lang w:val="pt-BR"/>
        </w:rPr>
      </w:pPr>
      <w:r>
        <w:rPr>
          <w:rFonts w:cs="Times New Roman" w:ascii="Times New Roman" w:hAnsi="Times New Roman"/>
          <w:sz w:val="24"/>
          <w:szCs w:val="24"/>
          <w:lang w:val="pt-BR"/>
        </w:rPr>
      </w:r>
    </w:p>
    <w:p>
      <w:pPr>
        <w:pStyle w:val="Normal"/>
        <w:spacing w:lineRule="auto" w:line="360" w:before="0" w:after="0"/>
        <w:ind w:left="1701" w:hanging="0"/>
        <w:jc w:val="both"/>
        <w:rPr>
          <w:sz w:val="20"/>
          <w:szCs w:val="20"/>
          <w:lang w:val="pt-BR"/>
        </w:rPr>
      </w:pPr>
      <w:r>
        <w:rPr>
          <w:rFonts w:cs="Times New Roman" w:ascii="Times New Roman" w:hAnsi="Times New Roman"/>
          <w:sz w:val="20"/>
          <w:szCs w:val="20"/>
          <w:lang w:val="pt-BR"/>
        </w:rPr>
        <w:t>Impossível! Pudesse pôr no ouvido</w:t>
      </w:r>
    </w:p>
    <w:p>
      <w:pPr>
        <w:pStyle w:val="Normal"/>
        <w:spacing w:lineRule="auto" w:line="360" w:before="0" w:after="0"/>
        <w:ind w:left="1701" w:hanging="0"/>
        <w:jc w:val="both"/>
        <w:rPr>
          <w:sz w:val="20"/>
          <w:szCs w:val="20"/>
          <w:lang w:val="pt-BR"/>
        </w:rPr>
      </w:pPr>
      <w:r>
        <w:rPr>
          <w:rFonts w:cs="Times New Roman" w:ascii="Times New Roman" w:hAnsi="Times New Roman"/>
          <w:sz w:val="20"/>
          <w:szCs w:val="20"/>
          <w:lang w:val="pt-BR"/>
        </w:rPr>
        <w:t>Lacre auditivo, e eu não hesitaria</w:t>
      </w:r>
    </w:p>
    <w:p>
      <w:pPr>
        <w:pStyle w:val="Normal"/>
        <w:spacing w:lineRule="auto" w:line="360" w:before="0" w:after="0"/>
        <w:ind w:left="1701" w:hanging="0"/>
        <w:jc w:val="both"/>
        <w:rPr>
          <w:sz w:val="20"/>
          <w:szCs w:val="20"/>
          <w:lang w:val="pt-BR"/>
        </w:rPr>
      </w:pPr>
      <w:r>
        <w:rPr>
          <w:rFonts w:cs="Times New Roman" w:ascii="Times New Roman" w:hAnsi="Times New Roman"/>
          <w:sz w:val="20"/>
          <w:szCs w:val="20"/>
          <w:lang w:val="pt-BR"/>
        </w:rPr>
        <w:t>em isolar meu pobre corpo: surdo,</w:t>
      </w:r>
    </w:p>
    <w:p>
      <w:pPr>
        <w:pStyle w:val="Normal"/>
        <w:spacing w:lineRule="auto" w:line="360" w:before="0" w:after="0"/>
        <w:ind w:left="1701" w:hanging="0"/>
        <w:jc w:val="both"/>
        <w:rPr>
          <w:sz w:val="20"/>
          <w:szCs w:val="20"/>
          <w:lang w:val="pt-BR"/>
        </w:rPr>
      </w:pPr>
      <w:r>
        <w:rPr>
          <w:rFonts w:cs="Times New Roman" w:ascii="Times New Roman" w:hAnsi="Times New Roman"/>
          <w:sz w:val="20"/>
          <w:szCs w:val="20"/>
          <w:lang w:val="pt-BR"/>
        </w:rPr>
        <w:t xml:space="preserve">além de cego.  </w:t>
      </w:r>
    </w:p>
    <w:p>
      <w:pPr>
        <w:pStyle w:val="Normal"/>
        <w:spacing w:lineRule="auto" w:line="360" w:before="0" w:after="0"/>
        <w:ind w:left="1701" w:hanging="0"/>
        <w:jc w:val="both"/>
        <w:rPr>
          <w:sz w:val="20"/>
          <w:szCs w:val="20"/>
          <w:lang w:val="pt-BR"/>
        </w:rPr>
      </w:pPr>
      <w:r>
        <w:rPr>
          <w:rFonts w:cs="Times New Roman" w:ascii="Times New Roman" w:hAnsi="Times New Roman"/>
          <w:sz w:val="20"/>
          <w:szCs w:val="20"/>
          <w:lang w:val="pt-BR"/>
        </w:rPr>
        <w:t xml:space="preserve">(versos 1386-1389; pg. 105) </w:t>
      </w:r>
      <w:r>
        <w:rPr>
          <w:rStyle w:val="Refdenotaderodap"/>
          <w:rStyle w:val="FootnoteAnchor"/>
          <w:rFonts w:cs="Times New Roman" w:ascii="Times New Roman" w:hAnsi="Times New Roman"/>
          <w:sz w:val="20"/>
          <w:szCs w:val="20"/>
          <w:lang w:val="pt-BR"/>
        </w:rPr>
        <w:footnoteReference w:id="10"/>
      </w:r>
    </w:p>
    <w:p>
      <w:pPr>
        <w:pStyle w:val="Normal"/>
        <w:spacing w:lineRule="auto" w:line="360" w:before="0" w:after="0"/>
        <w:ind w:left="1701" w:hanging="0"/>
        <w:jc w:val="both"/>
        <w:rPr>
          <w:rFonts w:ascii="Times New Roman" w:hAnsi="Times New Roman" w:cs="Times New Roman"/>
          <w:sz w:val="20"/>
          <w:szCs w:val="20"/>
          <w:lang w:val="pt-BR"/>
        </w:rPr>
      </w:pPr>
      <w:r>
        <w:rPr>
          <w:rFonts w:cs="Times New Roman" w:ascii="Times New Roman" w:hAnsi="Times New Roman"/>
          <w:sz w:val="20"/>
          <w:szCs w:val="20"/>
          <w:lang w:val="pt-BR"/>
        </w:rPr>
      </w:r>
    </w:p>
    <w:p>
      <w:pPr>
        <w:pStyle w:val="Normal"/>
        <w:spacing w:lineRule="auto" w:line="360"/>
        <w:ind w:firstLine="708"/>
        <w:jc w:val="both"/>
        <w:rPr>
          <w:rFonts w:ascii="Times New Roman" w:hAnsi="Times New Roman" w:cs="Times New Roman"/>
          <w:sz w:val="24"/>
          <w:szCs w:val="24"/>
          <w:lang w:val="pt-BR"/>
        </w:rPr>
      </w:pPr>
      <w:r>
        <w:rPr>
          <w:rFonts w:cs="Times New Roman" w:ascii="Times New Roman" w:hAnsi="Times New Roman"/>
          <w:sz w:val="24"/>
          <w:szCs w:val="24"/>
          <w:lang w:val="pt-BR"/>
        </w:rPr>
        <w:t>E como deveria ele não emudecer? Como o pensamento poderia desfazer o emaranhado que torna complemente indecidível aquilo que o destrói: o próprio crime, a sentença do oráculo de Apolo ou a maldição que ele mesmo roga para o assassino de Laio? Aliás, essa mudez não caracteriza apenas Édipo como também, em geral, os heróis da tragédia grega. Eis porque os modernos pesquisadores continuam a deter-se nela. “O herói trágico tem apenas uma linguagem que lhe corresponde perfeitamente: o silêncio”</w:t>
      </w:r>
      <w:r>
        <w:rPr>
          <w:rStyle w:val="Ncoradanotaderodap"/>
          <w:rStyle w:val="FootnoteAnchor"/>
          <w:rFonts w:cs="Times New Roman" w:ascii="Times New Roman" w:hAnsi="Times New Roman"/>
          <w:sz w:val="24"/>
          <w:szCs w:val="24"/>
          <w:lang w:val="pt-BR"/>
        </w:rPr>
        <w:footnoteReference w:id="11"/>
      </w:r>
      <w:r>
        <w:rPr>
          <w:rFonts w:cs="Times New Roman" w:ascii="Times New Roman" w:hAnsi="Times New Roman"/>
          <w:sz w:val="24"/>
          <w:szCs w:val="24"/>
          <w:lang w:val="pt-BR"/>
        </w:rPr>
        <w:t>. Ou citando outro autor: “Os heróis trágicos falam, de certo modo, mais superficialmente do que atuam”</w:t>
      </w:r>
      <w:r>
        <w:rPr>
          <w:rStyle w:val="Ncoradanotaderodap"/>
          <w:rStyle w:val="FootnoteAnchor"/>
          <w:rFonts w:cs="Times New Roman" w:ascii="Times New Roman" w:hAnsi="Times New Roman"/>
          <w:sz w:val="24"/>
          <w:szCs w:val="24"/>
          <w:lang w:val="pt-BR"/>
        </w:rPr>
        <w:footnoteReference w:id="12"/>
      </w:r>
      <w:r>
        <w:rPr>
          <w:rFonts w:cs="Times New Roman" w:ascii="Times New Roman" w:hAnsi="Times New Roman"/>
          <w:sz w:val="24"/>
          <w:szCs w:val="24"/>
          <w:lang w:val="pt-BR"/>
        </w:rPr>
        <w:t>. Ou um terceiro: “na tragédia o pagão dá-se conta de que ele é melhor que seus deuses, mas este reconhecimento rouba-lhe a linguagem, ela permanece abafada. Sem declarar-se, ela tenta secretamente reunir seu poder ... não está em questão que ‘a ordenação moral do mundo’ seja restaurada, mas sim que o homem moral queira erguer-se ainda mudo, ainda na menoridade</w:t>
      </w:r>
      <w:r>
        <w:rPr>
          <w:rStyle w:val="Ncoradanotaderodap"/>
          <w:rStyle w:val="FootnoteAnchor"/>
          <w:rFonts w:cs="Times New Roman" w:ascii="Times New Roman" w:hAnsi="Times New Roman"/>
          <w:sz w:val="24"/>
          <w:szCs w:val="24"/>
          <w:lang w:val="pt-BR"/>
        </w:rPr>
        <w:footnoteReference w:id="13"/>
      </w:r>
      <w:r>
        <w:rPr>
          <w:rFonts w:cs="Times New Roman" w:ascii="Times New Roman" w:hAnsi="Times New Roman"/>
          <w:sz w:val="24"/>
          <w:szCs w:val="24"/>
          <w:lang w:val="pt-BR"/>
        </w:rPr>
        <w:t xml:space="preserve"> – enquanto tal ele é chamado herói – no estremecimento daquele mundo pleno de sofrimentos. O paradoxo do nascimento do gênio na mudez moral, na infantilidade moral é o sublime da tragédia”</w:t>
      </w:r>
      <w:r>
        <w:rPr>
          <w:rStyle w:val="Ncoradanotaderodap"/>
          <w:rStyle w:val="FootnoteAnchor"/>
          <w:rFonts w:cs="Times New Roman" w:ascii="Times New Roman" w:hAnsi="Times New Roman"/>
          <w:sz w:val="24"/>
          <w:szCs w:val="24"/>
          <w:lang w:val="pt-BR"/>
        </w:rPr>
        <w:footnoteReference w:id="14"/>
      </w:r>
      <w:r>
        <w:rPr>
          <w:rFonts w:cs="Times New Roman" w:ascii="Times New Roman" w:hAnsi="Times New Roman"/>
          <w:sz w:val="24"/>
          <w:szCs w:val="24"/>
          <w:lang w:val="pt-BR"/>
        </w:rPr>
        <w:t>.</w:t>
      </w:r>
    </w:p>
    <w:p>
      <w:pPr>
        <w:pStyle w:val="Normal"/>
        <w:spacing w:lineRule="auto" w:line="360"/>
        <w:ind w:firstLine="708"/>
        <w:jc w:val="both"/>
        <w:rPr>
          <w:lang w:val="pt-BR"/>
        </w:rPr>
      </w:pPr>
      <w:r>
        <w:rPr>
          <w:rFonts w:cs="Times New Roman" w:ascii="Times New Roman" w:hAnsi="Times New Roman"/>
          <w:sz w:val="24"/>
          <w:szCs w:val="24"/>
          <w:lang w:val="pt-BR"/>
        </w:rPr>
        <w:t>É apenas a partir daqui que se consegue reconhecer a ousadia da tentativa de dotar o herói da tragédia com a fala. Aqui entra em cena o que as grandiosas palavras têm a dizer sobre o “destino” que o poeta escreveu no contexto já mencionado  muito antes de ele tê-las realizado no “Édipo”: “com essa palavra repugnante atribui-se muito mais ao acaso do que lhe convém, sua trapaça brota em toda parte em que se renuncia a um esclarecimento. Porém, afirmo que quanto mais se repele o destino na saga, tanto mais instrutiva ela se torna.”</w:t>
      </w:r>
      <w:r>
        <w:rPr>
          <w:rStyle w:val="Ncoradanotaderodap"/>
          <w:rStyle w:val="FootnoteAnchor"/>
          <w:rFonts w:cs="Times New Roman" w:ascii="Times New Roman" w:hAnsi="Times New Roman"/>
          <w:sz w:val="24"/>
          <w:szCs w:val="24"/>
          <w:lang w:val="pt-BR"/>
        </w:rPr>
        <w:footnoteReference w:id="15"/>
      </w:r>
      <w:r>
        <w:rPr>
          <w:rFonts w:cs="Times New Roman" w:ascii="Times New Roman" w:hAnsi="Times New Roman"/>
          <w:sz w:val="24"/>
          <w:szCs w:val="24"/>
          <w:lang w:val="pt-BR"/>
        </w:rPr>
        <w:t xml:space="preserve">  No final do segundo ato no drama de Sófocles (que possui cinco atos ao todo) o papel do vidente Tirésias é encerrado. Édipo necessitou de dois mil anos para, através de Gide, enfrentá-lo no grande debate no qual declara o que em Sófocles nunca teria arriscado pensar. “Este crime Deus impôs a mim. Ele o escondeu em meu caminho. Ainda antes de meu nascimento, a armadilha estava posta, sobre a qual deveria tropeçar, pois ou seu oráculo mentia, ou eu não podia salvar-me. Eu estava cercado. </w:t>
      </w:r>
    </w:p>
    <w:p>
      <w:pPr>
        <w:pStyle w:val="Normal"/>
        <w:spacing w:lineRule="auto" w:line="360"/>
        <w:jc w:val="both"/>
        <w:rPr>
          <w:rFonts w:ascii="Times New Roman" w:hAnsi="Times New Roman" w:cs="Times New Roman"/>
          <w:sz w:val="24"/>
          <w:szCs w:val="24"/>
          <w:lang w:val="pt-BR"/>
        </w:rPr>
      </w:pPr>
      <w:r>
        <w:rPr>
          <w:rFonts w:cs="Times New Roman" w:ascii="Times New Roman" w:hAnsi="Times New Roman"/>
          <w:sz w:val="24"/>
          <w:szCs w:val="24"/>
          <w:lang w:val="pt-BR"/>
        </w:rPr>
        <w:t>Graças a tal superioridade involuntária do herói, o drama satírico em Gide estabelece-se no próprio lugar ou ao menos nos arredores do antigo horror, como transparece nas palavras de Creonte e de vez em quando também nas do coro. Essas nunca foram tão superiores do que na lição que Édipo dá às crianças, cuja conversa ele escutava. Um frequentador assíduo da Rotonde</w:t>
      </w:r>
      <w:r>
        <w:rPr>
          <w:rStyle w:val="Ncoradanotaderodap"/>
          <w:rStyle w:val="FootnoteAnchor"/>
          <w:rFonts w:cs="Times New Roman" w:ascii="Times New Roman" w:hAnsi="Times New Roman"/>
          <w:sz w:val="24"/>
          <w:szCs w:val="24"/>
          <w:lang w:val="pt-BR"/>
        </w:rPr>
        <w:footnoteReference w:id="16"/>
      </w:r>
      <w:r>
        <w:rPr>
          <w:rFonts w:cs="Times New Roman" w:ascii="Times New Roman" w:hAnsi="Times New Roman"/>
          <w:sz w:val="24"/>
          <w:szCs w:val="24"/>
          <w:lang w:val="pt-BR"/>
        </w:rPr>
        <w:t xml:space="preserve"> não poderia ter-se expressado de forma mais desinibida a respeito da pergunta. É como se diante dele, nas inextrincáveis relações de sua casa, todas as misérias domésticas da pequena burguesia (aumentadas enormemente) fossem encontradas. Édipo vira-lhes as costas para seguir os rastros dos emancipados que tomaram a dianteira: o irmão mais novo do </w:t>
      </w:r>
      <w:r>
        <w:rPr>
          <w:rFonts w:cs="Times New Roman" w:ascii="Times New Roman" w:hAnsi="Times New Roman"/>
          <w:i/>
          <w:sz w:val="24"/>
          <w:szCs w:val="24"/>
          <w:lang w:val="pt-BR"/>
        </w:rPr>
        <w:t>Filho pródigo</w:t>
      </w:r>
      <w:r>
        <w:rPr>
          <w:rFonts w:cs="Times New Roman" w:ascii="Times New Roman" w:hAnsi="Times New Roman"/>
          <w:sz w:val="24"/>
          <w:szCs w:val="24"/>
          <w:lang w:val="pt-BR"/>
        </w:rPr>
        <w:t xml:space="preserve"> e o andarilho de </w:t>
      </w:r>
      <w:r>
        <w:rPr>
          <w:rFonts w:cs="Times New Roman" w:ascii="Times New Roman" w:hAnsi="Times New Roman"/>
          <w:i/>
          <w:sz w:val="24"/>
          <w:szCs w:val="24"/>
          <w:lang w:val="pt-BR"/>
        </w:rPr>
        <w:t>Frutos da terra</w:t>
      </w:r>
      <w:r>
        <w:rPr>
          <w:rStyle w:val="Ncoradanotaderodap"/>
          <w:rStyle w:val="FootnoteAnchor"/>
          <w:rFonts w:cs="Times New Roman" w:ascii="Times New Roman" w:hAnsi="Times New Roman"/>
          <w:sz w:val="24"/>
          <w:szCs w:val="24"/>
          <w:lang w:val="pt-BR"/>
        </w:rPr>
        <w:footnoteReference w:id="17"/>
      </w:r>
      <w:r>
        <w:rPr>
          <w:rFonts w:cs="Times New Roman" w:ascii="Times New Roman" w:hAnsi="Times New Roman"/>
          <w:i/>
          <w:sz w:val="24"/>
          <w:szCs w:val="24"/>
          <w:lang w:val="pt-BR"/>
        </w:rPr>
        <w:t xml:space="preserve"> </w:t>
      </w:r>
      <w:r>
        <w:rPr>
          <w:rFonts w:cs="Times New Roman" w:ascii="Times New Roman" w:hAnsi="Times New Roman"/>
          <w:sz w:val="24"/>
          <w:szCs w:val="24"/>
          <w:lang w:val="pt-BR"/>
        </w:rPr>
        <w:t>(</w:t>
      </w:r>
      <w:r>
        <w:rPr>
          <w:rFonts w:cs="Times New Roman" w:ascii="Times New Roman" w:hAnsi="Times New Roman"/>
          <w:i/>
          <w:sz w:val="24"/>
          <w:szCs w:val="24"/>
          <w:lang w:val="pt-BR"/>
        </w:rPr>
        <w:t>Nourritures terrestres)</w:t>
      </w:r>
      <w:r>
        <w:rPr>
          <w:rFonts w:cs="Times New Roman" w:ascii="Times New Roman" w:hAnsi="Times New Roman"/>
          <w:sz w:val="24"/>
          <w:szCs w:val="24"/>
          <w:lang w:val="pt-BR"/>
        </w:rPr>
        <w:t xml:space="preserve">. Édipo é o mais velho dos grandes que partem, que receberam o aceno daquele que escreveu: “é preciso sempre partir, não importa de onde” </w:t>
      </w:r>
      <w:r>
        <w:rPr>
          <w:rStyle w:val="Ncoradanotaderodap"/>
          <w:rStyle w:val="FootnoteAnchor"/>
          <w:rFonts w:cs="Times New Roman" w:ascii="Times New Roman" w:hAnsi="Times New Roman"/>
          <w:sz w:val="24"/>
          <w:szCs w:val="24"/>
          <w:lang w:val="pt-BR"/>
        </w:rPr>
        <w:footnoteReference w:id="18"/>
      </w:r>
      <w:r>
        <w:rPr>
          <w:rFonts w:cs="Times New Roman" w:ascii="Times New Roman" w:hAnsi="Times New Roman"/>
          <w:sz w:val="24"/>
          <w:szCs w:val="24"/>
          <w:lang w:val="pt-BR"/>
        </w:rPr>
        <w:t xml:space="preserve">. </w:t>
      </w:r>
    </w:p>
    <w:p>
      <w:pPr>
        <w:pStyle w:val="Normal"/>
        <w:spacing w:lineRule="auto" w:line="360"/>
        <w:jc w:val="both"/>
        <w:rPr>
          <w:rFonts w:ascii="Times New Roman" w:hAnsi="Times New Roman" w:cs="Times New Roman"/>
          <w:sz w:val="24"/>
          <w:szCs w:val="24"/>
          <w:lang w:val="pt-BR"/>
        </w:rPr>
      </w:pPr>
      <w:r>
        <w:rPr>
          <w:rFonts w:cs="Times New Roman" w:ascii="Times New Roman" w:hAnsi="Times New Roman"/>
          <w:sz w:val="24"/>
          <w:szCs w:val="24"/>
          <w:lang w:val="pt-BR"/>
        </w:rPr>
      </w:r>
    </w:p>
    <w:p>
      <w:pPr>
        <w:pStyle w:val="Normal"/>
        <w:spacing w:lineRule="auto" w:line="360"/>
        <w:jc w:val="both"/>
        <w:rPr>
          <w:rFonts w:ascii="Times New Roman" w:hAnsi="Times New Roman" w:cs="Times New Roman"/>
          <w:sz w:val="24"/>
          <w:szCs w:val="24"/>
          <w:lang w:val="pt-BR"/>
        </w:rPr>
      </w:pPr>
      <w:r>
        <w:rPr>
          <w:rFonts w:cs="Times New Roman" w:ascii="Times New Roman" w:hAnsi="Times New Roman"/>
          <w:sz w:val="24"/>
          <w:szCs w:val="24"/>
          <w:lang w:val="pt-BR"/>
        </w:rPr>
      </w:r>
    </w:p>
    <w:p>
      <w:pPr>
        <w:pStyle w:val="Normal"/>
        <w:spacing w:lineRule="auto" w:line="360" w:before="0" w:after="200"/>
        <w:rPr>
          <w:rFonts w:ascii="Times New Roman" w:hAnsi="Times New Roman" w:cs="Times New Roman"/>
          <w:sz w:val="24"/>
          <w:szCs w:val="24"/>
          <w:lang w:val="pt-BR"/>
        </w:rPr>
      </w:pPr>
      <w:r>
        <w:rPr>
          <w:rFonts w:cs="Times New Roman" w:ascii="Times New Roman" w:hAnsi="Times New Roman"/>
          <w:sz w:val="24"/>
          <w:szCs w:val="24"/>
          <w:lang w:val="pt-BR"/>
        </w:rPr>
      </w:r>
    </w:p>
    <w:sectPr>
      <w:footnotePr>
        <w:numFmt w:val="decimal"/>
      </w:footnote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Tahoma">
    <w:charset w:val="00"/>
    <w:family w:val="swiss"/>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jc w:val="both"/>
        <w:rPr>
          <w:lang w:val="pt-BR"/>
        </w:rPr>
      </w:pPr>
      <w:r>
        <w:rPr>
          <w:lang w:val="pt-BR"/>
        </w:rPr>
        <w:footnoteRef/>
        <w:tab/>
        <w:t xml:space="preserve"> </w:t>
      </w:r>
      <w:r>
        <w:rPr>
          <w:rFonts w:cs="Times New Roman" w:ascii="Times New Roman" w:hAnsi="Times New Roman"/>
          <w:i/>
          <w:color w:val="000000"/>
          <w:lang w:val="pt-BR"/>
        </w:rPr>
        <w:t>GS</w:t>
      </w:r>
      <w:r>
        <w:rPr>
          <w:rFonts w:cs="Times New Roman" w:ascii="Times New Roman" w:hAnsi="Times New Roman"/>
          <w:color w:val="000000"/>
          <w:lang w:val="pt-BR"/>
        </w:rPr>
        <w:t xml:space="preserve"> II, p. 391-395. Tradução de Pedro Hussak van Velthen Ramos e Carla Milani Damião. Ensaio escrito por Benjamin em abril ou maio de 1932 para programa da encenação da peça “Oedipe” de Gide em Darmstadt, sob a direção de Gustav Hartung em junho do mesmo ano (Cf. GS II, 1147-1148). Publicado em </w:t>
      </w:r>
      <w:r>
        <w:rPr>
          <w:rFonts w:cs="Times New Roman" w:ascii="Times New Roman" w:hAnsi="Times New Roman"/>
          <w:i/>
          <w:color w:val="000000"/>
          <w:lang w:val="pt-BR"/>
        </w:rPr>
        <w:t>Blätter des hessischen Landtheaters</w:t>
      </w:r>
      <w:r>
        <w:rPr>
          <w:rFonts w:cs="Times New Roman" w:ascii="Times New Roman" w:hAnsi="Times New Roman"/>
          <w:color w:val="000000"/>
          <w:lang w:val="pt-BR"/>
        </w:rPr>
        <w:t>, Abril 1932.</w:t>
      </w:r>
    </w:p>
  </w:footnote>
  <w:footnote w:id="3">
    <w:p>
      <w:pPr>
        <w:pStyle w:val="Footnote"/>
        <w:rPr>
          <w:rFonts w:ascii="Times New Roman" w:hAnsi="Times New Roman" w:cs="Times New Roman"/>
          <w:lang w:val="pt-BR"/>
        </w:rPr>
      </w:pPr>
      <w:r>
        <w:rPr>
          <w:rFonts w:cs="Times New Roman" w:ascii="Times New Roman" w:hAnsi="Times New Roman"/>
          <w:lang w:val="pt-BR"/>
        </w:rPr>
        <w:footnoteRef/>
        <w:tab/>
        <w:t>N.E.: “Hamlet im Frak”: encenada pela primeira vez em Viena, em 1926.</w:t>
      </w:r>
    </w:p>
  </w:footnote>
  <w:footnote w:id="4">
    <w:p>
      <w:pPr>
        <w:pStyle w:val="Footnote"/>
        <w:rPr>
          <w:rFonts w:ascii="Times New Roman" w:hAnsi="Times New Roman" w:cs="Times New Roman"/>
          <w:lang w:val="pt-BR"/>
        </w:rPr>
      </w:pPr>
      <w:r>
        <w:rPr>
          <w:rFonts w:eastAsia="Times New Roman" w:cs="Times New Roman" w:ascii="Times New Roman" w:hAnsi="Times New Roman"/>
          <w:lang w:val="pt-BR"/>
        </w:rPr>
        <w:footnoteRef/>
        <w:tab/>
        <w:t xml:space="preserve"> </w:t>
      </w:r>
      <w:r>
        <w:rPr>
          <w:rFonts w:cs="Times New Roman" w:ascii="Times New Roman" w:hAnsi="Times New Roman"/>
          <w:lang w:val="pt-BR"/>
        </w:rPr>
        <w:t xml:space="preserve">N.T.: André Gide, </w:t>
      </w:r>
      <w:r>
        <w:rPr>
          <w:rFonts w:cs="Times New Roman" w:ascii="Times New Roman" w:hAnsi="Times New Roman"/>
          <w:i/>
          <w:lang w:val="pt-BR"/>
        </w:rPr>
        <w:t>Oedipe</w:t>
      </w:r>
      <w:r>
        <w:rPr>
          <w:rFonts w:cs="Times New Roman" w:ascii="Times New Roman" w:hAnsi="Times New Roman"/>
          <w:lang w:val="pt-BR"/>
        </w:rPr>
        <w:t xml:space="preserve"> (Paris:Pléiade, 1931). Benjamin se refere à tradução alemã de Ernst Robert Curtius </w:t>
      </w:r>
      <w:r>
        <w:rPr>
          <w:rFonts w:cs="Times New Roman" w:ascii="Times New Roman" w:hAnsi="Times New Roman"/>
          <w:i/>
          <w:lang w:val="pt-BR"/>
        </w:rPr>
        <w:t>Oedipus oder Der vernünftige Mytos</w:t>
      </w:r>
      <w:r>
        <w:rPr>
          <w:rFonts w:cs="Times New Roman" w:ascii="Times New Roman" w:hAnsi="Times New Roman"/>
          <w:lang w:val="pt-BR"/>
        </w:rPr>
        <w:t xml:space="preserve"> que foi publicada no mesmo ano.</w:t>
      </w:r>
    </w:p>
    <w:p>
      <w:pPr>
        <w:pStyle w:val="Footnote"/>
        <w:rPr>
          <w:rFonts w:ascii="Times New Roman" w:hAnsi="Times New Roman" w:cs="Times New Roman"/>
          <w:lang w:val="pt-BR"/>
        </w:rPr>
      </w:pPr>
      <w:r>
        <w:rPr>
          <w:rFonts w:cs="Times New Roman" w:ascii="Times New Roman" w:hAnsi="Times New Roman"/>
          <w:lang w:val="pt-BR"/>
        </w:rPr>
      </w:r>
    </w:p>
  </w:footnote>
  <w:footnote w:id="5">
    <w:p>
      <w:pPr>
        <w:pStyle w:val="Footnote"/>
        <w:jc w:val="both"/>
        <w:rPr>
          <w:rFonts w:ascii="Times New Roman" w:hAnsi="Times New Roman" w:cs="Times New Roman"/>
          <w:lang w:val="pt-BR"/>
        </w:rPr>
      </w:pPr>
      <w:r>
        <w:rPr>
          <w:rFonts w:eastAsia="Times New Roman" w:cs="Times New Roman" w:ascii="Times New Roman" w:hAnsi="Times New Roman"/>
          <w:lang w:val="pt-BR"/>
        </w:rPr>
        <w:footnoteRef/>
        <w:tab/>
        <w:t xml:space="preserve"> </w:t>
      </w:r>
      <w:r>
        <w:rPr>
          <w:rFonts w:cs="Times New Roman" w:ascii="Times New Roman" w:hAnsi="Times New Roman"/>
          <w:lang w:val="pt-BR"/>
        </w:rPr>
        <w:t>N.E.: As traduções do texto de Gide foram feitas por Benjamin, que as “dramatiza” neste caso, ao dizer “garras da Esfinge”, no original apenas “da Esfinge”.</w:t>
      </w:r>
    </w:p>
    <w:p>
      <w:pPr>
        <w:pStyle w:val="Footnote"/>
        <w:rPr>
          <w:rFonts w:ascii="Times New Roman" w:hAnsi="Times New Roman" w:cs="Times New Roman"/>
          <w:lang w:val="pt-BR"/>
        </w:rPr>
      </w:pPr>
      <w:r>
        <w:rPr>
          <w:rFonts w:cs="Times New Roman" w:ascii="Times New Roman" w:hAnsi="Times New Roman"/>
          <w:lang w:val="pt-BR"/>
        </w:rPr>
      </w:r>
    </w:p>
  </w:footnote>
  <w:footnote w:id="6">
    <w:p>
      <w:pPr>
        <w:pStyle w:val="Footnote"/>
        <w:rPr>
          <w:rFonts w:ascii="Times New Roman" w:hAnsi="Times New Roman" w:cs="Times New Roman"/>
          <w:lang w:val="de-DE"/>
        </w:rPr>
      </w:pPr>
      <w:r>
        <w:rPr>
          <w:rFonts w:eastAsia="Times New Roman" w:cs="Times New Roman" w:ascii="Times New Roman" w:hAnsi="Times New Roman"/>
          <w:lang w:val="de-DE"/>
        </w:rPr>
        <w:footnoteRef/>
        <w:tab/>
        <w:t xml:space="preserve"> </w:t>
      </w:r>
      <w:r>
        <w:rPr>
          <w:rFonts w:cs="Times New Roman" w:ascii="Times New Roman" w:hAnsi="Times New Roman"/>
          <w:lang w:val="de-DE"/>
        </w:rPr>
        <w:t xml:space="preserve">N.T.: Gide, </w:t>
      </w:r>
      <w:r>
        <w:rPr>
          <w:rFonts w:cs="Times New Roman" w:ascii="Times New Roman" w:hAnsi="Times New Roman"/>
          <w:i/>
          <w:lang w:val="de-DE"/>
        </w:rPr>
        <w:t>Oedipus oder De vernünftige Mythos</w:t>
      </w:r>
      <w:r>
        <w:rPr>
          <w:rFonts w:cs="Times New Roman" w:ascii="Times New Roman" w:hAnsi="Times New Roman"/>
          <w:lang w:val="de-DE"/>
        </w:rPr>
        <w:t>, p. 62.</w:t>
      </w:r>
    </w:p>
    <w:p>
      <w:pPr>
        <w:pStyle w:val="Footnote"/>
        <w:rPr>
          <w:rFonts w:ascii="Times New Roman" w:hAnsi="Times New Roman" w:cs="Times New Roman"/>
          <w:lang w:val="de-DE"/>
        </w:rPr>
      </w:pPr>
      <w:r>
        <w:rPr>
          <w:rFonts w:cs="Times New Roman" w:ascii="Times New Roman" w:hAnsi="Times New Roman"/>
          <w:lang w:val="de-DE"/>
        </w:rPr>
      </w:r>
    </w:p>
  </w:footnote>
  <w:footnote w:id="7">
    <w:p>
      <w:pPr>
        <w:pStyle w:val="Footnote"/>
        <w:jc w:val="both"/>
        <w:rPr>
          <w:rFonts w:ascii="Times New Roman" w:hAnsi="Times New Roman" w:cs="Times New Roman"/>
          <w:lang w:val="fr-FR"/>
        </w:rPr>
      </w:pPr>
      <w:r>
        <w:rPr>
          <w:rFonts w:eastAsia="Times New Roman" w:cs="Times New Roman" w:ascii="Times New Roman" w:hAnsi="Times New Roman"/>
          <w:lang w:val="fr-FR"/>
        </w:rPr>
        <w:footnoteRef/>
        <w:tab/>
        <w:t xml:space="preserve"> </w:t>
      </w:r>
      <w:r>
        <w:rPr>
          <w:rFonts w:cs="Times New Roman" w:ascii="Times New Roman" w:hAnsi="Times New Roman"/>
          <w:lang w:val="fr-FR"/>
        </w:rPr>
        <w:t>N.T. :“Comment a-t-on pu croire à cela ?”, s’écrie Voltaire. Et pourtant chaque mythe, c’est à la raison d’abord et seulement qu’il s’adresse, et l’on n’a rien compris à ce mythe pendant que ne l’admet pas d’abord la raison. Gide,</w:t>
      </w:r>
      <w:r>
        <w:rPr>
          <w:rFonts w:cs="Times New Roman" w:ascii="Times New Roman" w:hAnsi="Times New Roman"/>
          <w:i/>
          <w:lang w:val="fr-FR"/>
        </w:rPr>
        <w:t xml:space="preserve"> Incidences </w:t>
      </w:r>
      <w:r>
        <w:rPr>
          <w:rFonts w:cs="Times New Roman" w:ascii="Times New Roman" w:hAnsi="Times New Roman"/>
          <w:lang w:val="fr-FR"/>
        </w:rPr>
        <w:t xml:space="preserve">(Paris: Nouvelle Revue Française, 1924).p. 62 </w:t>
      </w:r>
    </w:p>
    <w:p>
      <w:pPr>
        <w:pStyle w:val="Footnote"/>
        <w:rPr>
          <w:rFonts w:ascii="Times New Roman" w:hAnsi="Times New Roman" w:cs="Times New Roman"/>
          <w:lang w:val="fr-FR"/>
        </w:rPr>
      </w:pPr>
      <w:r>
        <w:rPr>
          <w:rFonts w:cs="Times New Roman" w:ascii="Times New Roman" w:hAnsi="Times New Roman"/>
          <w:lang w:val="fr-FR"/>
        </w:rPr>
      </w:r>
    </w:p>
  </w:footnote>
  <w:footnote w:id="8">
    <w:p>
      <w:pPr>
        <w:pStyle w:val="Footnote"/>
        <w:rPr>
          <w:rFonts w:ascii="Times New Roman" w:hAnsi="Times New Roman" w:cs="Times New Roman"/>
          <w:lang w:val="pt-BR"/>
        </w:rPr>
      </w:pPr>
      <w:r>
        <w:rPr>
          <w:rFonts w:cs="Times New Roman" w:ascii="Times New Roman" w:hAnsi="Times New Roman"/>
          <w:lang w:val="pt-BR"/>
        </w:rPr>
        <w:footnoteRef/>
        <w:tab/>
        <w:t xml:space="preserve">N.E.: A história de Filemon aparece em </w:t>
      </w:r>
      <w:r>
        <w:rPr>
          <w:rFonts w:cs="Times New Roman" w:ascii="Times New Roman" w:hAnsi="Times New Roman"/>
          <w:i/>
          <w:lang w:val="pt-BR"/>
        </w:rPr>
        <w:t xml:space="preserve">Metamorfoses </w:t>
      </w:r>
      <w:r>
        <w:rPr>
          <w:rFonts w:cs="Times New Roman" w:ascii="Times New Roman" w:hAnsi="Times New Roman"/>
          <w:lang w:val="pt-BR"/>
        </w:rPr>
        <w:t>de Ovídio.</w:t>
      </w:r>
    </w:p>
    <w:p>
      <w:pPr>
        <w:pStyle w:val="Footnote"/>
        <w:rPr>
          <w:rFonts w:ascii="Times New Roman" w:hAnsi="Times New Roman" w:cs="Times New Roman"/>
          <w:lang w:val="pt-BR"/>
        </w:rPr>
      </w:pPr>
      <w:r>
        <w:rPr>
          <w:rFonts w:cs="Times New Roman" w:ascii="Times New Roman" w:hAnsi="Times New Roman"/>
          <w:lang w:val="pt-BR"/>
        </w:rPr>
      </w:r>
    </w:p>
  </w:footnote>
  <w:footnote w:id="9">
    <w:p>
      <w:pPr>
        <w:pStyle w:val="Footnote"/>
        <w:jc w:val="both"/>
        <w:rPr/>
      </w:pPr>
      <w:r>
        <w:rPr>
          <w:rFonts w:eastAsia="Times New Roman" w:cs="Times New Roman" w:ascii="Times New Roman" w:hAnsi="Times New Roman"/>
          <w:lang w:val="pt-BR"/>
        </w:rPr>
        <w:footnoteRef/>
        <w:tab/>
        <w:t xml:space="preserve"> </w:t>
      </w:r>
      <w:r>
        <w:rPr>
          <w:rFonts w:cs="Times New Roman" w:ascii="Times New Roman" w:hAnsi="Times New Roman"/>
          <w:lang w:val="pt-BR"/>
        </w:rPr>
        <w:t xml:space="preserve">N.T.: Adotamos a tradução brasileira feita diretamente do grego por Trajano Vieira da tragédia de Sófocles. </w:t>
      </w:r>
      <w:r>
        <w:rPr>
          <w:rFonts w:cs="Times New Roman" w:ascii="Times New Roman" w:hAnsi="Times New Roman"/>
          <w:i/>
          <w:iCs/>
          <w:lang w:val="pt-BR"/>
        </w:rPr>
        <w:t>Édipo Rei</w:t>
      </w:r>
      <w:r>
        <w:rPr>
          <w:rFonts w:cs="Times New Roman" w:ascii="Times New Roman" w:hAnsi="Times New Roman"/>
          <w:lang w:val="pt-BR"/>
        </w:rPr>
        <w:t xml:space="preserve">. São Paulo, Editora Perspectiva, 2001. O original em alemão, citado por Benjamin, é uma tradução de Hölderlin: </w:t>
      </w:r>
    </w:p>
    <w:p>
      <w:pPr>
        <w:pStyle w:val="Footnote"/>
        <w:jc w:val="both"/>
        <w:rPr/>
      </w:pPr>
      <w:r>
        <w:rPr>
          <w:rFonts w:cs="Times New Roman" w:ascii="Times New Roman" w:hAnsi="Times New Roman"/>
          <w:lang w:val="pt-BR"/>
        </w:rPr>
        <w:tab/>
        <w:t>“</w:t>
      </w:r>
      <w:r>
        <w:rPr>
          <w:rFonts w:cs="Times New Roman" w:ascii="Times New Roman" w:hAnsi="Times New Roman"/>
          <w:lang w:val="pt-BR"/>
        </w:rPr>
        <w:t xml:space="preserve">O Ehe, Ehe! </w:t>
      </w:r>
      <w:r>
        <w:rPr>
          <w:rFonts w:cs="Times New Roman" w:ascii="Times New Roman" w:hAnsi="Times New Roman"/>
          <w:lang w:val="de-DE"/>
        </w:rPr>
        <w:t xml:space="preserve">Du pflanztest mich. Und da du mich gepflanzt, </w:t>
      </w:r>
    </w:p>
    <w:p>
      <w:pPr>
        <w:pStyle w:val="Footnote"/>
        <w:jc w:val="both"/>
        <w:rPr>
          <w:rFonts w:ascii="Times New Roman" w:hAnsi="Times New Roman" w:cs="Times New Roman"/>
          <w:lang w:val="de-DE"/>
        </w:rPr>
      </w:pPr>
      <w:r>
        <w:rPr>
          <w:rFonts w:cs="Times New Roman" w:ascii="Times New Roman" w:hAnsi="Times New Roman"/>
          <w:lang w:val="de-DE"/>
        </w:rPr>
        <w:tab/>
        <w:t xml:space="preserve">So sandtest du denselben Saamen aus, </w:t>
      </w:r>
    </w:p>
    <w:p>
      <w:pPr>
        <w:pStyle w:val="Footnote"/>
        <w:jc w:val="both"/>
        <w:rPr>
          <w:rFonts w:ascii="Times New Roman" w:hAnsi="Times New Roman" w:cs="Times New Roman"/>
          <w:lang w:val="de-DE"/>
        </w:rPr>
      </w:pPr>
      <w:r>
        <w:rPr>
          <w:rFonts w:cs="Times New Roman" w:ascii="Times New Roman" w:hAnsi="Times New Roman"/>
          <w:lang w:val="de-DE"/>
        </w:rPr>
        <w:tab/>
        <w:t xml:space="preserve">Und zeigtest Väter, Brüder, Kinder, ein </w:t>
      </w:r>
    </w:p>
    <w:p>
      <w:pPr>
        <w:pStyle w:val="Footnote"/>
        <w:jc w:val="both"/>
        <w:rPr>
          <w:rFonts w:ascii="Times New Roman" w:hAnsi="Times New Roman" w:cs="Times New Roman"/>
          <w:lang w:val="de-DE"/>
        </w:rPr>
      </w:pPr>
      <w:r>
        <w:rPr>
          <w:rFonts w:cs="Times New Roman" w:ascii="Times New Roman" w:hAnsi="Times New Roman"/>
          <w:lang w:val="de-DE"/>
        </w:rPr>
        <w:tab/>
        <w:t xml:space="preserve">Verwandtes Blut, und Jungfraun, Weiber, Mütter, </w:t>
      </w:r>
    </w:p>
    <w:p>
      <w:pPr>
        <w:pStyle w:val="Footnote"/>
        <w:jc w:val="both"/>
        <w:rPr/>
      </w:pPr>
      <w:r>
        <w:rPr>
          <w:rFonts w:cs="Times New Roman" w:ascii="Times New Roman" w:hAnsi="Times New Roman"/>
          <w:lang w:val="de-DE"/>
        </w:rPr>
        <w:tab/>
        <w:t xml:space="preserve">Und was nur schändlichstes entstehet unter Menschen! „ </w:t>
      </w:r>
    </w:p>
  </w:footnote>
  <w:footnote w:id="10">
    <w:p>
      <w:pPr>
        <w:pStyle w:val="Footnote"/>
        <w:rPr/>
      </w:pPr>
      <w:r>
        <w:rPr>
          <w:rFonts w:eastAsia="Times New Roman" w:cs="Times New Roman" w:ascii="Times New Roman" w:hAnsi="Times New Roman"/>
          <w:lang w:val="de-DE"/>
        </w:rPr>
        <w:footnoteRef/>
        <w:tab/>
        <w:t xml:space="preserve"> </w:t>
      </w:r>
      <w:r>
        <w:rPr>
          <w:rFonts w:cs="Times New Roman" w:ascii="Times New Roman" w:hAnsi="Times New Roman"/>
          <w:lang w:val="de-DE"/>
        </w:rPr>
        <w:t>N.T.: Na tradução de Hölderlin citada por Benjamin: „Sondern wäre für den Quell, Der in dem Ohre tönt, ein Schloß, ich hielt es nicht, Ich schlösse meinen müheseelgen Leib, Daß blind ich wär' und taub“.</w:t>
      </w:r>
    </w:p>
  </w:footnote>
  <w:footnote w:id="11">
    <w:p>
      <w:pPr>
        <w:pStyle w:val="Footnote"/>
        <w:rPr>
          <w:rFonts w:ascii="Times New Roman" w:hAnsi="Times New Roman" w:cs="Times New Roman"/>
          <w:lang w:val="de-DE"/>
        </w:rPr>
      </w:pPr>
      <w:r>
        <w:rPr>
          <w:rFonts w:eastAsia="Times New Roman" w:cs="Times New Roman" w:ascii="Times New Roman" w:hAnsi="Times New Roman"/>
          <w:lang w:val="de-DE"/>
        </w:rPr>
        <w:footnoteRef/>
        <w:tab/>
        <w:t xml:space="preserve"> </w:t>
      </w:r>
      <w:r>
        <w:rPr>
          <w:rFonts w:cs="Times New Roman" w:ascii="Times New Roman" w:hAnsi="Times New Roman"/>
          <w:lang w:val="de-DE"/>
        </w:rPr>
        <w:t xml:space="preserve">N.E.: Franz Rosenzweig, </w:t>
      </w:r>
      <w:r>
        <w:rPr>
          <w:rFonts w:cs="Times New Roman" w:ascii="Times New Roman" w:hAnsi="Times New Roman"/>
          <w:i/>
          <w:lang w:val="de-DE"/>
        </w:rPr>
        <w:t>Der Stern der Erlösung</w:t>
      </w:r>
      <w:r>
        <w:rPr>
          <w:rFonts w:cs="Times New Roman" w:ascii="Times New Roman" w:hAnsi="Times New Roman"/>
          <w:lang w:val="de-DE"/>
        </w:rPr>
        <w:t>, ed. Karl Schlechta, vol. 1 (Munchen: Hanser, 1954), p. 81.</w:t>
      </w:r>
    </w:p>
    <w:p>
      <w:pPr>
        <w:pStyle w:val="Footnote"/>
        <w:rPr>
          <w:rFonts w:ascii="Times New Roman" w:hAnsi="Times New Roman" w:cs="Times New Roman"/>
          <w:lang w:val="de-DE"/>
        </w:rPr>
      </w:pPr>
      <w:r>
        <w:rPr>
          <w:rFonts w:cs="Times New Roman" w:ascii="Times New Roman" w:hAnsi="Times New Roman"/>
          <w:lang w:val="de-DE"/>
        </w:rPr>
      </w:r>
    </w:p>
  </w:footnote>
  <w:footnote w:id="12">
    <w:p>
      <w:pPr>
        <w:pStyle w:val="Footnote"/>
        <w:rPr>
          <w:rFonts w:ascii="Times New Roman" w:hAnsi="Times New Roman" w:cs="Times New Roman"/>
          <w:lang w:val="pt-BR"/>
        </w:rPr>
      </w:pPr>
      <w:r>
        <w:rPr>
          <w:rFonts w:eastAsia="Times New Roman" w:cs="Times New Roman" w:ascii="Times New Roman" w:hAnsi="Times New Roman"/>
          <w:lang w:val="de-DE"/>
        </w:rPr>
        <w:footnoteRef/>
        <w:tab/>
        <w:t xml:space="preserve"> </w:t>
      </w:r>
      <w:r>
        <w:rPr>
          <w:rFonts w:cs="Times New Roman" w:ascii="Times New Roman" w:hAnsi="Times New Roman"/>
          <w:lang w:val="de-DE"/>
        </w:rPr>
        <w:t xml:space="preserve">N.E.: Nietzsche, Friedrich. </w:t>
      </w:r>
      <w:r>
        <w:rPr>
          <w:rFonts w:cs="Times New Roman" w:ascii="Times New Roman" w:hAnsi="Times New Roman"/>
          <w:i/>
          <w:iCs/>
          <w:lang w:val="de-DE"/>
        </w:rPr>
        <w:t xml:space="preserve">Die Geburt de Tragödie, </w:t>
      </w:r>
      <w:r>
        <w:rPr>
          <w:rFonts w:cs="Times New Roman" w:ascii="Times New Roman" w:hAnsi="Times New Roman"/>
          <w:lang w:val="de-DE"/>
        </w:rPr>
        <w:t>17</w:t>
      </w:r>
      <w:r>
        <w:rPr>
          <w:rFonts w:cs="Times New Roman" w:ascii="Times New Roman" w:hAnsi="Times New Roman"/>
          <w:i/>
          <w:iCs/>
          <w:lang w:val="de-DE"/>
        </w:rPr>
        <w:t xml:space="preserve">. </w:t>
      </w:r>
      <w:r>
        <w:rPr>
          <w:rFonts w:cs="Times New Roman" w:ascii="Times New Roman" w:hAnsi="Times New Roman"/>
          <w:lang w:val="de-DE"/>
        </w:rPr>
        <w:t xml:space="preserve">(Werke in drei Bänden, hg. </w:t>
      </w:r>
      <w:r>
        <w:rPr>
          <w:rFonts w:cs="Times New Roman" w:ascii="Times New Roman" w:hAnsi="Times New Roman"/>
          <w:lang w:val="pt-BR"/>
        </w:rPr>
        <w:t>Karl Schlechta, Vol. I, Munique 1954, p. 94.</w:t>
      </w:r>
    </w:p>
  </w:footnote>
  <w:footnote w:id="13">
    <w:p>
      <w:pPr>
        <w:pStyle w:val="Footnote"/>
        <w:rPr>
          <w:rFonts w:ascii="Times New Roman" w:hAnsi="Times New Roman" w:cs="Times New Roman"/>
          <w:lang w:val="pt-BR"/>
        </w:rPr>
      </w:pPr>
      <w:r>
        <w:rPr>
          <w:rFonts w:eastAsia="Times New Roman" w:cs="Times New Roman" w:ascii="Times New Roman" w:hAnsi="Times New Roman"/>
          <w:color w:val="000000"/>
          <w:lang w:val="pt-BR"/>
        </w:rPr>
        <w:footnoteRef/>
        <w:tab/>
        <w:t xml:space="preserve"> </w:t>
      </w:r>
      <w:r>
        <w:rPr>
          <w:rFonts w:cs="Times New Roman" w:ascii="Times New Roman" w:hAnsi="Times New Roman"/>
          <w:color w:val="000000"/>
          <w:lang w:val="pt-BR"/>
        </w:rPr>
        <w:t>N.T.: No original: “unmündig” (literalmente “sem boca”) que significa menor de idade, aquele que ainda não pode exercer diretamente atos da vida civil, moral ou juridicamente falar e responder por si.</w:t>
      </w:r>
    </w:p>
    <w:p>
      <w:pPr>
        <w:pStyle w:val="Normal"/>
        <w:spacing w:before="0" w:after="200"/>
        <w:rPr>
          <w:rFonts w:ascii="Times New Roman" w:hAnsi="Times New Roman" w:cs="Times New Roman"/>
          <w:sz w:val="20"/>
          <w:szCs w:val="20"/>
          <w:lang w:val="pt-BR"/>
        </w:rPr>
      </w:pPr>
      <w:r>
        <w:rPr>
          <w:rFonts w:cs="Times New Roman" w:ascii="Times New Roman" w:hAnsi="Times New Roman"/>
          <w:sz w:val="20"/>
          <w:szCs w:val="20"/>
          <w:lang w:val="pt-BR"/>
        </w:rPr>
      </w:r>
    </w:p>
  </w:footnote>
  <w:footnote w:id="14">
    <w:p>
      <w:pPr>
        <w:pStyle w:val="Footnote"/>
        <w:rPr>
          <w:rFonts w:ascii="Times New Roman" w:hAnsi="Times New Roman" w:cs="Times New Roman"/>
          <w:lang w:val="pt-BR"/>
        </w:rPr>
      </w:pPr>
      <w:r>
        <w:rPr>
          <w:rFonts w:eastAsia="Times New Roman" w:cs="Times New Roman" w:ascii="Times New Roman" w:hAnsi="Times New Roman"/>
          <w:lang w:val="pt-BR"/>
        </w:rPr>
        <w:footnoteRef/>
        <w:tab/>
        <w:t xml:space="preserve"> </w:t>
      </w:r>
      <w:r>
        <w:rPr>
          <w:rFonts w:cs="Times New Roman" w:ascii="Times New Roman" w:hAnsi="Times New Roman"/>
          <w:lang w:val="pt-BR"/>
        </w:rPr>
        <w:t xml:space="preserve">N.T.: Cf., Walter Benjamin:“Schicksal und Charkter [Destino e Caráter]” , publicado em 1921  (GS II, 175) ; auto citação que faz também em </w:t>
      </w:r>
      <w:r>
        <w:rPr>
          <w:rFonts w:cs="Times New Roman" w:ascii="Times New Roman" w:hAnsi="Times New Roman"/>
          <w:i/>
          <w:iCs/>
          <w:lang w:val="pt-BR"/>
        </w:rPr>
        <w:t xml:space="preserve">Ursprung des Deutschen Trauerspiels, </w:t>
      </w:r>
      <w:r>
        <w:rPr>
          <w:rFonts w:cs="Times New Roman" w:ascii="Times New Roman" w:hAnsi="Times New Roman"/>
          <w:lang w:val="pt-BR"/>
        </w:rPr>
        <w:t xml:space="preserve">de  1928 (GS I, 288-289), na  tradução brasileira de  Sérgio Paulo Rouanet, </w:t>
      </w:r>
      <w:r>
        <w:rPr>
          <w:rFonts w:cs="Times New Roman" w:ascii="Times New Roman" w:hAnsi="Times New Roman"/>
          <w:i/>
          <w:iCs/>
          <w:lang w:val="pt-BR"/>
        </w:rPr>
        <w:t xml:space="preserve">Origem do drama barroco alemão, </w:t>
      </w:r>
      <w:r>
        <w:rPr>
          <w:rFonts w:cs="Times New Roman" w:ascii="Times New Roman" w:hAnsi="Times New Roman"/>
          <w:lang w:val="pt-BR"/>
        </w:rPr>
        <w:t>São Paulo: Brasiliense, 1984, p. 132-133.</w:t>
      </w:r>
    </w:p>
  </w:footnote>
  <w:footnote w:id="15">
    <w:p>
      <w:pPr>
        <w:pStyle w:val="Footnote"/>
        <w:rPr>
          <w:rFonts w:ascii="Times New Roman" w:hAnsi="Times New Roman" w:cs="Times New Roman"/>
          <w:lang w:val="pt-BR"/>
        </w:rPr>
      </w:pPr>
      <w:r>
        <w:rPr>
          <w:rFonts w:eastAsia="Times New Roman" w:cs="Times New Roman" w:ascii="Times New Roman" w:hAnsi="Times New Roman"/>
          <w:lang w:val="pt-BR"/>
        </w:rPr>
        <w:footnoteRef/>
        <w:tab/>
        <w:t xml:space="preserve"> </w:t>
      </w:r>
      <w:r>
        <w:rPr>
          <w:rFonts w:cs="Times New Roman" w:ascii="Times New Roman" w:hAnsi="Times New Roman"/>
          <w:lang w:val="pt-BR"/>
        </w:rPr>
        <w:t xml:space="preserve">N.T.: Gide, </w:t>
      </w:r>
      <w:r>
        <w:rPr>
          <w:rFonts w:cs="Times New Roman" w:ascii="Times New Roman" w:hAnsi="Times New Roman"/>
          <w:i/>
          <w:lang w:val="pt-BR"/>
        </w:rPr>
        <w:t>Incidences</w:t>
      </w:r>
      <w:r>
        <w:rPr>
          <w:rFonts w:cs="Times New Roman" w:ascii="Times New Roman" w:hAnsi="Times New Roman"/>
          <w:lang w:val="pt-BR"/>
        </w:rPr>
        <w:t>, p. 81</w:t>
      </w:r>
    </w:p>
  </w:footnote>
  <w:footnote w:id="16">
    <w:p>
      <w:pPr>
        <w:pStyle w:val="Footnote"/>
        <w:rPr>
          <w:rFonts w:ascii="Times New Roman" w:hAnsi="Times New Roman" w:cs="Times New Roman"/>
          <w:lang w:val="pt-BR"/>
        </w:rPr>
      </w:pPr>
      <w:r>
        <w:rPr>
          <w:rFonts w:eastAsia="Times New Roman" w:cs="Times New Roman" w:ascii="Times New Roman" w:hAnsi="Times New Roman"/>
          <w:lang w:val="pt-BR"/>
        </w:rPr>
        <w:footnoteRef/>
        <w:tab/>
        <w:t xml:space="preserve"> </w:t>
      </w:r>
      <w:r>
        <w:rPr>
          <w:rFonts w:cs="Times New Roman" w:ascii="Times New Roman" w:hAnsi="Times New Roman"/>
          <w:lang w:val="pt-BR"/>
        </w:rPr>
        <w:t>N.E.: La Rotonde era um Café de Montparnasse frequentado por artistas e intelectuais nos anos 1920 e 1930.</w:t>
      </w:r>
    </w:p>
  </w:footnote>
  <w:footnote w:id="17">
    <w:p>
      <w:pPr>
        <w:pStyle w:val="Footnote"/>
        <w:rPr>
          <w:rFonts w:ascii="Times New Roman" w:hAnsi="Times New Roman" w:cs="Times New Roman"/>
          <w:lang w:val="pt-BR"/>
        </w:rPr>
      </w:pPr>
      <w:r>
        <w:rPr>
          <w:rFonts w:eastAsia="Times New Roman" w:cs="Times New Roman" w:ascii="Times New Roman" w:hAnsi="Times New Roman"/>
          <w:color w:val="000000"/>
          <w:lang w:val="fr-FR"/>
        </w:rPr>
        <w:footnoteRef/>
        <w:tab/>
        <w:t xml:space="preserve"> </w:t>
      </w:r>
      <w:r>
        <w:rPr>
          <w:rFonts w:cs="Times New Roman" w:ascii="Times New Roman" w:hAnsi="Times New Roman"/>
          <w:color w:val="000000"/>
          <w:lang w:val="fr-FR"/>
        </w:rPr>
        <w:t xml:space="preserve">N.E.: Dois romances de A. Gide, respectivamente: </w:t>
      </w:r>
      <w:r>
        <w:rPr>
          <w:rFonts w:cs="Times New Roman" w:ascii="Times New Roman" w:hAnsi="Times New Roman"/>
          <w:i/>
          <w:color w:val="000000"/>
          <w:lang w:val="fr-FR"/>
        </w:rPr>
        <w:t>Le retour de l’enfant prodigue</w:t>
      </w:r>
      <w:r>
        <w:rPr>
          <w:rFonts w:cs="Times New Roman" w:ascii="Times New Roman" w:hAnsi="Times New Roman"/>
          <w:color w:val="000000"/>
          <w:lang w:val="fr-FR"/>
        </w:rPr>
        <w:t>, de 1907; e</w:t>
      </w:r>
      <w:r>
        <w:rPr>
          <w:rFonts w:cs="Times New Roman" w:ascii="Times New Roman" w:hAnsi="Times New Roman"/>
          <w:i/>
          <w:color w:val="000000"/>
          <w:lang w:val="fr-FR"/>
        </w:rPr>
        <w:t xml:space="preserve"> Nourritures terrestres</w:t>
      </w:r>
      <w:r>
        <w:rPr>
          <w:rFonts w:cs="Times New Roman" w:ascii="Times New Roman" w:hAnsi="Times New Roman"/>
          <w:color w:val="000000"/>
          <w:lang w:val="fr-FR"/>
        </w:rPr>
        <w:t xml:space="preserve">, de 1897. </w:t>
      </w:r>
      <w:r>
        <w:rPr>
          <w:rFonts w:cs="Times New Roman" w:ascii="Times New Roman" w:hAnsi="Times New Roman"/>
          <w:color w:val="000000"/>
          <w:lang w:val="pt-BR"/>
        </w:rPr>
        <w:t>Cf. Nota dos editores, GS II, 1149.</w:t>
      </w:r>
    </w:p>
  </w:footnote>
  <w:footnote w:id="18">
    <w:p>
      <w:pPr>
        <w:pStyle w:val="Footnote"/>
        <w:rPr>
          <w:rFonts w:ascii="Times New Roman" w:hAnsi="Times New Roman" w:cs="Times New Roman"/>
          <w:lang w:val="fr-FR"/>
        </w:rPr>
      </w:pPr>
      <w:r>
        <w:rPr>
          <w:rFonts w:eastAsia="Times New Roman" w:cs="Times New Roman" w:ascii="Times New Roman" w:hAnsi="Times New Roman"/>
          <w:lang w:val="fr-FR"/>
        </w:rPr>
        <w:footnoteRef/>
        <w:tab/>
        <w:t xml:space="preserve"> </w:t>
      </w:r>
      <w:r>
        <w:rPr>
          <w:rFonts w:cs="Times New Roman" w:ascii="Times New Roman" w:hAnsi="Times New Roman"/>
          <w:lang w:val="fr-FR"/>
        </w:rPr>
        <w:t xml:space="preserve">N.T.: No original em francês:  “il faut toujours sortir n’importe d’où”. </w:t>
      </w:r>
      <w:r>
        <w:rPr>
          <w:rFonts w:cs="Times New Roman" w:ascii="Times New Roman" w:hAnsi="Times New Roman"/>
          <w:lang w:val="pt-BR"/>
        </w:rPr>
        <w:t xml:space="preserve">Benjamin cita aqui imprecisamente, talvez de memória, frase do prefácio de </w:t>
      </w:r>
      <w:r>
        <w:rPr>
          <w:rFonts w:cs="Times New Roman" w:ascii="Times New Roman" w:hAnsi="Times New Roman"/>
          <w:i/>
          <w:iCs/>
          <w:lang w:val="pt-BR"/>
        </w:rPr>
        <w:t xml:space="preserve">Les Nourritures terrestres, </w:t>
      </w:r>
      <w:r>
        <w:rPr>
          <w:rFonts w:cs="Times New Roman" w:ascii="Times New Roman" w:hAnsi="Times New Roman"/>
          <w:lang w:val="pt-BR"/>
        </w:rPr>
        <w:t xml:space="preserve">que seria: “Et quand tu m’auras lu, jette ce livre – et sors. </w:t>
      </w:r>
      <w:r>
        <w:rPr>
          <w:rFonts w:cs="Times New Roman" w:ascii="Times New Roman" w:hAnsi="Times New Roman"/>
          <w:lang w:val="fr-FR"/>
        </w:rPr>
        <w:t xml:space="preserve">Je voudrais qu’il t’eût donné le désir de sortir – sortir de n’importe où” (apud “Nota dos editores’, </w:t>
      </w:r>
      <w:r>
        <w:rPr>
          <w:rFonts w:cs="Times New Roman" w:ascii="Times New Roman" w:hAnsi="Times New Roman"/>
          <w:i/>
          <w:lang w:val="fr-FR"/>
        </w:rPr>
        <w:t>GS</w:t>
      </w:r>
      <w:r>
        <w:rPr>
          <w:rFonts w:cs="Times New Roman" w:ascii="Times New Roman" w:hAnsi="Times New Roman"/>
          <w:lang w:val="fr-FR"/>
        </w:rPr>
        <w:t xml:space="preserve"> II, 1149).</w:t>
      </w:r>
    </w:p>
  </w:footnote>
</w:footnotes>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dobe Devanagari"/>
        <w:sz w:val="24"/>
        <w:szCs w:val="24"/>
        <w:lang w:val="pt-BR"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Fontepargpadro">
    <w:name w:val="Fonte parág. padrão"/>
    <w:qFormat/>
    <w:rPr/>
  </w:style>
  <w:style w:type="character" w:styleId="Refdecomentrio">
    <w:name w:val="Ref. de comentário"/>
    <w:qFormat/>
    <w:rPr>
      <w:sz w:val="16"/>
      <w:szCs w:val="16"/>
    </w:rPr>
  </w:style>
  <w:style w:type="character" w:styleId="TextodecomentrioChar">
    <w:name w:val="Texto de comentário Char"/>
    <w:qFormat/>
    <w:rPr>
      <w:rFonts w:ascii="Calibri" w:hAnsi="Calibri" w:eastAsia="Calibri" w:cs="Times New Roman"/>
      <w:sz w:val="20"/>
      <w:szCs w:val="20"/>
      <w:lang w:val="en-US"/>
    </w:rPr>
  </w:style>
  <w:style w:type="character" w:styleId="TextodenotaderodapChar">
    <w:name w:val="Texto de nota de rodapé Char"/>
    <w:qFormat/>
    <w:rPr>
      <w:rFonts w:ascii="Calibri" w:hAnsi="Calibri" w:eastAsia="Calibri" w:cs="Times New Roman"/>
      <w:sz w:val="20"/>
      <w:szCs w:val="20"/>
      <w:lang w:val="en-US"/>
    </w:rPr>
  </w:style>
  <w:style w:type="character" w:styleId="Ncoradanotaderodap">
    <w:name w:val="Âncora da nota de rodapé"/>
    <w:qFormat/>
    <w:rPr>
      <w:vertAlign w:val="superscript"/>
    </w:rPr>
  </w:style>
  <w:style w:type="character" w:styleId="FootnoteCharacters">
    <w:name w:val="Footnote Characters"/>
    <w:qFormat/>
    <w:rPr>
      <w:vertAlign w:val="superscript"/>
    </w:rPr>
  </w:style>
  <w:style w:type="character" w:styleId="TextodebaloChar">
    <w:name w:val="Texto de balão Char"/>
    <w:qFormat/>
    <w:rPr>
      <w:rFonts w:ascii="Tahoma" w:hAnsi="Tahoma" w:eastAsia="Calibri" w:cs="Tahoma"/>
      <w:sz w:val="16"/>
      <w:szCs w:val="16"/>
      <w:lang w:val="en-US"/>
    </w:rPr>
  </w:style>
  <w:style w:type="character" w:styleId="Caracteresdenotaderodap">
    <w:name w:val="Caracteres de nota de rodapé"/>
    <w:qFormat/>
    <w:rPr/>
  </w:style>
  <w:style w:type="character" w:styleId="Ncoradanotadefim">
    <w:name w:val="Âncora da nota de fim"/>
    <w:qFormat/>
    <w:rPr>
      <w:vertAlign w:val="superscript"/>
    </w:rPr>
  </w:style>
  <w:style w:type="character" w:styleId="Caracteresdenotadefim">
    <w:name w:val="Caracteres de nota de fim"/>
    <w:qFormat/>
    <w:rPr/>
  </w:style>
  <w:style w:type="character" w:styleId="AssuntodocomentrioChar">
    <w:name w:val="Assunto do comentário Char"/>
    <w:qFormat/>
    <w:rPr>
      <w:rFonts w:ascii="Calibri" w:hAnsi="Calibri" w:eastAsia="Calibri" w:cs="Times New Roman"/>
      <w:b/>
      <w:bCs/>
      <w:sz w:val="20"/>
      <w:szCs w:val="20"/>
      <w:lang w:val="en-US"/>
    </w:rPr>
  </w:style>
  <w:style w:type="character" w:styleId="Refdenotaderodap">
    <w:name w:val="Ref. de nota de rodapé"/>
    <w:qFormat/>
    <w:rPr>
      <w:vertAlign w:val="superscrip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Lohit Devanagari;Cambria"/>
      <w:sz w:val="28"/>
      <w:szCs w:val="28"/>
    </w:rPr>
  </w:style>
  <w:style w:type="paragraph" w:styleId="TextBody">
    <w:name w:val="Body Text"/>
    <w:basedOn w:val="Normal"/>
    <w:pPr>
      <w:spacing w:before="0" w:after="140"/>
    </w:pPr>
    <w:rPr/>
  </w:style>
  <w:style w:type="paragraph" w:styleId="List">
    <w:name w:val="List"/>
    <w:basedOn w:val="TextBody"/>
    <w:pPr/>
    <w:rPr>
      <w:rFonts w:cs="Lohit Devanagari;Cambria"/>
    </w:rPr>
  </w:style>
  <w:style w:type="paragraph" w:styleId="Caption">
    <w:name w:val="Caption"/>
    <w:basedOn w:val="Normal"/>
    <w:qFormat/>
    <w:pPr>
      <w:suppressLineNumbers/>
      <w:spacing w:before="120" w:after="120"/>
    </w:pPr>
    <w:rPr>
      <w:rFonts w:cs="Adobe Devanagari"/>
      <w:i/>
      <w:iCs/>
      <w:sz w:val="24"/>
      <w:szCs w:val="24"/>
    </w:rPr>
  </w:style>
  <w:style w:type="paragraph" w:styleId="Index">
    <w:name w:val="Index"/>
    <w:basedOn w:val="Normal"/>
    <w:qFormat/>
    <w:pPr>
      <w:suppressLineNumbers/>
    </w:pPr>
    <w:rPr>
      <w:rFonts w:cs="Adobe Devanagari"/>
    </w:rPr>
  </w:style>
  <w:style w:type="paragraph" w:styleId="Legenda">
    <w:name w:val="Legenda"/>
    <w:basedOn w:val="Normal"/>
    <w:qFormat/>
    <w:pPr>
      <w:suppressLineNumbers/>
      <w:spacing w:before="120" w:after="120"/>
    </w:pPr>
    <w:rPr>
      <w:rFonts w:cs="Lohit Devanagari;Cambria"/>
      <w:i/>
      <w:iCs/>
      <w:sz w:val="24"/>
      <w:szCs w:val="24"/>
    </w:rPr>
  </w:style>
  <w:style w:type="paragraph" w:styleId="Ndice">
    <w:name w:val="Índice"/>
    <w:basedOn w:val="Normal"/>
    <w:qFormat/>
    <w:pPr>
      <w:suppressLineNumbers/>
    </w:pPr>
    <w:rPr>
      <w:rFonts w:cs="Lohit Devanagari;Cambria"/>
    </w:rPr>
  </w:style>
  <w:style w:type="paragraph" w:styleId="Textodecomentrio">
    <w:name w:val="Texto de comentário"/>
    <w:basedOn w:val="Normal"/>
    <w:qFormat/>
    <w:pPr>
      <w:spacing w:lineRule="auto" w:line="240"/>
    </w:pPr>
    <w:rPr>
      <w:sz w:val="20"/>
      <w:szCs w:val="20"/>
    </w:rPr>
  </w:style>
  <w:style w:type="paragraph" w:styleId="Footnote">
    <w:name w:val="Footnote Text"/>
    <w:basedOn w:val="Normal"/>
    <w:pPr>
      <w:spacing w:lineRule="auto" w:line="240" w:before="0" w:after="0"/>
    </w:pPr>
    <w:rPr>
      <w:sz w:val="20"/>
      <w:szCs w:val="20"/>
    </w:rPr>
  </w:style>
  <w:style w:type="paragraph" w:styleId="Textodebalo">
    <w:name w:val="Texto de balão"/>
    <w:basedOn w:val="Normal"/>
    <w:qFormat/>
    <w:pPr>
      <w:spacing w:lineRule="auto" w:line="240" w:before="0" w:after="0"/>
    </w:pPr>
    <w:rPr>
      <w:rFonts w:ascii="Tahoma" w:hAnsi="Tahoma" w:cs="Tahoma"/>
      <w:sz w:val="16"/>
      <w:szCs w:val="16"/>
    </w:rPr>
  </w:style>
  <w:style w:type="paragraph" w:styleId="Assuntodocomentrio">
    <w:name w:val="Assunto do comentário"/>
    <w:basedOn w:val="Textodecomentrio"/>
    <w:next w:val="Textodecomentrio"/>
    <w:qFormat/>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LibreOffice/5.4.6.2$Linux_X86_64 LibreOffice_project/40m0$Build-2</Application>
  <Pages>2</Pages>
  <Words>2055</Words>
  <Characters>10495</Characters>
  <CharactersWithSpaces>12553</CharactersWithSpaces>
  <Paragraphs>41</Paragraphs>
  <Company>UFG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2019-07-01T18:38:00Z</dcterms:created>
  <dc:creator>UFG</dc:creator>
  <dc:description/>
  <dc:language>pt-BR</dc:language>
  <cp:lastModifiedBy>Amon</cp:lastModifiedBy>
  <dcterms:modified xsi:type="dcterms:W3CDTF">2019-07-01T18:38:00Z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UFG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