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Government of Kenya Digital Transformation Strategy</w:t>
      </w:r>
    </w:p>
    <w:p>
      <w:r>
        <w:t>Furthermore, the Government of Kenya continues to prioritize digital transformation initiatives across public institutions in order to enhance operational efficiency, transparency, and service delivery mechanisms. In addition, strategic collaborations with technological stakeholders have significantly contributed to the advancement of innovative governance frameworks and integrated communication infrastructures.</w:t>
      </w:r>
    </w:p>
    <w:p>
      <w:r>
        <w:t>Moreover, the implementation of intelligent systems within government departments has facilitated optimized resource management, streamlined administrative workflows, and accelerated decision-making processes. Consequently, citizens are expected to experience improved accessibility to public services through automated platforms and digitally interconnected systems.</w:t>
      </w:r>
    </w:p>
    <w:p>
      <w:r>
        <w:t>In conclusion, Kenya’s commitment to technological modernization demonstrates the nation’s determination to establish a sustainable and innovation-driven economy. Additionally, future investments in artificial intelligence, cybersecurity, and smart infrastructure are projected to strengthen national development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