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为对象，经官方合规下载与整单 30% 抽样（种子 2026）治理得 30.28 万行明细并构建星型模型；应用 RFM、同期群留存、帕累托 ABC、Apriori、波士顿矩阵、SARIMA、K-Means 与复购漏斗共 9 类模型，参数均有依据，预测含 95% 置信区间并完成留出回测。可视化复现 25 种模板图与 10 张业务图，并用 Pyecharts 搭建大屏。研究发现英国市场占比 84.96%、22.42% 的 SKU 贡献 80% 营收、留存自第 2 个月进入平台期，据此提出客群运营、库存与关联营销等 5 条核心建议。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 5 条可即时执行的核心建议与 1 条战略性延伸建议，直接服务于库存、营销与客户管理决策。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直接查看）、JSON（31 个结果表，便于程序交换）、SQLite（retail_clean.sqlite 单文件库，含 8 张表，便于用 SQL 验证关联关系）。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 5 条核心商业建议——均为可在中短期内排期执行的具体动作，每条都直接对应某一个模型的输出证据；另附 1 条战略性延伸建议，因其见效周期以年计、且不属于运营层面的即时决策，故单列于最后。所有建议的落地优先级与效果度量口径见表 6-1，以避免「有洞察、无抓手」的分析空转。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延伸建议：推进市场多元化以对冲单一市场依赖。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上述 5 条核心建议并非同等重要，也不可能在同一个时间窗内全部启动；延伸建议则属于年度规划层面的战略议题。为使有限的预算与人力获得最高投入产出比，进一步按「投入成本 — 见效速度 — 收益规模」三个维度排序，形成落地优先级矩阵（表 6-1）。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6-1  商业建议落地优先级与效果度量矩阵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建议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核心模型证据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量化预期效果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效果度量指标（KPI）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建议一 · 重要价值客户专属运营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RFM：1,069 人（28.69%）贡献 69.99% 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该群留存率每 +1pp，约保住 £3.5 万/年营收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该群季度留存率、人均年贡献额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建议二 · ABC 重构库存资金配置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帕累托：A 类 22.42% SKU 贡献 80% 销售额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库存周转效率 +30% 以上，不影响 80% 营收盘子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 类现货率/缺货率、C 类 SKU 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建议三 · 组合陈列 + 捆绑优惠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Apriori：3,866 条规则，最强提升度 16.11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提升连带率与客单价，转化确定性高于随机推荐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连带率（件/单）、组合订单占比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建议四 · 提前 8 周备货 + CI95 安全库存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预测：MAPE 34.70%，11 月峰值 £42.05 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降低旺季缺货损失，同时抑制季末积压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旺季缺货率、季末滞销库存占比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建议五 · 分层召回沉睡客群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× K-Means：一般挽留 967 人 / 重要保持 487 人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召回 ROI ≥ 3:1（单次触达成本控制在 £5 内）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 日回流率、单次召回成本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延伸建议</w:t>
              <w:br/>
              <w:t>市场多元化（战略）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结构分析：英国单一市场占 84.96%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英国营收占比降至 80% 以下，降低集中度风险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非英营收占比、德/法新客净增数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优先级评定口径：P1 为低成本、收益确定且可在一个月内启动的措施，对应的是「模型已经把该找的人、该压的货指出来了」，执行即可兑现收益；P2 需要跨部门配合（营销、采购、仓储），建议在一个季度内排期落地，其效果依赖执行质量，需先小范围 A/B 验证再全面推广；P3 属于战略性结构调整，见效周期以年计，应纳入年度规划而非季度考核。需要强调的是，所有 KPI 均已在上表中给出可观测的定义，因此建议在落地后是可以被反向检验的——这正是「分析 → 决策 → 反馈」闭环成立的前提。最后需要说明的是，之所以把市场多元化单独列为「延伸建议」：课程模板要求正文给出 3~5 条可直接执行的商业建议，而该条涉及品牌、渠道与合规等长周期投入，与其余五条「运营侧即时可执行」的性质不同。将其单列，既保证核心建议区间符合规范，也如实呈现了单一市场依赖这一结构性风险的严重性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张图表、70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 条核心建议与 1 条延伸建议，每条都对应明确的模型证据与预期效果，覆盖客户运营、库存配置、营销组合、节庆备货与市场拓展五个决策场景，并给出优先级排序与效果度量口径（表 6-1）。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70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35 张图，故按同一排版规格扩展为 **12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