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为对象，经官方合规下载与发票整单 30% 抽样（种子 2026）后治理得到 30.28 万行明细并构建星型模型；进而应用 RFM、同期群留存、帕累托 ABC、Apriori、波士顿矩阵、SARIMA、K-Means 与复购漏斗共 9 类模型，参数有业务依据，预测含 95% 置信区间并完成留出回测。可视化环节复现 25 种模板图与 10 张业务图，并以 Pyecharts 搭建大屏。发现英国市场占比 84.96%，22.42% 的 SKU 贡献 80% 营收，留存第 2 个月进入平台期，据此提出客群运营、库存与关联营销 6 条建议。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9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万行明细压缩为可执行的 6 条运营建议，直接服务于库存、营销与客户管理决策。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对教学：形成一套从合规取数到可视化呈现的完整教学案例，9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直接查看）、JSON（31 个结果表，便于程序交换）、SQLite（retail_clean.sqlite 单文件库，含 8 张表，便于用 SQL 验证关联关系）。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9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统一口径说明。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数据集末月（2011-12）仅覆盖 1—9 日，属于不完整月份，若纳入月度对比会人为造成「销售额骤降」的假象。因此全部客户级模型（M2 RFM、M3 同期群、M8 K-Means、M9 复购漏斗）与月度序列分析均以 </w:t>
      </w:r>
      <w:r>
        <w:rPr>
          <w:rFonts w:ascii="Times New Roman" w:hAnsi="Times New Roman" w:eastAsia="宋体"/>
          <w:b/>
          <w:color w:val="000000"/>
          <w:sz w:val="24"/>
        </w:rPr>
        <w:t>2011-11-30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为统一截止日，与 M7 预测模型的留出测试集切分保持一致。受此影响，纳入建模的注册客户为 3,726 位，略少于清洗后全量客户 3,763 位，差值为仅在 2011-12 产生首单的 37 位新客；论文中两处数字口径不同源，特此说明。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帕累托 ABC 分界 —— 80% / 95%。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ABC 分类本质是帕累托法则的量化：A 类对应累计销售额占比 0~80%（核心贡献）、B 类 80%~95%（次要贡献）、C 类 95%~100%（长尾）。选择 80/95 而非三等分，是因为商品销售额分布极度不均，三等分会把一批贡献极低的长尾商品与中等贡献商品混为一谈，失去「重点管理少数」的管理意义。实测 A 类仅占 22.42% 的 SKU 却贡献 80% 销售额，恰恰印证了在该数据集上采用累计占比分界的合理性。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复购漏斗层级 —— 以购买次数而非金额划分。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漏斗共五级：首次购买 → 第 2 次 → 第 3 次 → 第 4 次 → 5 次及以上。用购买次数而非累计金额，是因为复购行为的核心是「关系存续」而非「单次贡献」，次数口径才能真实反映客户粘性；同时各级为包含关系（≥N 次），保证漏斗逐级收窄、转化率可解释。此外，漏斗仅统计有 CustomerID 的已识别客户，匿名订单不计入分母。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环比与同比口径。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环比（MoM）定义为「本月 ÷ 上月 − 1」，同比（YoY）定义为「本年本月 ÷ 去年同月 − 1」。由于数据集覆盖 2009-12 至 2011-12 共 25 个月，2009-12 与 2010 年各月无上年同月数据，同比序列从 2010-12 起算，图中对该区间留空而非补零，避免造成「零增长」的误读。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5-6 同时展示了历史序列、回测区间与未来预测带，可以直观看到预测带随时间推移逐步变宽，符合不确定性累积的统计直觉。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4.3.1 稳健性检验：RFM 切分方式是否影响结论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参数敏感性是模型可信度的关键。既然 §4.2 以「分布右偏」为由选择中位数切分，就必须回答一个反事实问题：若换成别的主流切分方式，「少数高价值客户贡献大部分营收」这一核心结论还成立吗？本节以 RFM 为例做稳健性检验，对比中位数、均值与 60 分位三种切分，结果见表 4-3（由 scripts/03_analysis.py 自动计算并随流水线重跑，结果表：outputs/tables/03_rfm_threshold_sensitivity.csv）。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4-3  RFM 切分方式稳健性检验（三种阈值方案对比）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切分方式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阈值 R/F/M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核心高价值客户数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人数占比(%)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营收占比(%)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中位数（本文采用）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203 天 / 2.00 次 / £488.69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69.99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249 天 / 2.89 次 / £1,329.56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15.35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61.43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60 分位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126 天 / 2.00 次 / £671.73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784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21.04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62.84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三种方案下的核心客群规模在 572—1,069 人之间变动，营收占比在 61.43%—69.99% 之间变动，</w:t>
      </w:r>
      <w:r>
        <w:rPr>
          <w:rFonts w:ascii="Times New Roman" w:hAnsi="Times New Roman" w:eastAsia="宋体"/>
          <w:b/>
          <w:color w:val="000000"/>
          <w:sz w:val="24"/>
        </w:rPr>
        <w:t>结论的方向始终一致</w:t>
      </w:r>
      <w:r>
        <w:rPr>
          <w:rFonts w:ascii="Times New Roman" w:hAnsi="Times New Roman" w:eastAsia="宋体"/>
          <w:b w:val="0"/>
          <w:color w:val="000000"/>
          <w:sz w:val="24"/>
        </w:rPr>
        <w:t>：不足三成的客户贡献了六成以上的营收，客户价值高度集中这一结构性判断并不依赖于特定的阈值选择，因而可以放心用于商业决策。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同时也应看到差异本身的信息量：均值切分下核心客群骤降至 572 人（15.35%），正是因为 Monetary 均值（£1,329.56）被少数批发大客拉高到中位数（£488.69）的 2.7 倍，大量中等消费客户被误判为「低价值」。这恰恰反向印证了 §4.2 选择中位数的理由——若采用均值，运营上会白白损失约 500 人的可运营高潜客群。本文在正文结论中采用中位数方案，但同时报告敏感性区间，以避免读者把单一阈值下的点估计当作精确事实。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25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模板复现清单（25 种，逐图对照）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序号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模板图型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对应图号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复现要点（配色 / 标签 / 图例 / 标题）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双折线（MoM / YoY%）、右轴百分比、零基准线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MA30 叠加主线、峰值点标注、网格弱化、纵轴千分位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双系列半透明填充、月份标签旋转 45°、右轴订单量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降序排列、柱顶数值标签、顶部留白、去除上右边框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TOP15 横向降序、条内数值标签、首项高亮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中心显示总计、引线标签、末 8 国合并为「其他」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国别分层堆积、图例置右上不遮挡、月份全年覆盖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 100% 归一、格内占比标签、品类固定色序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双对数轴、幂律趋势线、点透明度防重叠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气泡面积编码销售额、双轴、独立尺寸图例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KDE 曲线叠加、均值/中位数虚线、分箱数 60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均值点标记、中位数标注、异常点淡化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时段矩阵、色标条、单元格数值标注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国家五维、指标归一化、半透明填充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涨跌异色、浮动连接线、两端累计柱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指针 + 阈值分色带、达成率大字、年度对照副标题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年-月-日格网、色标条、休市日留白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双时点连线、左右双标签、增降异色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折线（订单数）+ 第三轴（客单价）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 / MA30 / MA90 三线、线型区分、图例置右上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扇形半径编码销售额、极坐标网格、品类色序一致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目标区间带 + 实际条 + 达标刻度、横向排序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内嵌迷你箱线、季度分组配色、中位数白点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squarify 面积编码、层级标签、边界留白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字号编码频次、停用词表过滤、随机种子固定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54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逐图手工设置，35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20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基于上述结果与模型证据，提出以下 6 条可操作的商业建议。每条建议均直接对应某一个模型的输出证据，并在表 6-1 中进一步给出落地优先级与效果度量口径，避免「有洞察、无抓手」的分析空转。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建议六：推进市场多元化以对冲单一市场依赖。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上述 6 条建议并非同等重要，也不可能在同一个时间窗内全部启动。为使有限的预算与人力获得最高投入产出比，进一步按「投入成本 — 见效速度 — 收益规模」三个维度排序，形成落地优先级矩阵（表 6-1）。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6-1  商业建议落地优先级与效果度量矩阵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建议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核心模型证据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量化预期效果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优先级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效果度量指标（KPI）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建议一 · 重要价值客户专属运营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RFM：1,069 人（28.69%）贡献 69.99% 营收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该群留存率每 +1pp，约保住 £3.5 万/年营收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该群季度留存率、人均年贡献额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建议二 · ABC 重构库存资金配置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帕累托：A 类 22.42% SKU 贡献 80% 销售额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库存周转效率 +30% 以上，不影响 80% 营收盘子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 类现货率/缺货率、C 类 SKU 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建议三 · 组合陈列 + 捆绑优惠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Apriori：3,866 条规则，最强提升度 16.11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提升连带率与客单价，转化确定性高于随机推荐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连带率（件/单）、组合订单占比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建议四 · 提前 8 周备货 + CI95 安全库存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预测：MAPE 34.70%，11 月峰值 £42.05 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降低旺季缺货损失，同时抑制季末积压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旺季缺货率、季末滞销库存占比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建议五 · 分层召回沉睡客群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× K-Means：一般挽留 967 人 / 重要保持 487 人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召回 ROI ≥ 3:1（单次触达成本控制在 £5 内）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 日回流率、单次召回成本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建议六 · 推进市场多元化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结构分析：英国单一市场占 84.96%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英国营收占比降至 80% 以下，降低集中度风险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非英营收占比、德/法新客净增数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优先级评定口径：P1 为低成本、收益确定且可在一个月内启动的措施，对应的是「模型已经把该找的人、该压的货指出来了」，执行即可兑现收益；P2 需要跨部门配合（营销、采购、仓储），建议在一个季度内排期落地，其效果依赖执行质量，需先小范围 A/B 验证再全面推广；P3 属于战略性结构调整，见效周期以年计，应纳入年度规划而非季度考核。需要强调的是，所有 KPI 均已在上表中给出可观测的定义，因此建议在落地后是可以被反向检验的——这正是「分析 → 决策 → 反馈」闭环成立的前提。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10 个脚本串联成流水线，随机种子固定为 2026，任何人克隆仓库后执行 python run_all.py 即可重新生成 35 张图表、70 张结果表、交互大屏与大屏演示截图，这在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。9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6 条建议，每条都对应明确的模型证据与预期效果，覆盖客户运营、库存配置、营销组合、节庆备货与市场拓展五个决策场景，并给出优先级排序与效果度量口径（表 6-1）。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演示材料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编写无头浏览器自动截图脚本，定位虚拟时间预算导致浏览器挂起等问题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辅助（本人验证通过）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「写一个脚本用无头浏览器对大屏 HTML 逐标签页截图，要求不依赖虚拟时间预算、可一键复现」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9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07_offline_bundle.py  离线自包含大屏打包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08_deliver.py    交付物归档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09_excel_summary.py  关键结果 Excel 汇总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10_dashboard_screenshots.py  大屏演示截图（拼图 + GIF）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70 个结果表（CSV + JSON）+ 00_关键结果汇总.xlsx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 + dashboard_offline.html（大屏）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dashboard_screenshots/  大屏分 Tab 截图 + 拼图 + GIF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论文 .docx / .pdf、图表索引.md、数据来源合规声明.md、复现验证报告.md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评分标准建议图表可按「10 行 3 列」缩排附录，本项目共 35 张图，故按同一排版规格扩展为 **12 行 3 列**，将全部静态图以缩略图集中呈现，便于快速核对图表与模型的对应关系。各图原始文件（200dpi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206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2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7013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70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985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9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912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91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