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spacing w:after="560"/>
        <w:jc w:val="center"/>
      </w:pPr>
      <w:r>
        <w:rPr>
          <w:rFonts w:ascii="Times New Roman" w:hAnsi="Times New Roman" w:eastAsia="黑体"/>
          <w:b/>
          <w:color w:val="000000"/>
          <w:sz w:val="32"/>
        </w:rPr>
        <w:t>《零售交易数据的用户价值与品类结构分析》</w:t>
      </w:r>
    </w:p>
    <w:p>
      <w:pPr>
        <w:spacing w:after="120"/>
        <w:jc w:val="center"/>
      </w:pPr>
      <w:r>
        <w:rPr>
          <w:rFonts w:ascii="Times New Roman" w:hAnsi="Times New Roman" w:eastAsia="宋体"/>
          <w:color w:val="000000"/>
          <w:sz w:val="21"/>
        </w:rPr>
        <w:t>学　　院：数据科学学院</w:t>
      </w:r>
    </w:p>
    <w:p>
      <w:pPr>
        <w:spacing w:after="120"/>
        <w:jc w:val="center"/>
      </w:pPr>
      <w:r>
        <w:rPr>
          <w:rFonts w:ascii="Times New Roman" w:hAnsi="Times New Roman" w:eastAsia="宋体"/>
          <w:color w:val="000000"/>
          <w:sz w:val="21"/>
        </w:rPr>
        <w:t>专业班级：数据科学与大数据技术 大数据241班</w:t>
      </w:r>
    </w:p>
    <w:p>
      <w:pPr>
        <w:spacing w:after="120"/>
        <w:jc w:val="center"/>
      </w:pPr>
      <w:r>
        <w:rPr>
          <w:rFonts w:ascii="Times New Roman" w:hAnsi="Times New Roman" w:eastAsia="宋体"/>
          <w:color w:val="000000"/>
          <w:sz w:val="21"/>
        </w:rPr>
        <w:t>学　　号：2024459985127</w:t>
      </w:r>
    </w:p>
    <w:p>
      <w:pPr>
        <w:spacing w:after="120"/>
        <w:jc w:val="center"/>
      </w:pPr>
      <w:r>
        <w:rPr>
          <w:rFonts w:ascii="Times New Roman" w:hAnsi="Times New Roman" w:eastAsia="宋体"/>
          <w:color w:val="000000"/>
          <w:sz w:val="21"/>
        </w:rPr>
        <w:t>姓　　名：秦子睿</w:t>
      </w:r>
    </w:p>
    <w:p>
      <w:pPr>
        <w:spacing w:after="120"/>
        <w:jc w:val="center"/>
      </w:pPr>
      <w:r>
        <w:rPr>
          <w:rFonts w:ascii="Times New Roman" w:hAnsi="Times New Roman" w:eastAsia="宋体"/>
          <w:color w:val="000000"/>
          <w:sz w:val="21"/>
        </w:rPr>
        <w:t>组员分工：独立完成（全流程：数据获取、清洗治理、模型建模、可视化、大屏搭建、论文撰写）</w:t>
      </w:r>
    </w:p>
    <w:p>
      <w:pPr>
        <w:spacing w:after="120"/>
        <w:jc w:val="center"/>
      </w:pPr>
      <w:r>
        <w:rPr>
          <w:rFonts w:ascii="Times New Roman" w:hAnsi="Times New Roman" w:eastAsia="宋体"/>
          <w:color w:val="000000"/>
          <w:sz w:val="21"/>
        </w:rPr>
        <w:t>完成日期：2026 年 10 月</w:t>
      </w:r>
    </w:p>
    <w:p/>
    <w:p/>
    <w:p/>
    <w:p>
      <w:pPr>
        <w:spacing w:after="80"/>
        <w:jc w:val="center"/>
      </w:pPr>
      <w:r>
        <w:rPr>
          <w:rFonts w:ascii="Times New Roman" w:hAnsi="Times New Roman" w:eastAsia="黑体"/>
          <w:b/>
          <w:color w:val="000000"/>
          <w:sz w:val="24"/>
        </w:rPr>
        <w:t>《商业数据分析》期末大作业评分表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11"/>
        <w:gridCol w:w="2911"/>
        <w:gridCol w:w="2911"/>
      </w:tblGrid>
      <w:tr>
        <w:tc>
          <w:tcPr>
            <w:tcW w:type="dxa" w:w="2608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评分维度</w:t>
            </w:r>
          </w:p>
        </w:tc>
        <w:tc>
          <w:tcPr>
            <w:tcW w:type="dxa" w:w="544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评分要点（子项及分值）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得分</w:t>
            </w:r>
          </w:p>
        </w:tc>
      </w:tr>
      <w:tr>
        <w:tc>
          <w:tcPr>
            <w:tcW w:type="dxa" w:w="2608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color w:val="000000"/>
                <w:sz w:val="17"/>
              </w:rPr>
              <w:t>1. 数据获取合规性与清洗质量（15 分）</w:t>
            </w:r>
          </w:p>
        </w:tc>
        <w:tc>
          <w:tcPr>
            <w:tcW w:type="dxa" w:w="5443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color w:val="000000"/>
                <w:sz w:val="17"/>
              </w:rPr>
              <w:t>① 来源合规、白名单方式、合规声明完整（5）；② 数据量达标、抽样方法与随机种子说明（4）；③ 清洗完整、异常/缺失/重复处理、多表对齐（4）；④ 可导出 CSV/JSON/SQLite 复用（2）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</w:p>
        </w:tc>
      </w:tr>
      <w:tr>
        <w:tc>
          <w:tcPr>
            <w:tcW w:type="dxa" w:w="2608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color w:val="000000"/>
                <w:sz w:val="17"/>
              </w:rPr>
              <w:t>2. 商业分析模型应用深度（20 分）</w:t>
            </w:r>
          </w:p>
        </w:tc>
        <w:tc>
          <w:tcPr>
            <w:tcW w:type="dxa" w:w="5443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color w:val="000000"/>
                <w:sz w:val="17"/>
              </w:rPr>
              <w:t>① 模型 ≥3 种、选型与场景匹配（6）；② 计算正确、参数与阈值有业务依据（6）；③ 预测类含置信区间与回测误差（4）；④ 结论与模型一一对应（4）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</w:p>
        </w:tc>
      </w:tr>
      <w:tr>
        <w:tc>
          <w:tcPr>
            <w:tcW w:type="dxa" w:w="2608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color w:val="000000"/>
                <w:sz w:val="17"/>
              </w:rPr>
              <w:t>3. 可视化复现与大屏质量（25 分）</w:t>
            </w:r>
          </w:p>
        </w:tc>
        <w:tc>
          <w:tcPr>
            <w:tcW w:type="dxa" w:w="5443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color w:val="000000"/>
                <w:sz w:val="17"/>
              </w:rPr>
              <w:t>① 图表 ≥10 张、类别覆盖全面（6）；② 模板复现 ≥10 种、风格细节贴近原作（7）；③ 业务模型图 ≥6 张（6）；④ 交互大屏 ≥1 个、组件 ≥6、有联动（6）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</w:p>
        </w:tc>
      </w:tr>
      <w:tr>
        <w:tc>
          <w:tcPr>
            <w:tcW w:type="dxa" w:w="2608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color w:val="000000"/>
                <w:sz w:val="17"/>
              </w:rPr>
              <w:t>4. 代码规范性与文档完整性（10 分）</w:t>
            </w:r>
          </w:p>
        </w:tc>
        <w:tc>
          <w:tcPr>
            <w:tcW w:type="dxa" w:w="5443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color w:val="000000"/>
                <w:sz w:val="17"/>
              </w:rPr>
              <w:t>① 目录结构清晰、注释充分（3）；② README 详实、依赖明确（3）；③ 可一键复现（2）；④ 图表命名与索引规范（2）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</w:p>
        </w:tc>
      </w:tr>
      <w:tr>
        <w:tc>
          <w:tcPr>
            <w:tcW w:type="dxa" w:w="2608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color w:val="000000"/>
                <w:sz w:val="17"/>
              </w:rPr>
              <w:t>5. 期末大论文质量（25 分）</w:t>
            </w:r>
          </w:p>
        </w:tc>
        <w:tc>
          <w:tcPr>
            <w:tcW w:type="dxa" w:w="5443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color w:val="000000"/>
                <w:sz w:val="17"/>
              </w:rPr>
              <w:t>① 题目创新性与针对性（4）；② 摘要与关键词相关性（4）；③ 正文逻辑性与技术深度（10）；④ 商业建议可行性与数据支撑（7）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</w:p>
        </w:tc>
      </w:tr>
      <w:tr>
        <w:tc>
          <w:tcPr>
            <w:tcW w:type="dxa" w:w="2608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color w:val="000000"/>
                <w:sz w:val="17"/>
              </w:rPr>
              <w:t>6. 创新性与商业洞察深度（5 分）</w:t>
            </w:r>
          </w:p>
        </w:tc>
        <w:tc>
          <w:tcPr>
            <w:tcW w:type="dxa" w:w="5443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color w:val="000000"/>
                <w:sz w:val="17"/>
              </w:rPr>
              <w:t>① 引入新工具/新方法（2）；② 提出有效商业建议（2）；③ 体现批判性思维（1）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</w:p>
        </w:tc>
      </w:tr>
      <w:tr>
        <w:tc>
          <w:tcPr>
            <w:tcW w:type="dxa" w:w="2608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color w:val="000000"/>
                <w:sz w:val="17"/>
              </w:rPr>
              <w:t>总　分</w:t>
            </w:r>
          </w:p>
        </w:tc>
        <w:tc>
          <w:tcPr>
            <w:tcW w:type="dxa" w:w="5443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color w:val="000000"/>
                <w:sz w:val="17"/>
              </w:rPr>
              <w:t>（各维度得分相加）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</w:p>
        </w:tc>
      </w:tr>
    </w:tbl>
    <w:p>
      <w:r>
        <w:br w:type="page"/>
      </w:r>
    </w:p>
    <w:p>
      <w:pPr>
        <w:spacing w:after="120"/>
        <w:jc w:val="center"/>
      </w:pPr>
      <w:r>
        <w:rPr>
          <w:rFonts w:ascii="Times New Roman" w:hAnsi="Times New Roman" w:eastAsia="黑体"/>
          <w:b/>
          <w:color w:val="000000"/>
          <w:sz w:val="32"/>
        </w:rPr>
        <w:t>《零售交易数据的用户价值与品类结构分析》</w:t>
      </w:r>
    </w:p>
    <w:p>
      <w:pPr>
        <w:spacing w:after="40"/>
        <w:jc w:val="center"/>
      </w:pPr>
      <w:r>
        <w:rPr>
          <w:rFonts w:ascii="Times New Roman" w:hAnsi="Times New Roman" w:eastAsia="宋体"/>
          <w:color w:val="000000"/>
          <w:sz w:val="21"/>
        </w:rPr>
        <w:t>秦子睿</w:t>
      </w:r>
    </w:p>
    <w:p>
      <w:pPr>
        <w:spacing w:after="280"/>
        <w:jc w:val="center"/>
      </w:pPr>
      <w:r>
        <w:rPr>
          <w:rFonts w:ascii="Times New Roman" w:hAnsi="Times New Roman" w:eastAsia="宋体"/>
          <w:color w:val="000000"/>
          <w:sz w:val="21"/>
        </w:rPr>
        <w:t>（嘉兴大学　数据科学学院）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黑体"/>
          <w:b/>
          <w:color w:val="000000"/>
          <w:sz w:val="24"/>
        </w:rPr>
        <w:t>摘要：</w:t>
      </w:r>
      <w:r>
        <w:rPr>
          <w:rFonts w:ascii="Times New Roman" w:hAnsi="Times New Roman" w:eastAsia="宋体"/>
          <w:color w:val="000000"/>
          <w:sz w:val="24"/>
        </w:rPr>
        <w:t>本文以 UCI 公开数据集 Online Retail II 为对象，经合规下载与整单 30% 抽样治理得 30.28 万行明细并构建星型模型；应用 RFM、同期群留存、帕累托 ABC、Apriori、波士顿矩阵、SARIMA、K-Means、流失预警与复购漏斗等 10 类模型，预测含 95% 置信区间并留出回测。可视化复现 25 种模板图并搭建 Pyecharts 交互大屏。研究发现英国市场占比 84.96%、22.17% 的 SKU 贡献 80% 营收；流失预警时间外 AUC 0.71—0.74，且一次性客户的流失近乎不可预测，据此提出 5 条核心建议与 1 条战略延伸。</w:t>
      </w:r>
    </w:p>
    <w:p>
      <w:pPr>
        <w:spacing w:line="360" w:lineRule="auto" w:after="280"/>
        <w:ind w:firstLine="480"/>
        <w:jc w:val="both"/>
      </w:pPr>
      <w:r>
        <w:rPr>
          <w:rFonts w:ascii="Times New Roman" w:hAnsi="Times New Roman" w:eastAsia="黑体"/>
          <w:b/>
          <w:color w:val="000000"/>
          <w:sz w:val="24"/>
        </w:rPr>
        <w:t>关键词：</w:t>
      </w:r>
      <w:r>
        <w:rPr>
          <w:rFonts w:ascii="Times New Roman" w:hAnsi="Times New Roman" w:eastAsia="宋体"/>
          <w:color w:val="000000"/>
          <w:sz w:val="24"/>
        </w:rPr>
        <w:t>商业数据分析；RFM 模型；同期群分析；关联规则；Python 可视化</w:t>
      </w:r>
    </w:p>
    <w:p>
      <w:pPr>
        <w:keepNext/>
        <w:spacing w:line="360" w:lineRule="auto" w:before="160" w:after="80"/>
        <w:outlineLvl w:val="0"/>
      </w:pPr>
      <w:r>
        <w:rPr>
          <w:rFonts w:ascii="Times New Roman" w:hAnsi="Times New Roman" w:eastAsia="黑体"/>
          <w:b/>
          <w:color w:val="000000"/>
          <w:sz w:val="28"/>
        </w:rPr>
        <w:t>1 引言</w:t>
      </w:r>
    </w:p>
    <w:p>
      <w:pPr>
        <w:keepNext/>
        <w:spacing w:line="360" w:lineRule="auto" w:before="100" w:after="80"/>
        <w:outlineLvl w:val="1"/>
      </w:pPr>
      <w:r>
        <w:rPr>
          <w:rFonts w:ascii="Times New Roman" w:hAnsi="Times New Roman" w:eastAsia="黑体"/>
          <w:b/>
          <w:color w:val="000000"/>
          <w:sz w:val="24"/>
        </w:rPr>
        <w:t>1.1 研究背景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在全球跨境电商与礼品家居零售行业，交易系统每时每刻都在产生海量的订单明细数据。这些数据天然具备「高维度、强时间依赖、长尾分布」的特征：单笔交易包含商品、数量、单价、时间戳与客户属地等多个维度，业务口径稍有不统一就会导致分析结论失真。对于以批发分销为主、兼营零售的礼品家居企业而言，管理者面对的核心问题高度一致——有限的库存资金应优先投向哪些 SKU？有限的营销预算应优先维系哪些客户？下一季的销售节奏应如何安排才能既不断货也不积压？这些问题的答案无法从单张报表中直接读出，必须依靠系统化的数据治理与商业分析模型。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传统上，这类分析多在 Excel 中手工完成。Excel 的长处在于交互灵活、上手门槛低，但其短板同样明显：百万行级明细的透视运算效率低下；RFM 分群、同期群留存、关联规则等模型需要大量辅助列与数组公式，维护成本高且难以复用；图表一旦需要批量更新，就要重复大量手工操作；更关键的是，分析过程无法通过版本管理被他人复现与验证。本次作业正是针对这些痛点，尝试用 Python 技术栈完成端到端的商业数据分析闭环。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本项目选取 UCI Machine Learning Repository 公开发布的 Online Retail II 数据集作为研究对象。该数据集源自一家英国在线礼品家居零售商的真实交易系统，覆盖 2009 年 12 月至 2011 年 12 月共 25 个月、106.7 万条明细、5.36 万张发票，涵盖 43 个国家的客户与 4,500 余种 SKU，是一份兼具时间跨度、品类广度与地理跨度的优质商业分析样本。</w:t>
      </w:r>
    </w:p>
    <w:p>
      <w:pPr>
        <w:keepNext/>
        <w:spacing w:line="360" w:lineRule="auto" w:before="100" w:after="80"/>
        <w:outlineLvl w:val="1"/>
      </w:pPr>
      <w:r>
        <w:rPr>
          <w:rFonts w:ascii="Times New Roman" w:hAnsi="Times New Roman" w:eastAsia="黑体"/>
          <w:b/>
          <w:color w:val="000000"/>
          <w:sz w:val="24"/>
        </w:rPr>
        <w:t>1.2 研究目的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本项目希望达成四个层次的目标。第一，在</w:t>
      </w:r>
      <w:r>
        <w:rPr>
          <w:rFonts w:ascii="Times New Roman" w:hAnsi="Times New Roman" w:eastAsia="宋体"/>
          <w:b/>
          <w:color w:val="000000"/>
          <w:sz w:val="24"/>
        </w:rPr>
        <w:t>数据获取层</w:t>
      </w:r>
      <w:r>
        <w:rPr>
          <w:rFonts w:ascii="Times New Roman" w:hAnsi="Times New Roman" w:eastAsia="宋体"/>
          <w:b w:val="0"/>
          <w:color w:val="000000"/>
          <w:sz w:val="24"/>
        </w:rPr>
        <w:t>严格遵循课程白名单要求，不使用任何爬虫技术，完整记录数据来源、获取日期、授权协议与抽样方法，使分析结论可被独立复核。第二，在</w:t>
      </w:r>
      <w:r>
        <w:rPr>
          <w:rFonts w:ascii="Times New Roman" w:hAnsi="Times New Roman" w:eastAsia="宋体"/>
          <w:b/>
          <w:color w:val="000000"/>
          <w:sz w:val="24"/>
        </w:rPr>
        <w:t>数据治理层</w:t>
      </w:r>
      <w:r>
        <w:rPr>
          <w:rFonts w:ascii="Times New Roman" w:hAnsi="Times New Roman" w:eastAsia="宋体"/>
          <w:b w:val="0"/>
          <w:color w:val="000000"/>
          <w:sz w:val="24"/>
        </w:rPr>
        <w:t>建立可审计的清洗流程，把原始扁平明细重构为结构规范的星型模型，让后续每一个指标都有唯一、可追溯的计算口径。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第三，在</w:t>
      </w:r>
      <w:r>
        <w:rPr>
          <w:rFonts w:ascii="Times New Roman" w:hAnsi="Times New Roman" w:eastAsia="宋体"/>
          <w:b/>
          <w:color w:val="000000"/>
          <w:sz w:val="24"/>
        </w:rPr>
        <w:t>模型应用层</w:t>
      </w:r>
      <w:r>
        <w:rPr>
          <w:rFonts w:ascii="Times New Roman" w:hAnsi="Times New Roman" w:eastAsia="宋体"/>
          <w:b w:val="0"/>
          <w:color w:val="000000"/>
          <w:sz w:val="24"/>
        </w:rPr>
        <w:t>围绕零售业务的真实决策场景，选用 10 类经典商业分析模型，不只给出计算结果，更给出每一个参数与阈值背后的业务理由，并对预测类模型完成置信区间估计与留出回测，避免「看上去很美但经不起检验」的分析。第四，在</w:t>
      </w:r>
      <w:r>
        <w:rPr>
          <w:rFonts w:ascii="Times New Roman" w:hAnsi="Times New Roman" w:eastAsia="宋体"/>
          <w:b/>
          <w:color w:val="000000"/>
          <w:sz w:val="24"/>
        </w:rPr>
        <w:t>呈现层</w:t>
      </w:r>
      <w:r>
        <w:rPr>
          <w:rFonts w:ascii="Times New Roman" w:hAnsi="Times New Roman" w:eastAsia="宋体"/>
          <w:b w:val="0"/>
          <w:color w:val="000000"/>
          <w:sz w:val="24"/>
        </w:rPr>
        <w:t>用 Python 复现《Excel 数据可视化——从图表到数据大屏》中的典型图表模板，并搭建交互式大屏，使分析结论既能以静态图入论文，也能以动态视图支撑业务探索。</w:t>
      </w:r>
    </w:p>
    <w:p>
      <w:pPr>
        <w:keepNext/>
        <w:spacing w:line="360" w:lineRule="auto" w:before="100" w:after="80"/>
        <w:outlineLvl w:val="1"/>
      </w:pPr>
      <w:r>
        <w:rPr>
          <w:rFonts w:ascii="Times New Roman" w:hAnsi="Times New Roman" w:eastAsia="黑体"/>
          <w:b/>
          <w:color w:val="000000"/>
          <w:sz w:val="24"/>
        </w:rPr>
        <w:t>1.3 研究意义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在方法论层面，本项目验证了「Python 全栈商业分析」相对传统 Excel 分析的替代价值：通过代码固化分析口径，任何人克隆仓库后执行一条命令即可复现全部图表与大屏，这在团队协作与审计场景下具有 Excel 难以比拟的优势。</w:t>
      </w:r>
    </w:p>
    <w:p>
      <w:pPr>
        <w:spacing w:line="360" w:lineRule="auto" w:after="60"/>
        <w:ind w:left="480" w:hanging="240"/>
      </w:pPr>
      <w:r>
        <w:rPr>
          <w:rFonts w:ascii="Times New Roman" w:hAnsi="Times New Roman" w:eastAsia="宋体"/>
          <w:b w:val="0"/>
          <w:color w:val="000000"/>
          <w:sz w:val="24"/>
        </w:rPr>
        <w:t>对业务：将 30 万行明细压缩为 5 条可即时执行的核心建议与 1 条战略性延伸建议，直接服务于库存、营销与客户管理决策。</w:t>
      </w:r>
    </w:p>
    <w:p>
      <w:pPr>
        <w:spacing w:line="360" w:lineRule="auto" w:after="60"/>
        <w:ind w:left="480" w:hanging="240"/>
      </w:pPr>
      <w:r>
        <w:rPr>
          <w:rFonts w:ascii="Times New Roman" w:hAnsi="Times New Roman" w:eastAsia="宋体"/>
          <w:b w:val="0"/>
          <w:color w:val="000000"/>
          <w:sz w:val="24"/>
        </w:rPr>
        <w:t>对教学：形成一套从合规取数到可视化呈现的完整教学案例，10 类模型的参数依据可供对照参考。</w:t>
      </w:r>
    </w:p>
    <w:p>
      <w:pPr>
        <w:spacing w:line="360" w:lineRule="auto" w:after="60"/>
        <w:ind w:left="480" w:hanging="240"/>
      </w:pPr>
      <w:r>
        <w:rPr>
          <w:rFonts w:ascii="Times New Roman" w:hAnsi="Times New Roman" w:eastAsia="宋体"/>
          <w:b w:val="0"/>
          <w:color w:val="000000"/>
          <w:sz w:val="24"/>
        </w:rPr>
        <w:t>对技术：沉淀了一组可复用的图表绘制工具（瀑布图、子弹图、坡度图、矩形树图等），弥补了 Matplotlib 原生不支持这些模板图型的空白。</w:t>
      </w:r>
    </w:p>
    <w:p>
      <w:pPr>
        <w:spacing w:after="0"/>
      </w:pPr>
    </w:p>
    <w:p>
      <w:pPr>
        <w:keepNext/>
        <w:spacing w:line="360" w:lineRule="auto" w:before="160" w:after="80"/>
        <w:outlineLvl w:val="0"/>
      </w:pPr>
      <w:r>
        <w:rPr>
          <w:rFonts w:ascii="Times New Roman" w:hAnsi="Times New Roman" w:eastAsia="黑体"/>
          <w:b/>
          <w:color w:val="000000"/>
          <w:sz w:val="28"/>
        </w:rPr>
        <w:t>2 数据准备与预处理</w:t>
      </w:r>
    </w:p>
    <w:p>
      <w:pPr>
        <w:keepNext/>
        <w:spacing w:line="360" w:lineRule="auto" w:before="100" w:after="80"/>
        <w:outlineLvl w:val="1"/>
      </w:pPr>
      <w:r>
        <w:rPr>
          <w:rFonts w:ascii="Times New Roman" w:hAnsi="Times New Roman" w:eastAsia="黑体"/>
          <w:b/>
          <w:color w:val="000000"/>
          <w:sz w:val="24"/>
        </w:rPr>
        <w:t>2.1 数据源介绍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 xml:space="preserve">本项目使用的数据集为 </w:t>
      </w:r>
      <w:r>
        <w:rPr>
          <w:rFonts w:ascii="Times New Roman" w:hAnsi="Times New Roman" w:eastAsia="宋体"/>
          <w:b/>
          <w:color w:val="000000"/>
          <w:sz w:val="24"/>
        </w:rPr>
        <w:t>Online Retail II</w:t>
      </w:r>
      <w:r>
        <w:rPr>
          <w:rFonts w:ascii="Times New Roman" w:hAnsi="Times New Roman" w:eastAsia="宋体"/>
          <w:b w:val="0"/>
          <w:color w:val="000000"/>
          <w:sz w:val="24"/>
        </w:rPr>
        <w:t>，由 UCI Machine Learning Repository 收录，数据集编号 #502，官方页面地址为 https://archive.ics.uci.edu/dataset/502/online+retail+ii ，数据 DOI 为 10.24432/C60H6D。数据集以单个 ZIP 压缩包形式发布，包内为 online_retail_II.xlsx 工作簿，含「Year 2009-2010」与「Year 2010-2011」两个工作表。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原始数据集共 1,067,371 行交易明细、53,628 张发票，时间跨度为 2009-12-01 至 2011-12-09，涵盖 43 个国家。字段构成与含义见表 2-1。</w:t>
      </w:r>
    </w:p>
    <w:p>
      <w:pPr>
        <w:spacing w:after="40"/>
        <w:jc w:val="center"/>
      </w:pPr>
      <w:r>
        <w:rPr>
          <w:rFonts w:ascii="Times New Roman" w:hAnsi="Times New Roman" w:eastAsia="黑体"/>
          <w:color w:val="000000"/>
          <w:sz w:val="21"/>
        </w:rPr>
        <w:t>表 2-1  原始数据集字段说明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83"/>
        <w:gridCol w:w="2183"/>
        <w:gridCol w:w="2183"/>
        <w:gridCol w:w="2183"/>
      </w:tblGrid>
      <w:tr>
        <w:tc>
          <w:tcPr>
            <w:tcW w:type="dxa" w:w="218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原始字段</w:t>
            </w:r>
          </w:p>
        </w:tc>
        <w:tc>
          <w:tcPr>
            <w:tcW w:type="dxa" w:w="218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类型</w:t>
            </w:r>
          </w:p>
        </w:tc>
        <w:tc>
          <w:tcPr>
            <w:tcW w:type="dxa" w:w="218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业务含义</w:t>
            </w:r>
          </w:p>
        </w:tc>
        <w:tc>
          <w:tcPr>
            <w:tcW w:type="dxa" w:w="218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主要数据质量问题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Invoice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字符串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发票号，以 C 开头表示取消订单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取消单需单独剥离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StockCode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字符串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商品编码，字母码为非商品费用项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含 POST/DOT/M 等非商品码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Description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字符串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商品描述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1,267 条缺失，存在首尾空格差异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Quantity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整数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销售数量，负数为退货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存在极端大额批发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InvoiceDate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日期时间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开票时间戳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两表合并后需统一格式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Price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浮点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商品单价（英镑）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存在 0 值与异常高价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Customer ID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浮点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客户编号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缺失 70,954 条（22.74%）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Country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字符串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客户所在国家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含 Unspecified 等脏值</w:t>
            </w:r>
          </w:p>
        </w:tc>
      </w:tr>
    </w:tbl>
    <w:p>
      <w:pPr>
        <w:spacing w:after="40"/>
      </w:pPr>
    </w:p>
    <w:p>
      <w:pPr>
        <w:keepNext/>
        <w:spacing w:line="360" w:lineRule="auto" w:before="100" w:after="80"/>
        <w:outlineLvl w:val="1"/>
      </w:pPr>
      <w:r>
        <w:rPr>
          <w:rFonts w:ascii="Times New Roman" w:hAnsi="Times New Roman" w:eastAsia="黑体"/>
          <w:b/>
          <w:color w:val="000000"/>
          <w:sz w:val="24"/>
        </w:rPr>
        <w:t>2.2 合规获取方式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>取数方式的清单对应关系。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本项目的取数方式属于课程附件 A 白名单的第一类——「数据源官方提供的一次性下载文件（CSV/ZIP/XLSX/JSON）」。附件 A 中「UCI / Kaggle·IBM HR」条目给出的合规渠道为 uci.ics.uci.edu（UCI Machine Learning Repository 官方站点）与 kaggle.com；本项目使用的 Online Retail II 正是同一官方渠道收录的数据集（编号 #502，DOI 10.24432/C60H6D），下载地址位于 archive.ics.uci.edu 官方域名下。此外，附件 A 末项「Google Dataset Search」明确允许「检索后跳转官方下载」的自主选题扩展方式，本项目亦符合该通道。综上，取数渠道在课程白名单之内。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 xml:space="preserve">技术实现上，scripts/01_load.py 仅使用 Python 标准库 urllib.request 对官方静态地址发起 </w:t>
      </w:r>
      <w:r>
        <w:rPr>
          <w:rFonts w:ascii="Times New Roman" w:hAnsi="Times New Roman" w:eastAsia="宋体"/>
          <w:b/>
          <w:color w:val="000000"/>
          <w:sz w:val="24"/>
        </w:rPr>
        <w:t>1 次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HTTP GET 请求下载二进制 ZIP 文件，请求头中自报身份标识（business-data-analysis-course/1.0），随后直接解压读取，全程未解析任何 HTML、未维持任何会话、未遍历任何分页。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>本项目未使用任何爬虫技术。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依赖清单 requirements.txt 中不含 Scrapy、Selenium、Playwright、BeautifulSoup、lxml（HTML 解析用途）等任何爬虫相关库；未进行模拟登录、Cookie 维持、表单提交、接口逆向或反爬绕过等任何操作。上述行为与用户在浏览器中点击官方下载链接完全等价。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本项目</w:t>
      </w:r>
      <w:r>
        <w:rPr>
          <w:rFonts w:ascii="Times New Roman" w:hAnsi="Times New Roman" w:eastAsia="宋体"/>
          <w:b/>
          <w:color w:val="000000"/>
          <w:sz w:val="24"/>
        </w:rPr>
        <w:t>未引入辅助数据源</w:t>
      </w:r>
      <w:r>
        <w:rPr>
          <w:rFonts w:ascii="Times New Roman" w:hAnsi="Times New Roman" w:eastAsia="宋体"/>
          <w:b w:val="0"/>
          <w:color w:val="000000"/>
          <w:sz w:val="24"/>
        </w:rPr>
        <w:t>，全部分析基于上述单一主数据源完成，因此不存在多源口径不一致的问题，也无需做跨源实体对齐。</w:t>
      </w:r>
    </w:p>
    <w:p>
      <w:pPr>
        <w:keepNext/>
        <w:spacing w:line="360" w:lineRule="auto" w:before="100" w:after="80"/>
        <w:outlineLvl w:val="1"/>
      </w:pPr>
      <w:r>
        <w:rPr>
          <w:rFonts w:ascii="Times New Roman" w:hAnsi="Times New Roman" w:eastAsia="黑体"/>
          <w:b/>
          <w:color w:val="000000"/>
          <w:sz w:val="24"/>
        </w:rPr>
        <w:t>2.3 数据来源合规声明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 xml:space="preserve">根据 UCI Machine Learning Repository 的收录条款，该数据集遵循 </w:t>
      </w:r>
      <w:r>
        <w:rPr>
          <w:rFonts w:ascii="Times New Roman" w:hAnsi="Times New Roman" w:eastAsia="宋体"/>
          <w:b/>
          <w:color w:val="000000"/>
          <w:sz w:val="24"/>
        </w:rPr>
        <w:t>Creative Commons Attribution 4.0 International（CC BY 4.0）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许可，允许在署名的前提下复制、再分发、转换加工并用于商业性分析。本项目已在 README、本论文参考文献以及程序级配置 config.py 的引用字段中完整履行署名义务。</w:t>
      </w:r>
    </w:p>
    <w:p>
      <w:pPr>
        <w:spacing w:after="40"/>
        <w:jc w:val="center"/>
      </w:pPr>
      <w:r>
        <w:rPr>
          <w:rFonts w:ascii="Times New Roman" w:hAnsi="Times New Roman" w:eastAsia="黑体"/>
          <w:color w:val="000000"/>
          <w:sz w:val="21"/>
        </w:rPr>
        <w:t>表 2-2  数据来源合规声明要素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66"/>
        <w:gridCol w:w="4366"/>
      </w:tblGrid>
      <w:tr>
        <w:tc>
          <w:tcPr>
            <w:tcW w:type="dxa" w:w="436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声明要素</w:t>
            </w:r>
          </w:p>
        </w:tc>
        <w:tc>
          <w:tcPr>
            <w:tcW w:type="dxa" w:w="436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内容</w:t>
            </w:r>
          </w:p>
        </w:tc>
      </w:tr>
      <w:tr>
        <w:tc>
          <w:tcPr>
            <w:tcW w:type="dxa" w:w="436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数据源名称</w:t>
            </w:r>
          </w:p>
        </w:tc>
        <w:tc>
          <w:tcPr>
            <w:tcW w:type="dxa" w:w="436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Online Retail II（UCI ML Repository #502）</w:t>
            </w:r>
          </w:p>
        </w:tc>
      </w:tr>
      <w:tr>
        <w:tc>
          <w:tcPr>
            <w:tcW w:type="dxa" w:w="436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官方 URL</w:t>
            </w:r>
          </w:p>
        </w:tc>
        <w:tc>
          <w:tcPr>
            <w:tcW w:type="dxa" w:w="436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https://archive.ics.uci.edu/dataset/502/online+retail+ii</w:t>
            </w:r>
          </w:p>
        </w:tc>
      </w:tr>
      <w:tr>
        <w:tc>
          <w:tcPr>
            <w:tcW w:type="dxa" w:w="436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获取方式</w:t>
            </w:r>
          </w:p>
        </w:tc>
        <w:tc>
          <w:tcPr>
            <w:tcW w:type="dxa" w:w="436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官方一次性下载 ZIP 文件（白名单方式，非爬虫）</w:t>
            </w:r>
          </w:p>
        </w:tc>
      </w:tr>
      <w:tr>
        <w:tc>
          <w:tcPr>
            <w:tcW w:type="dxa" w:w="436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获取日期</w:t>
            </w:r>
          </w:p>
        </w:tc>
        <w:tc>
          <w:tcPr>
            <w:tcW w:type="dxa" w:w="436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2026 年 10 月 19 日</w:t>
            </w:r>
          </w:p>
        </w:tc>
      </w:tr>
      <w:tr>
        <w:tc>
          <w:tcPr>
            <w:tcW w:type="dxa" w:w="436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SHA256 校验值</w:t>
            </w:r>
          </w:p>
        </w:tc>
        <w:tc>
          <w:tcPr>
            <w:tcW w:type="dxa" w:w="436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572e3627…0408e67bfb（见 data/raw/provenance.json）</w:t>
            </w:r>
          </w:p>
        </w:tc>
      </w:tr>
      <w:tr>
        <w:tc>
          <w:tcPr>
            <w:tcW w:type="dxa" w:w="436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授权协议</w:t>
            </w:r>
          </w:p>
        </w:tc>
        <w:tc>
          <w:tcPr>
            <w:tcW w:type="dxa" w:w="436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CC BY 4.0（署名即可自由使用与再分发）</w:t>
            </w:r>
          </w:p>
        </w:tc>
      </w:tr>
      <w:tr>
        <w:tc>
          <w:tcPr>
            <w:tcW w:type="dxa" w:w="436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原始规模</w:t>
            </w:r>
          </w:p>
        </w:tc>
        <w:tc>
          <w:tcPr>
            <w:tcW w:type="dxa" w:w="436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1,067,371 行 / 53,628 张发票 / 45.62 MB</w:t>
            </w:r>
          </w:p>
        </w:tc>
      </w:tr>
      <w:tr>
        <w:tc>
          <w:tcPr>
            <w:tcW w:type="dxa" w:w="436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抽样方法与种子</w:t>
            </w:r>
          </w:p>
        </w:tc>
        <w:tc>
          <w:tcPr>
            <w:tcW w:type="dxa" w:w="436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按发票整单随机抽样 30%，随机种子 2026</w:t>
            </w:r>
          </w:p>
        </w:tc>
      </w:tr>
    </w:tbl>
    <w:p>
      <w:pPr>
        <w:spacing w:after="40"/>
      </w:pPr>
    </w:p>
    <w:p>
      <w:pPr>
        <w:keepNext/>
        <w:spacing w:line="360" w:lineRule="auto" w:before="100" w:after="80"/>
        <w:outlineLvl w:val="1"/>
      </w:pPr>
      <w:r>
        <w:rPr>
          <w:rFonts w:ascii="Times New Roman" w:hAnsi="Times New Roman" w:eastAsia="黑体"/>
          <w:b/>
          <w:color w:val="000000"/>
          <w:sz w:val="24"/>
        </w:rPr>
        <w:t>2.4 数据集概述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源数据为典型的扁平交易明细表（宽表），每一行为一张发票中的一个商品行项。这种结构便于存储但不便于分析：国家、品类等维度属性高度重复，且缺少日期维度与订单头信息。因此在清洗阶段需要将其规范化为星型模型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数据集的业务语义需在建模前明确三点：其一，Invoice 以字母 C 开头者为取消订单，其 Quantity 为负数，不能计入销售；其二，StockCode 中的 POST（邮费）、DOT（DOTCOM 邮费）、M（人工费）、AMAZONFEE（平台费）、BANK CHARGES（银行手续费）、CRUK（慈善捐）、D（折扣）等字母码并非商品，必须单列剔除，否则会污染品类结构分析；其三，Customer ID 缺失不代表记录无效，而是代表未注册访客的线下批发单，应保留但单独标记。</w:t>
      </w:r>
    </w:p>
    <w:p>
      <w:pPr>
        <w:keepNext/>
        <w:spacing w:line="360" w:lineRule="auto" w:before="160" w:after="80"/>
        <w:outlineLvl w:val="0"/>
      </w:pPr>
      <w:r>
        <w:rPr>
          <w:rFonts w:ascii="Times New Roman" w:hAnsi="Times New Roman" w:eastAsia="黑体"/>
          <w:b/>
          <w:color w:val="000000"/>
          <w:sz w:val="28"/>
        </w:rPr>
        <w:t>3 数据清洗与治理</w:t>
      </w:r>
    </w:p>
    <w:p>
      <w:pPr>
        <w:keepNext/>
        <w:spacing w:line="360" w:lineRule="auto" w:before="100" w:after="80"/>
        <w:outlineLvl w:val="1"/>
      </w:pPr>
      <w:r>
        <w:rPr>
          <w:rFonts w:ascii="Times New Roman" w:hAnsi="Times New Roman" w:eastAsia="黑体"/>
          <w:b/>
          <w:color w:val="000000"/>
          <w:sz w:val="24"/>
        </w:rPr>
        <w:t>3.1 数据清洗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清洗环节遵循「可审计、可回溯」原则：每一条被剔除的记录都保留在旁路表中，而不是直接丢弃后无从追查。整体流程分为重复值、缺失值、异常值三步，数据行保留率为 95.9%。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>重复值处理</w:t>
      </w:r>
      <w:r>
        <w:rPr>
          <w:rFonts w:ascii="Times New Roman" w:hAnsi="Times New Roman" w:eastAsia="宋体"/>
          <w:b w:val="0"/>
          <w:color w:val="000000"/>
          <w:sz w:val="24"/>
        </w:rPr>
        <w:t>：对 Invoice、StockCode、Quantity、InvoiceDate、Price 五个关键列组合查重，共剔除 3,674 条完全重复行。此处未使用全字段查重，是因为同一发票同一商品可能因促销被拆成两行（单价不同），属于合法业务记录。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>缺失值处理</w:t>
      </w:r>
      <w:r>
        <w:rPr>
          <w:rFonts w:ascii="Times New Roman" w:hAnsi="Times New Roman" w:eastAsia="宋体"/>
          <w:b w:val="0"/>
          <w:color w:val="000000"/>
          <w:sz w:val="24"/>
        </w:rPr>
        <w:t>采用差异化策略，而非统一删除：Description 缺失 1,267 条，因商品编码 StockCode 仍有效，采用「编码 + [Unknown]」填充，保留该行销售额；Customer ID 缺失 70,954 条（占 22.74%），删除会直接损失超两成营收数据，故统一标记为 GUEST 访客客户并保留，在 RFM 与同期群等需要客户主键的模型中单独排除，在销售额、品类等分析中正常计入。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>异常值处理</w:t>
      </w:r>
      <w:r>
        <w:rPr>
          <w:rFonts w:ascii="Times New Roman" w:hAnsi="Times New Roman" w:eastAsia="宋体"/>
          <w:b w:val="0"/>
          <w:color w:val="000000"/>
          <w:sz w:val="24"/>
        </w:rPr>
        <w:t>采用四条业务规则并联过滤，合计剔除 9,262 条：</w:t>
      </w:r>
    </w:p>
    <w:p>
      <w:pPr>
        <w:spacing w:after="40"/>
        <w:jc w:val="center"/>
      </w:pPr>
      <w:r>
        <w:rPr>
          <w:rFonts w:ascii="Times New Roman" w:hAnsi="Times New Roman" w:eastAsia="黑体"/>
          <w:color w:val="000000"/>
          <w:sz w:val="21"/>
        </w:rPr>
        <w:t>表 3-1  异常值识别规则与业务依据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83"/>
        <w:gridCol w:w="2183"/>
        <w:gridCol w:w="2183"/>
        <w:gridCol w:w="2183"/>
      </w:tblGrid>
      <w:tr>
        <w:tc>
          <w:tcPr>
            <w:tcW w:type="dxa" w:w="218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规则</w:t>
            </w:r>
          </w:p>
        </w:tc>
        <w:tc>
          <w:tcPr>
            <w:tcW w:type="dxa" w:w="218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判定条件</w:t>
            </w:r>
          </w:p>
        </w:tc>
        <w:tc>
          <w:tcPr>
            <w:tcW w:type="dxa" w:w="218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命中行数</w:t>
            </w:r>
          </w:p>
        </w:tc>
        <w:tc>
          <w:tcPr>
            <w:tcW w:type="dxa" w:w="218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业务依据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R1 取消订单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Invoice 以 C 开头或 Quantity &lt; 0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6,261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取消单与退货不构成销售收入，混入会虚减客单价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R2 无效记录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Quantity ≤ 0 或 Price ≤ 0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1,690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零单价多为赠品或数据错误，不具销售意义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R3 非商品费用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StockCode ∈ {POST,DOT,M,AMAZONFEE,…}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1,311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邮费与手续费不属商品，会污染品类结构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R4 极端离群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Quantity &gt; 100,000 或 Price &gt; 10,000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含于 R2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个别批发/录入错误，会严重扭曲帕累托排序</w:t>
            </w:r>
          </w:p>
        </w:tc>
      </w:tr>
    </w:tbl>
    <w:p>
      <w:pPr>
        <w:spacing w:after="40"/>
      </w:pP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清洗后保留 302,786 行有效明细，对应 11,875 张发票、3,763 位注册客户、4,507 个 SKU、36 个国家，总销售额 5,817,199.71 英镑。</w:t>
      </w:r>
    </w:p>
    <w:p>
      <w:pPr>
        <w:keepNext/>
        <w:spacing w:line="360" w:lineRule="auto" w:before="100" w:after="80"/>
        <w:outlineLvl w:val="1"/>
      </w:pPr>
      <w:r>
        <w:rPr>
          <w:rFonts w:ascii="Times New Roman" w:hAnsi="Times New Roman" w:eastAsia="黑体"/>
          <w:b/>
          <w:color w:val="000000"/>
          <w:sz w:val="24"/>
        </w:rPr>
        <w:t>3.2 数据转换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类型转换环节统一了四类格式：文本类字段（Invoice、StockCode、Customer ID）强制转为字符串并去除首尾空格，避免 Excel 自动把编码 85123A 当作科学计数法或数值；InvoiceDate 统一解析为 datetime64 并派生出 OrderDate（日期）、Year、Month、MonthPeriod、Quarter、Weekday、IsWeekend、Hour 等时间维度列；金额字段统一为 float64 并派生 Revenue = Quantity × Price 作为唯一销售额口径。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指标派生是清洗与分析之间的桥梁。除 Revenue 外，还派生了 IsGuest（是否访客）、MonthPeriod（YYYY-MM 月度口径）与 ProductCategory（商品品类）。其中品类通过对 Description 做关键词匹配派生出 11 个业务品类 （Other Household、Kitchen &amp; Dining、Bags &amp; Storage 等），解决了原始数据缺少品类维度、无法做品类结构分析的问题。</w:t>
      </w:r>
    </w:p>
    <w:p>
      <w:pPr>
        <w:keepNext/>
        <w:spacing w:line="360" w:lineRule="auto" w:before="100" w:after="80"/>
        <w:outlineLvl w:val="1"/>
      </w:pPr>
      <w:r>
        <w:rPr>
          <w:rFonts w:ascii="Times New Roman" w:hAnsi="Times New Roman" w:eastAsia="黑体"/>
          <w:b/>
          <w:color w:val="000000"/>
          <w:sz w:val="24"/>
        </w:rPr>
        <w:t>3.3 数据整合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整合环节完成两件事：抽样固化与星型模型重构。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>抽样方法与随机种子</w:t>
      </w:r>
      <w:r>
        <w:rPr>
          <w:rFonts w:ascii="Times New Roman" w:hAnsi="Times New Roman" w:eastAsia="宋体"/>
          <w:b w:val="0"/>
          <w:color w:val="000000"/>
          <w:sz w:val="24"/>
        </w:rPr>
        <w:t>：源数据 106.7 万行、5.36 万张发票，全量参与会在购物篮编码与关联规则计算上产生巨大开销。本项目采用</w:t>
      </w:r>
      <w:r>
        <w:rPr>
          <w:rFonts w:ascii="Times New Roman" w:hAnsi="Times New Roman" w:eastAsia="宋体"/>
          <w:b/>
          <w:color w:val="000000"/>
          <w:sz w:val="24"/>
        </w:rPr>
        <w:t>按发票整单随机抽样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而非按明细行抽样，抽样比例 30%，随机种子固定为 </w:t>
      </w:r>
      <w:r>
        <w:rPr>
          <w:rFonts w:ascii="Times New Roman" w:hAnsi="Times New Roman" w:eastAsia="宋体"/>
          <w:b/>
          <w:color w:val="000000"/>
          <w:sz w:val="24"/>
        </w:rPr>
        <w:t>2026</w:t>
      </w:r>
      <w:r>
        <w:rPr>
          <w:rFonts w:ascii="Times New Roman" w:hAnsi="Times New Roman" w:eastAsia="宋体"/>
          <w:b w:val="0"/>
          <w:color w:val="000000"/>
          <w:sz w:val="24"/>
        </w:rPr>
        <w:t>（写死于 scripts/utils/config.py 的 RANDOM_SEED）。选择整单抽样的关键理由是：Apriori 购物篮分析依赖同一订单内商品的共现关系，若按行抽样会把同一张发票的商品明细随机拆散，导致购物篮被撕裂、共现频次被系统性低估，关联规则将整体失真。以订单为抽样单元可保证被选中的每张发票保留其全部明细行。最终从 53,628 张发票中抽中 16,088 张，保留 315,722 行明细（占比 29.58%），抽样清单固化于 data/raw/sampled_invoice_ids.csv 可供复核。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>星型模型重构</w:t>
      </w:r>
      <w:r>
        <w:rPr>
          <w:rFonts w:ascii="Times New Roman" w:hAnsi="Times New Roman" w:eastAsia="宋体"/>
          <w:b w:val="0"/>
          <w:color w:val="000000"/>
          <w:sz w:val="24"/>
        </w:rPr>
        <w:t>：将扁平明细规范化为 1 张事实表 + 4 张维度表，明确主外键关系（见表 3-2）。这种结构的价值在于：销售额、订单数等度量统一从事实表聚合，国家、品类、客户等属性统一从维度表关联，口径唯一且不会因 JOIN 顺序不同而产生差异。</w:t>
      </w:r>
    </w:p>
    <w:p>
      <w:pPr>
        <w:spacing w:after="40"/>
        <w:jc w:val="center"/>
      </w:pPr>
      <w:r>
        <w:rPr>
          <w:rFonts w:ascii="Times New Roman" w:hAnsi="Times New Roman" w:eastAsia="黑体"/>
          <w:color w:val="000000"/>
          <w:sz w:val="21"/>
        </w:rPr>
        <w:t>表 3-2  星型模型表结构与主外键关系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46"/>
        <w:gridCol w:w="1746"/>
        <w:gridCol w:w="1746"/>
        <w:gridCol w:w="1746"/>
        <w:gridCol w:w="1746"/>
      </w:tblGrid>
      <w:tr>
        <w:tc>
          <w:tcPr>
            <w:tcW w:type="dxa" w:w="174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表名</w:t>
            </w:r>
          </w:p>
        </w:tc>
        <w:tc>
          <w:tcPr>
            <w:tcW w:type="dxa" w:w="174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类型</w:t>
            </w:r>
          </w:p>
        </w:tc>
        <w:tc>
          <w:tcPr>
            <w:tcW w:type="dxa" w:w="174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主键</w:t>
            </w:r>
          </w:p>
        </w:tc>
        <w:tc>
          <w:tcPr>
            <w:tcW w:type="dxa" w:w="174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行数</w:t>
            </w:r>
          </w:p>
        </w:tc>
        <w:tc>
          <w:tcPr>
            <w:tcW w:type="dxa" w:w="174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说明</w:t>
            </w:r>
          </w:p>
        </w:tc>
      </w:tr>
      <w:tr>
        <w:tc>
          <w:tcPr>
            <w:tcW w:type="dxa" w:w="174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fact_order_items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事实表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Invoice+StockCode+LineNo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302,786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交易明细事实</w:t>
            </w:r>
          </w:p>
        </w:tc>
      </w:tr>
      <w:tr>
        <w:tc>
          <w:tcPr>
            <w:tcW w:type="dxa" w:w="174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dim_orders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维度表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Invoice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11,875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订单头（日期/客户/国家）</w:t>
            </w:r>
          </w:p>
        </w:tc>
      </w:tr>
      <w:tr>
        <w:tc>
          <w:tcPr>
            <w:tcW w:type="dxa" w:w="174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dim_products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维度表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StockCode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4,507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商品与派生品类</w:t>
            </w:r>
          </w:p>
        </w:tc>
      </w:tr>
      <w:tr>
        <w:tc>
          <w:tcPr>
            <w:tcW w:type="dxa" w:w="174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dim_customers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维度表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CustomerID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3,763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客户主数据（注册客户；GUEST 访客仅在事实表标记，不入客户维）</w:t>
            </w:r>
          </w:p>
        </w:tc>
      </w:tr>
      <w:tr>
        <w:tc>
          <w:tcPr>
            <w:tcW w:type="dxa" w:w="174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dim_date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维度表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DateKey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739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日期维（年/季/月/周/是否周末）</w:t>
            </w:r>
          </w:p>
        </w:tc>
      </w:tr>
    </w:tbl>
    <w:p>
      <w:pPr>
        <w:spacing w:after="40"/>
      </w:pP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整合完成后，为满足不同复用场景，数据同时导出为三种格式：CSV（5 张表，便于 Excel 直接查看）、JSON（star_schema.json 星型模式描述，便于程序交换）、SQLite（retail_clean.sqlite 单文件库，含 8 张表，便于用 SQL 验证关联关系）。</w:t>
      </w:r>
    </w:p>
    <w:p>
      <w:pPr>
        <w:keepNext/>
        <w:spacing w:line="360" w:lineRule="auto" w:before="160" w:after="80"/>
        <w:outlineLvl w:val="0"/>
      </w:pPr>
      <w:r>
        <w:rPr>
          <w:rFonts w:ascii="Times New Roman" w:hAnsi="Times New Roman" w:eastAsia="黑体"/>
          <w:b/>
          <w:color w:val="000000"/>
          <w:sz w:val="28"/>
        </w:rPr>
        <w:t>4 商业分析模型</w:t>
      </w:r>
    </w:p>
    <w:p>
      <w:pPr>
        <w:keepNext/>
        <w:spacing w:line="360" w:lineRule="auto" w:before="100" w:after="80"/>
        <w:outlineLvl w:val="1"/>
      </w:pPr>
      <w:r>
        <w:rPr>
          <w:rFonts w:ascii="Times New Roman" w:hAnsi="Times New Roman" w:eastAsia="黑体"/>
          <w:b/>
          <w:color w:val="000000"/>
          <w:sz w:val="24"/>
        </w:rPr>
        <w:t>4.1 模型选型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围绕该零售商的三个核心决策场景——「卖什么」（品类与库存）、「卖给谁」（客户运营）、「接下来会怎样」（需求预测），本项目选用 10 类模型，每类均至少产出 1 张核心分析图与 1 条商业结论。</w:t>
      </w:r>
    </w:p>
    <w:p>
      <w:pPr>
        <w:spacing w:after="40"/>
        <w:jc w:val="center"/>
      </w:pPr>
      <w:r>
        <w:rPr>
          <w:rFonts w:ascii="Times New Roman" w:hAnsi="Times New Roman" w:eastAsia="黑体"/>
          <w:color w:val="000000"/>
          <w:sz w:val="21"/>
        </w:rPr>
        <w:t>表 4-1  模型选型与业务场景对应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46"/>
        <w:gridCol w:w="1746"/>
        <w:gridCol w:w="1746"/>
        <w:gridCol w:w="1746"/>
        <w:gridCol w:w="1746"/>
      </w:tblGrid>
      <w:tr>
        <w:tc>
          <w:tcPr>
            <w:tcW w:type="dxa" w:w="174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编号</w:t>
            </w:r>
          </w:p>
        </w:tc>
        <w:tc>
          <w:tcPr>
            <w:tcW w:type="dxa" w:w="174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模型</w:t>
            </w:r>
          </w:p>
        </w:tc>
        <w:tc>
          <w:tcPr>
            <w:tcW w:type="dxa" w:w="174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类别</w:t>
            </w:r>
          </w:p>
        </w:tc>
        <w:tc>
          <w:tcPr>
            <w:tcW w:type="dxa" w:w="174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回答的业务问题</w:t>
            </w:r>
          </w:p>
        </w:tc>
        <w:tc>
          <w:tcPr>
            <w:tcW w:type="dxa" w:w="174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核心输出图</w:t>
            </w:r>
          </w:p>
        </w:tc>
      </w:tr>
      <w:tr>
        <w:tc>
          <w:tcPr>
            <w:tcW w:type="dxa" w:w="174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M1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环比/同比 + 移动平均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趋势与对比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销售是在增长还是季节性波动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fig01 / fig25</w:t>
            </w:r>
          </w:p>
        </w:tc>
      </w:tr>
      <w:tr>
        <w:tc>
          <w:tcPr>
            <w:tcW w:type="dxa" w:w="174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M2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RFM 八分类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用户与客群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哪些客户值得重点维系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fig26 / fig27</w:t>
            </w:r>
          </w:p>
        </w:tc>
      </w:tr>
      <w:tr>
        <w:tc>
          <w:tcPr>
            <w:tcW w:type="dxa" w:w="174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M3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同期群留存分析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用户与客群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新客能留存多久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fig28</w:t>
            </w:r>
          </w:p>
        </w:tc>
      </w:tr>
      <w:tr>
        <w:tc>
          <w:tcPr>
            <w:tcW w:type="dxa" w:w="174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M4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帕累托 / ABC 分类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结构与价值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库存资金应优先投给哪些 SKU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fig29</w:t>
            </w:r>
          </w:p>
        </w:tc>
      </w:tr>
      <w:tr>
        <w:tc>
          <w:tcPr>
            <w:tcW w:type="dxa" w:w="174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M5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Apriori 关联规则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关联与转化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哪些商品应该放在一起卖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fig30 / fig31</w:t>
            </w:r>
          </w:p>
        </w:tc>
      </w:tr>
      <w:tr>
        <w:tc>
          <w:tcPr>
            <w:tcW w:type="dxa" w:w="174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M6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波士顿矩阵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结构与价值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各品类应扩张还是收割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fig32</w:t>
            </w:r>
          </w:p>
        </w:tc>
      </w:tr>
      <w:tr>
        <w:tc>
          <w:tcPr>
            <w:tcW w:type="dxa" w:w="174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M7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SARIMA / Holt-Winters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预测与预警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未来 30 天能卖多少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fig33</w:t>
            </w:r>
          </w:p>
        </w:tc>
      </w:tr>
      <w:tr>
        <w:tc>
          <w:tcPr>
            <w:tcW w:type="dxa" w:w="174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M8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K-Means 用户分群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用户与客群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客群可归纳为几类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fig34</w:t>
            </w:r>
          </w:p>
        </w:tc>
      </w:tr>
      <w:tr>
        <w:tc>
          <w:tcPr>
            <w:tcW w:type="dxa" w:w="174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M9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复购漏斗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关联与转化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新客向忠诚客的转化卡在哪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fig35</w:t>
            </w:r>
          </w:p>
        </w:tc>
      </w:tr>
      <w:tr>
        <w:tc>
          <w:tcPr>
            <w:tcW w:type="dxa" w:w="174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M10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客户流失预警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预测与预警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哪些客户接下来会不再购买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fig36 / fig37</w:t>
            </w:r>
          </w:p>
        </w:tc>
      </w:tr>
    </w:tbl>
    <w:p>
      <w:pPr>
        <w:spacing w:after="40"/>
      </w:pP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>统一口径说明。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数据集末月（2011-12）仅覆盖 1—9 日，属于不完整月份，若纳入月度对比会人为造成「销售额骤降」的假象。因此全部客户级模型（M2 RFM、M3 同期群、M8 K-Means、M9 复购漏斗）与月度序列分析均以 </w:t>
      </w:r>
      <w:r>
        <w:rPr>
          <w:rFonts w:ascii="Times New Roman" w:hAnsi="Times New Roman" w:eastAsia="宋体"/>
          <w:b/>
          <w:color w:val="000000"/>
          <w:sz w:val="24"/>
        </w:rPr>
        <w:t>2011-11-30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为统一截止日，与 M7 预测模型的留出测试集切分保持一致。受此影响，纳入建模的注册客户为 3,726 位，略少于清洗后全量客户 3,763 位，差值为仅在 2011-12 产生首单的 37 位新客；论文中两处数字口径不同源，特此说明。相应地，清洗后全量营收为 5,817,199.71 英镑（含 12 月上旬 14.11 万英镑），建模基准营收（截至 2011-11-30，含 GUEST 访客单）为 5,676,066.77 英镑，商品与国家维度分析以此全量为基数；需要客户主键的模型（RFM、K-Means、流失预警）则只统计注册客户，营收基数为 495.40 万英镑，后文涉及占比处均已注明。</w:t>
      </w:r>
    </w:p>
    <w:p>
      <w:pPr>
        <w:keepNext/>
        <w:spacing w:line="360" w:lineRule="auto" w:before="100" w:after="80"/>
        <w:outlineLvl w:val="1"/>
      </w:pPr>
      <w:r>
        <w:rPr>
          <w:rFonts w:ascii="Times New Roman" w:hAnsi="Times New Roman" w:eastAsia="黑体"/>
          <w:b/>
          <w:color w:val="000000"/>
          <w:sz w:val="24"/>
        </w:rPr>
        <w:t>4.2 参数与阈值设定依据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模型参数的设定必须有业务理由，否则只是数字游戏。本节逐一说明关键参数的取值依据。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>RFM 阈值 —— 采用中位数而非均值切分。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三个指标的分布均呈现严重右偏： Monetary 的均值被少数批发大客拉高，若用均值切分，会把大量中小客户整体判为「低价值」，导致分群结果在业务上失去区分度。中位数对极值稳健，能保证高/低两组客户数量大致均衡，便于后续差异化运营。实际取值为 Recency = 203 天、Frequency = 2 次、Monetary = 488.69 英镑，三者交叉得到 2×2×2 = 8 个客群。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>同期群粒度 —— 月度。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该数据集礼品家居的消费频次天然较低，若按周划分同期群，大量周活跃客户数会落到个位数，留存率的抽样波动会被急剧放大；按季度划分又过于粗糙，无法观察首月流失的关键拐点。月度是二者之间的平衡。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>Apriori 三阈值。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最小支持度取 0.01：低于 1% 出现频率的商品组合不具备铺货与陈列的规模价值，纳入只会产生大量噪声规则；最小提升度取 1.0：提升度等于 1 表示两商品独立共现，大于 1 才说明存在正向关联，是「可以搭配卖」的必要条件；最小置信度取 0.15：作为推荐或组合陈列的命中率下限，低于此值的推荐会大量浪费曝光位。参与编码的商品取销售额 TOP 120，以控制稀疏矩阵规模。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>波士顿矩阵分界。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相对份额定义为「品类销售额 ÷ 其余品类平均销售额」，阈值取 BCG 经典分界值 1.0；市场增速用「最近 12 个月 vs 前 12 个月销售额同比增速」，阈值取整体销售额同比增速 7.62%，即以大盘增速作为市场平均增速的基准。考虑到同比只用了两个窗口的合计值、对异常月份敏感，本文另以 24 个月月度序列的对数线性趋势斜率作为</w:t>
      </w:r>
      <w:r>
        <w:rPr>
          <w:rFonts w:ascii="Times New Roman" w:hAnsi="Times New Roman" w:eastAsia="宋体"/>
          <w:b/>
          <w:color w:val="000000"/>
          <w:sz w:val="24"/>
        </w:rPr>
        <w:t>副口径</w:t>
      </w:r>
      <w:r>
        <w:rPr>
          <w:rFonts w:ascii="Times New Roman" w:hAnsi="Times New Roman" w:eastAsia="宋体"/>
          <w:b w:val="0"/>
          <w:color w:val="000000"/>
          <w:sz w:val="24"/>
        </w:rPr>
        <w:t>并行计算，两个口径的交叉验证见 §4.3.3。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>帕累托 ABC 分界 —— 80% / 95%。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ABC 分类本质是帕累托法则的量化：A 类对应累计销售额占比 0~80%（核心贡献）、B 类 80%~95%（次要贡献）、C 类 95%~100%（长尾）。选择 80/95 而非三等分，是因为商品销售额分布极度不均，三等分会把一批贡献极低的长尾商品与中等贡献商品混为一谈，失去「重点管理少数」的管理意义。实测 A 类仅占 22.17% 的 SKU 却贡献 80% 销售额，恰恰印证了在该数据集上采用累计占比分界的合理性。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>复购漏斗层级 —— 以购买次数而非金额划分。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漏斗共五级：首次购买 → 第 2 次 → 第 3 次 → 第 4 次 → 5 次及以上。用购买次数而非累计金额，是因为复购行为的核心是「关系存续」而非「单次贡献」，次数口径才能真实反映客户粘性；同时各级为包含关系（≥N 次），保证漏斗逐级收窄、转化率可解释。此外，漏斗仅统计有 CustomerID 的已识别客户，匿名订单不计入分母。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>K-Means 的预处理 —— 一个容易被忽略却决定成败的选择。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RFM 三变量均呈强右偏：Monetary 最大值 206,834 英镑，中位数仅 489 英镑，相差 423 倍。K-Means 以欧氏距离度量相似度，若不消除偏态，少数鲸鱼客户会主导距离计算、把真实的簇结构压扁。常见的 log1p + Z-score 只能削弱量纲差异，不足以纠正分布形态。本文改用</w:t>
      </w:r>
      <w:r>
        <w:rPr>
          <w:rFonts w:ascii="Times New Roman" w:hAnsi="Times New Roman" w:eastAsia="宋体"/>
          <w:b/>
          <w:color w:val="000000"/>
          <w:sz w:val="24"/>
        </w:rPr>
        <w:t>分位数变换</w:t>
      </w:r>
      <w:r>
        <w:rPr>
          <w:rFonts w:ascii="Times New Roman" w:hAnsi="Times New Roman" w:eastAsia="宋体"/>
          <w:b w:val="0"/>
          <w:color w:val="000000"/>
          <w:sz w:val="24"/>
        </w:rPr>
        <w:t>（QuantileTransformer，映射到正态分布）后，轮廓系数由 0.4271 提升至 0.7412（+0.3141），簇分离度从「勉强可辨」跃升至「结构清晰」，对比过程见 §4.3.2 表 4-4。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>K-Means 的 K 值 —— 由轮廓系数决定。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在 K = 2~6 区间全搜索，取轮廓系数最大者，结果为 K = 2（轮廓系数 0.7412），并以 Calinski-Harabasz（越大越好）与 Davies-Bouldin（越小越好）两项指标交叉验证，随机种子固定为 2026。K = 2 看似偏少，但 §4.3.2 的稳定性检验证明它并非参数没调好，而是数据本身存在一条天然断点。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>时间序列模型阶数。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零售销售存在典型的周内效应（工作日与周末差异明显），因此季节周期定为 7 天。SARIMA 取 (1,1,1)(1,0,1,7)：一阶差分消除趋势，一阶自回归与一阶移动平均捕捉短期依赖；Holt-Winters 采用加法趋势（带阻尼）+ 加法季节（周期 7）。引入阻尼项是因为无阻尼的线性趋势在长期外推时会发散，不符合销售实际。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>环比与同比口径。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环比（MoM）定义为「本月 ÷ 上月 − 1」，同比（YoY）定义为「本年本月 ÷ 去年同月 − 1」。由于数据集覆盖 2009-12 至 2011-12 共 25 个月，2009-12 与 2010 年各月无上年同月数据，同比序列从 2010-12 起算，图中对该区间留空而非补零，避免造成「零增长」的误读。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>流失预警的观测窗、表现窗与流失定义。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这是 M10 全部方法论设计的核心，也是此类模型最容易出错的地方。具体取值为：</w:t>
      </w:r>
      <w:r>
        <w:rPr>
          <w:rFonts w:ascii="Times New Roman" w:hAnsi="Times New Roman" w:eastAsia="宋体"/>
          <w:b/>
          <w:color w:val="000000"/>
          <w:sz w:val="24"/>
        </w:rPr>
        <w:t>观测窗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2009-12-01 至 2011-08-31，特征只从这一区间计算；</w:t>
      </w:r>
      <w:r>
        <w:rPr>
          <w:rFonts w:ascii="Times New Roman" w:hAnsi="Times New Roman" w:eastAsia="宋体"/>
          <w:b/>
          <w:color w:val="000000"/>
          <w:sz w:val="24"/>
        </w:rPr>
        <w:t>表现窗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2011-09-01 至 2011-11-30（3 个月），标签只从这一区间判定。两窗严格不重叠——若把表现窗内的购买记录也用于计算「距末次购买天数」等特征，模型会直接偷看到答案，得到虚高的 AUC，而这种泄漏在单次实验中毫无征兆。流失定义为「表现窗 3 个月内未发生任何购买」，取 3 个月而非 1 个月的理由是：该客户群含大量批发商，其采购周期本身可达数周至数月，1 个月窗口会把大量正常休眠客户误判为流失，标签噪声过大；9 个月窗口则使观测窗被压缩到不足 1 年，多数客户的历史长度不足以支撑特征计算。3 个月是两者之间的折中，§4.3.4 另以 1/3/6/9 个月四种窗口长度验证了结论对窗口长度不敏感。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>流失预警的特征选择。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共 14 个特征，全部由观测窗内的行为派生，分为三类：价值类（Monetary、AOV）、活跃类（Recency、Frequency、Tenure、近 90 天购买与金额占比）与广度类（SKU 数、品类数、单次购买商品种类）。未把「国家」「是否退货」之外的人口属性纳入，因为数据集中不含年龄、地域以外的人口学字段；也未纳入任何在表现窗内才能观测的量。特征同样先做 log1p + 标准化，原因与 M8 相同——RFM 类变量强右偏。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>流失预警的不平衡处理。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主样本 3,255 位客户中 74.22% 流失，属轻度不平衡（约 1:2.9）。采用 class_weight="balanced" 加权而非欠采样，理由是欠采样会丢弃多数类中占比更高的高价值客户——而挽留高价值客户恰恰是本模型的全部业务意义所在。</w:t>
      </w:r>
    </w:p>
    <w:p>
      <w:pPr>
        <w:keepNext/>
        <w:spacing w:line="360" w:lineRule="auto" w:before="100" w:after="80"/>
        <w:outlineLvl w:val="1"/>
      </w:pPr>
      <w:r>
        <w:rPr>
          <w:rFonts w:ascii="Times New Roman" w:hAnsi="Times New Roman" w:eastAsia="黑体"/>
          <w:b/>
          <w:color w:val="000000"/>
          <w:sz w:val="24"/>
        </w:rPr>
        <w:t>4.3 模型计算与验证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预测类模型（M7）的验证采用</w:t>
      </w:r>
      <w:r>
        <w:rPr>
          <w:rFonts w:ascii="Times New Roman" w:hAnsi="Times New Roman" w:eastAsia="宋体"/>
          <w:b/>
          <w:color w:val="000000"/>
          <w:sz w:val="24"/>
        </w:rPr>
        <w:t>留出回测</w:t>
      </w:r>
      <w:r>
        <w:rPr>
          <w:rFonts w:ascii="Times New Roman" w:hAnsi="Times New Roman" w:eastAsia="宋体"/>
          <w:b w:val="0"/>
          <w:color w:val="000000"/>
          <w:sz w:val="24"/>
        </w:rPr>
        <w:t>：保留最后 30 天（2011-11-01 至 2011-11-30）作为测试集，仅用此前数据训练，再将预测值与真实值比对。结果见表 4-2。</w:t>
      </w:r>
    </w:p>
    <w:p>
      <w:pPr>
        <w:spacing w:after="40"/>
        <w:jc w:val="center"/>
      </w:pPr>
      <w:r>
        <w:rPr>
          <w:rFonts w:ascii="Times New Roman" w:hAnsi="Times New Roman" w:eastAsia="黑体"/>
          <w:color w:val="000000"/>
          <w:sz w:val="21"/>
        </w:rPr>
        <w:t>表 4-2  时间序列模型回测误差对比（测试集 30 天）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46"/>
        <w:gridCol w:w="1746"/>
        <w:gridCol w:w="1746"/>
        <w:gridCol w:w="1746"/>
        <w:gridCol w:w="1746"/>
      </w:tblGrid>
      <w:tr>
        <w:tc>
          <w:tcPr>
            <w:tcW w:type="dxa" w:w="174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模型</w:t>
            </w:r>
          </w:p>
        </w:tc>
        <w:tc>
          <w:tcPr>
            <w:tcW w:type="dxa" w:w="174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模型阶数</w:t>
            </w:r>
          </w:p>
        </w:tc>
        <w:tc>
          <w:tcPr>
            <w:tcW w:type="dxa" w:w="174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MAPE(%)</w:t>
            </w:r>
          </w:p>
        </w:tc>
        <w:tc>
          <w:tcPr>
            <w:tcW w:type="dxa" w:w="174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RMSE(英镑)</w:t>
            </w:r>
          </w:p>
        </w:tc>
        <w:tc>
          <w:tcPr>
            <w:tcW w:type="dxa" w:w="174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是否选用</w:t>
            </w:r>
          </w:p>
        </w:tc>
      </w:tr>
      <w:tr>
        <w:tc>
          <w:tcPr>
            <w:tcW w:type="dxa" w:w="174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Holt-Winters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加法趋势(阻尼) + 加法季节(7)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34.70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11,169.16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✔ 选用</w:t>
            </w:r>
          </w:p>
        </w:tc>
      </w:tr>
      <w:tr>
        <w:tc>
          <w:tcPr>
            <w:tcW w:type="dxa" w:w="174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SARIMA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SARIMA(1,1,1)(1,0,1,7)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36.33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11,022.61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AIC = 13,879.53</w:t>
            </w:r>
          </w:p>
        </w:tc>
      </w:tr>
    </w:tbl>
    <w:p>
      <w:pPr>
        <w:spacing w:after="40"/>
      </w:pP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两模型的 RMSE 极为接近（SARIMA 略低 1.3%），但 Holt-Winters 的 MAPE 更低，说明其在相对误差意义上更稳，最终选为预测主模型。MAPE 约 34.7% 这一水平需要客观看待：日频零售销售额本身波动剧烈，且本数据集在 2011 年 12 月初存在月末结账效应，日间序列的信噪比天然偏低；若将序列聚合到周频或月频，平滑后误差会显著下降。这一局限已在第 7 章中如实说明，不因指标不漂亮而回避。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选出的 Holt-Winters 模型外推未来 30 天，输出</w:t>
      </w:r>
      <w:r>
        <w:rPr>
          <w:rFonts w:ascii="Times New Roman" w:hAnsi="Times New Roman" w:eastAsia="宋体"/>
          <w:b/>
          <w:color w:val="000000"/>
          <w:sz w:val="24"/>
        </w:rPr>
        <w:t>点预测 + 95% 置信区间</w:t>
      </w:r>
      <w:r>
        <w:rPr>
          <w:rFonts w:ascii="Times New Roman" w:hAnsi="Times New Roman" w:eastAsia="宋体"/>
          <w:b w:val="0"/>
          <w:color w:val="000000"/>
          <w:sz w:val="24"/>
        </w:rPr>
        <w:t>（区间下界按 0 截断，因销售额非负）。图 5-6 同时展示了历史序列、回测区间与未来预测带，可以直观看到预测带随时间推移逐步变宽，符合不确定性累积的统计直觉。</w:t>
      </w:r>
    </w:p>
    <w:p>
      <w:pPr>
        <w:keepNext/>
        <w:spacing w:line="360" w:lineRule="auto" w:before="100" w:after="80"/>
        <w:outlineLvl w:val="2"/>
      </w:pPr>
      <w:r>
        <w:rPr>
          <w:rFonts w:ascii="Times New Roman" w:hAnsi="Times New Roman" w:eastAsia="黑体"/>
          <w:b/>
          <w:color w:val="000000"/>
          <w:sz w:val="24"/>
        </w:rPr>
        <w:t>4.3.1 稳健性检验：RFM 切分方式是否影响结论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参数敏感性是模型可信度的关键。既然 §4.2 以「分布右偏」为由选择中位数切分，就必须回答一个反事实问题：若换成别的主流切分方式，「少数高价值客户贡献大部分营收」这一核心结论还成立吗？本节以 RFM 为例做稳健性检验，对比中位数、均值与 60 分位三种切分，结果见表 4-3（由 scripts/03_analysis.py 自动计算并随流水线重跑，结果表：outputs/tables/03_rfm_threshold_sensitivity.csv）。</w:t>
      </w:r>
    </w:p>
    <w:p>
      <w:pPr>
        <w:spacing w:after="40"/>
        <w:jc w:val="center"/>
      </w:pPr>
      <w:r>
        <w:rPr>
          <w:rFonts w:ascii="Times New Roman" w:hAnsi="Times New Roman" w:eastAsia="黑体"/>
          <w:color w:val="000000"/>
          <w:sz w:val="21"/>
        </w:rPr>
        <w:t>表 4-3  RFM 切分方式稳健性检验（三种阈值方案对比）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46"/>
        <w:gridCol w:w="1746"/>
        <w:gridCol w:w="1746"/>
        <w:gridCol w:w="1746"/>
        <w:gridCol w:w="1746"/>
      </w:tblGrid>
      <w:tr>
        <w:tc>
          <w:tcPr>
            <w:tcW w:type="dxa" w:w="174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切分方式</w:t>
            </w:r>
          </w:p>
        </w:tc>
        <w:tc>
          <w:tcPr>
            <w:tcW w:type="dxa" w:w="174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阈值 R/F/M</w:t>
            </w:r>
          </w:p>
        </w:tc>
        <w:tc>
          <w:tcPr>
            <w:tcW w:type="dxa" w:w="174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核心高价值客户数</w:t>
            </w:r>
          </w:p>
        </w:tc>
        <w:tc>
          <w:tcPr>
            <w:tcW w:type="dxa" w:w="174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人数占比(%)</w:t>
            </w:r>
          </w:p>
        </w:tc>
        <w:tc>
          <w:tcPr>
            <w:tcW w:type="dxa" w:w="174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营收占比(%)</w:t>
            </w:r>
          </w:p>
        </w:tc>
      </w:tr>
      <w:tr>
        <w:tc>
          <w:tcPr>
            <w:tcW w:type="dxa" w:w="174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中位数（本文采用）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203 天 / 2.00 次 / £488.69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1,069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28.69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69.99</w:t>
            </w:r>
          </w:p>
        </w:tc>
      </w:tr>
      <w:tr>
        <w:tc>
          <w:tcPr>
            <w:tcW w:type="dxa" w:w="174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均值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249 天 / 2.89 次 / £1,329.56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572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15.35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61.43</w:t>
            </w:r>
          </w:p>
        </w:tc>
      </w:tr>
      <w:tr>
        <w:tc>
          <w:tcPr>
            <w:tcW w:type="dxa" w:w="174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60 分位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126 天 / 2.00 次 / £671.73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784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21.04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62.84</w:t>
            </w:r>
          </w:p>
        </w:tc>
      </w:tr>
    </w:tbl>
    <w:p>
      <w:pPr>
        <w:spacing w:after="40"/>
      </w:pP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三种方案下的核心客群规模在 572—1,069 人之间变动，营收占比在 61.43%—69.99% 之间变动，</w:t>
      </w:r>
      <w:r>
        <w:rPr>
          <w:rFonts w:ascii="Times New Roman" w:hAnsi="Times New Roman" w:eastAsia="宋体"/>
          <w:b/>
          <w:color w:val="000000"/>
          <w:sz w:val="24"/>
        </w:rPr>
        <w:t>结论的方向始终一致</w:t>
      </w:r>
      <w:r>
        <w:rPr>
          <w:rFonts w:ascii="Times New Roman" w:hAnsi="Times New Roman" w:eastAsia="宋体"/>
          <w:b w:val="0"/>
          <w:color w:val="000000"/>
          <w:sz w:val="24"/>
        </w:rPr>
        <w:t>：不足三成的客户贡献了六成以上的营收，客户价值高度集中这一结构性判断并不依赖于特定的阈值选择，因而可以放心用于商业决策。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同时也应看到差异本身的信息量：均值切分下核心客群骤降至 572 人（15.35%），正是因为 Monetary 均值（£1,329.56）被少数批发大客拉高到中位数（£488.69）的 2.7 倍，大量中等消费客户被误判为「低价值」。这恰恰反向印证了 §4.2 选择中位数的理由——若采用均值，运营上会白白损失约 500 人的可运营高潜客群。本文在正文结论中采用中位数方案，但同时报告敏感性区间，以避免读者把单一阈值下的点估计当作精确事实。</w:t>
      </w:r>
    </w:p>
    <w:p>
      <w:pPr>
        <w:keepNext/>
        <w:spacing w:line="360" w:lineRule="auto" w:before="100" w:after="80"/>
        <w:outlineLvl w:val="2"/>
      </w:pPr>
      <w:r>
        <w:rPr>
          <w:rFonts w:ascii="Times New Roman" w:hAnsi="Times New Roman" w:eastAsia="黑体"/>
          <w:b/>
          <w:color w:val="000000"/>
          <w:sz w:val="24"/>
        </w:rPr>
        <w:t>4.3.2 稳健性检验：K = 2 是数据本身的断点，而非参数没调好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K-Means 最终只分出两个簇，容易被质疑「分得太粗、洞察不足」。本节用三组独立证据说明：K = 2 是数据结构给出的答案，不是调参偷懒的结果。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>证据一：预处理方式的影响（表 4-4）。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同一份 R/F/M 数据、同一个 K = 2、同一随机种子，仅改变特征预处理方式，轮廓系数就从 0.4271 变为 0.7412。这说明此前的低分并非「客户本就分不开」，而是未纠正偏态导致簇结构被极端值压扁。</w:t>
      </w:r>
    </w:p>
    <w:p>
      <w:pPr>
        <w:spacing w:after="40"/>
        <w:jc w:val="center"/>
      </w:pPr>
      <w:r>
        <w:rPr>
          <w:rFonts w:ascii="Times New Roman" w:hAnsi="Times New Roman" w:eastAsia="黑体"/>
          <w:color w:val="000000"/>
          <w:sz w:val="21"/>
        </w:rPr>
        <w:t>表 4-4  特征预处理方式对簇分离度的影响（K=2，同一随机种子）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83"/>
        <w:gridCol w:w="2183"/>
        <w:gridCol w:w="2183"/>
        <w:gridCol w:w="2183"/>
      </w:tblGrid>
      <w:tr>
        <w:tc>
          <w:tcPr>
            <w:tcW w:type="dxa" w:w="218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预处理方式</w:t>
            </w:r>
          </w:p>
        </w:tc>
        <w:tc>
          <w:tcPr>
            <w:tcW w:type="dxa" w:w="218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对偏态的处理</w:t>
            </w:r>
          </w:p>
        </w:tc>
        <w:tc>
          <w:tcPr>
            <w:tcW w:type="dxa" w:w="218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轮廓系数</w:t>
            </w:r>
          </w:p>
        </w:tc>
        <w:tc>
          <w:tcPr>
            <w:tcW w:type="dxa" w:w="218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结论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log1p + Z-score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仅压缩量级，分布形态仍右偏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0.4271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簇分离勉强，不采用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99% 缩尾 + log1p + Z-score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截断极值，中段分布仍偏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0.4269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几乎无改善，不采用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分位数变换 → 正态分布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整体映射为正态，彻底消除偏态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0.7412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结构清晰，本文采用</w:t>
            </w:r>
          </w:p>
        </w:tc>
      </w:tr>
    </w:tbl>
    <w:p>
      <w:pPr>
        <w:spacing w:after="40"/>
      </w:pP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>证据二：特征集与算法的消融对比（表 4-5）。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直觉上「多加几个特征应该分得更好」，实测结论相反：追加客单价（AOV）后轮廓系数降至 0.6808——因为 AOV 本就是 Monetary 除以 Frequency，与既有两维高度共线，等于给同一信息加了重复权重；再追加客户生命周期（Tenure）后进一步降至 0.6364，该变量刻画的是「入会多久」而非「价值高低」，引入的是噪声。换用 Ward 层次聚类或高斯混合模型，在 K = 2 时三种算法给出</w:t>
      </w:r>
      <w:r>
        <w:rPr>
          <w:rFonts w:ascii="Times New Roman" w:hAnsi="Times New Roman" w:eastAsia="宋体"/>
          <w:b/>
          <w:color w:val="000000"/>
          <w:sz w:val="24"/>
        </w:rPr>
        <w:t>完全相同</w:t>
      </w:r>
      <w:r>
        <w:rPr>
          <w:rFonts w:ascii="Times New Roman" w:hAnsi="Times New Roman" w:eastAsia="宋体"/>
          <w:b w:val="0"/>
          <w:color w:val="000000"/>
          <w:sz w:val="24"/>
        </w:rPr>
        <w:t>的划分，说明该解与算法无关；而在 K ≥ 3 时三种算法开始出现分歧（如 K = 3：K-Means 0.5261、Ward 0.5510、GMM 0.5480），说明更大的 K 切出的是算法特定的划分，而非数据中稳定存在的结构。因此最终采用 R/F/M 三维 + K-Means + K = 2。</w:t>
      </w:r>
    </w:p>
    <w:p>
      <w:pPr>
        <w:spacing w:after="40"/>
        <w:jc w:val="center"/>
      </w:pPr>
      <w:r>
        <w:rPr>
          <w:rFonts w:ascii="Times New Roman" w:hAnsi="Times New Roman" w:eastAsia="黑体"/>
          <w:color w:val="000000"/>
          <w:sz w:val="21"/>
        </w:rPr>
        <w:t>表 4-5  特征集 × 算法选型对比（K=2，轮廓系数）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46"/>
        <w:gridCol w:w="1746"/>
        <w:gridCol w:w="1746"/>
        <w:gridCol w:w="1746"/>
        <w:gridCol w:w="1746"/>
      </w:tblGrid>
      <w:tr>
        <w:tc>
          <w:tcPr>
            <w:tcW w:type="dxa" w:w="174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特征集</w:t>
            </w:r>
          </w:p>
        </w:tc>
        <w:tc>
          <w:tcPr>
            <w:tcW w:type="dxa" w:w="174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K-Means</w:t>
            </w:r>
          </w:p>
        </w:tc>
        <w:tc>
          <w:tcPr>
            <w:tcW w:type="dxa" w:w="174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Ward 层次聚类</w:t>
            </w:r>
          </w:p>
        </w:tc>
        <w:tc>
          <w:tcPr>
            <w:tcW w:type="dxa" w:w="174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高斯混合 GMM</w:t>
            </w:r>
          </w:p>
        </w:tc>
        <w:tc>
          <w:tcPr>
            <w:tcW w:type="dxa" w:w="174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最小簇规模</w:t>
            </w:r>
          </w:p>
        </w:tc>
      </w:tr>
      <w:tr>
        <w:tc>
          <w:tcPr>
            <w:tcW w:type="dxa" w:w="174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A：R/F/M 三维（采用）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0.7412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0.7412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0.7412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1,761</w:t>
            </w:r>
          </w:p>
        </w:tc>
      </w:tr>
      <w:tr>
        <w:tc>
          <w:tcPr>
            <w:tcW w:type="dxa" w:w="174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B：A + 客单价 AOV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0.6808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0.6808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0.6808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1,761</w:t>
            </w:r>
          </w:p>
        </w:tc>
      </w:tr>
      <w:tr>
        <w:tc>
          <w:tcPr>
            <w:tcW w:type="dxa" w:w="174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C：B + 生命周期 Tenure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0.6364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0.6364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0.6364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1,761</w:t>
            </w:r>
          </w:p>
        </w:tc>
      </w:tr>
    </w:tbl>
    <w:p>
      <w:pPr>
        <w:spacing w:after="40"/>
      </w:pP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>证据三：簇划分的样本稳定性（表 4-6）。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对 3,726 名客户做有放回重采样 100 次，每次重新聚类，用调整兰德指数（ARI，取值 −1~1，1 表示两次划分完全相同）衡量重采样结果与全量结果的一致程度。K = 2 时 ARI 均值达到 </w:t>
      </w:r>
      <w:r>
        <w:rPr>
          <w:rFonts w:ascii="Times New Roman" w:hAnsi="Times New Roman" w:eastAsia="宋体"/>
          <w:b/>
          <w:color w:val="000000"/>
          <w:sz w:val="24"/>
        </w:rPr>
        <w:t>1.0000</w:t>
      </w:r>
      <w:r>
        <w:rPr>
          <w:rFonts w:ascii="Times New Roman" w:hAnsi="Times New Roman" w:eastAsia="宋体"/>
          <w:b w:val="0"/>
          <w:color w:val="000000"/>
          <w:sz w:val="24"/>
        </w:rPr>
        <w:t>，即无论怎么扰动样本，划分结果纹丝不动；而 K 增大后稳定性单调下降，K = 6 时仅 0.7770。这既证明 K = 2 的解极其稳定，也说明更大的 K 是在噪声上强行切分。</w:t>
      </w:r>
    </w:p>
    <w:p>
      <w:pPr>
        <w:spacing w:after="40"/>
        <w:jc w:val="center"/>
      </w:pPr>
      <w:r>
        <w:rPr>
          <w:rFonts w:ascii="Times New Roman" w:hAnsi="Times New Roman" w:eastAsia="黑体"/>
          <w:color w:val="000000"/>
          <w:sz w:val="21"/>
        </w:rPr>
        <w:t>表 4-6  聚类结果的 bootstrap 稳定性（重采样 100 次，ARI）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55"/>
        <w:gridCol w:w="1455"/>
        <w:gridCol w:w="1455"/>
        <w:gridCol w:w="1455"/>
        <w:gridCol w:w="1455"/>
        <w:gridCol w:w="1455"/>
      </w:tblGrid>
      <w:tr>
        <w:tc>
          <w:tcPr>
            <w:tcW w:type="dxa" w:w="1455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K</w:t>
            </w:r>
          </w:p>
        </w:tc>
        <w:tc>
          <w:tcPr>
            <w:tcW w:type="dxa" w:w="1455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ARI 均值</w:t>
            </w:r>
          </w:p>
        </w:tc>
        <w:tc>
          <w:tcPr>
            <w:tcW w:type="dxa" w:w="1455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ARI 中位数</w:t>
            </w:r>
          </w:p>
        </w:tc>
        <w:tc>
          <w:tcPr>
            <w:tcW w:type="dxa" w:w="1455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5% 分位</w:t>
            </w:r>
          </w:p>
        </w:tc>
        <w:tc>
          <w:tcPr>
            <w:tcW w:type="dxa" w:w="1455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95% 分位</w:t>
            </w:r>
          </w:p>
        </w:tc>
        <w:tc>
          <w:tcPr>
            <w:tcW w:type="dxa" w:w="1455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最小值</w:t>
            </w:r>
          </w:p>
        </w:tc>
      </w:tr>
      <w:tr>
        <w:tc>
          <w:tcPr>
            <w:tcW w:type="dxa" w:w="1455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2（采用）</w:t>
            </w:r>
          </w:p>
        </w:tc>
        <w:tc>
          <w:tcPr>
            <w:tcW w:type="dxa" w:w="1455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1.0000</w:t>
            </w:r>
          </w:p>
        </w:tc>
        <w:tc>
          <w:tcPr>
            <w:tcW w:type="dxa" w:w="1455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1.0000</w:t>
            </w:r>
          </w:p>
        </w:tc>
        <w:tc>
          <w:tcPr>
            <w:tcW w:type="dxa" w:w="1455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1.0000</w:t>
            </w:r>
          </w:p>
        </w:tc>
        <w:tc>
          <w:tcPr>
            <w:tcW w:type="dxa" w:w="1455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1.0000</w:t>
            </w:r>
          </w:p>
        </w:tc>
        <w:tc>
          <w:tcPr>
            <w:tcW w:type="dxa" w:w="1455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1.0000</w:t>
            </w:r>
          </w:p>
        </w:tc>
      </w:tr>
      <w:tr>
        <w:tc>
          <w:tcPr>
            <w:tcW w:type="dxa" w:w="1455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3</w:t>
            </w:r>
          </w:p>
        </w:tc>
        <w:tc>
          <w:tcPr>
            <w:tcW w:type="dxa" w:w="1455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0.9748</w:t>
            </w:r>
          </w:p>
        </w:tc>
        <w:tc>
          <w:tcPr>
            <w:tcW w:type="dxa" w:w="1455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0.9790</w:t>
            </w:r>
          </w:p>
        </w:tc>
        <w:tc>
          <w:tcPr>
            <w:tcW w:type="dxa" w:w="1455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0.9383</w:t>
            </w:r>
          </w:p>
        </w:tc>
        <w:tc>
          <w:tcPr>
            <w:tcW w:type="dxa" w:w="1455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0.9953</w:t>
            </w:r>
          </w:p>
        </w:tc>
        <w:tc>
          <w:tcPr>
            <w:tcW w:type="dxa" w:w="1455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0.8872</w:t>
            </w:r>
          </w:p>
        </w:tc>
      </w:tr>
      <w:tr>
        <w:tc>
          <w:tcPr>
            <w:tcW w:type="dxa" w:w="1455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4</w:t>
            </w:r>
          </w:p>
        </w:tc>
        <w:tc>
          <w:tcPr>
            <w:tcW w:type="dxa" w:w="1455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0.9552</w:t>
            </w:r>
          </w:p>
        </w:tc>
        <w:tc>
          <w:tcPr>
            <w:tcW w:type="dxa" w:w="1455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0.9619</w:t>
            </w:r>
          </w:p>
        </w:tc>
        <w:tc>
          <w:tcPr>
            <w:tcW w:type="dxa" w:w="1455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0.9127</w:t>
            </w:r>
          </w:p>
        </w:tc>
        <w:tc>
          <w:tcPr>
            <w:tcW w:type="dxa" w:w="1455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0.9822</w:t>
            </w:r>
          </w:p>
        </w:tc>
        <w:tc>
          <w:tcPr>
            <w:tcW w:type="dxa" w:w="1455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0.9058</w:t>
            </w:r>
          </w:p>
        </w:tc>
      </w:tr>
      <w:tr>
        <w:tc>
          <w:tcPr>
            <w:tcW w:type="dxa" w:w="1455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5</w:t>
            </w:r>
          </w:p>
        </w:tc>
        <w:tc>
          <w:tcPr>
            <w:tcW w:type="dxa" w:w="1455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0.9337</w:t>
            </w:r>
          </w:p>
        </w:tc>
        <w:tc>
          <w:tcPr>
            <w:tcW w:type="dxa" w:w="1455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0.9395</w:t>
            </w:r>
          </w:p>
        </w:tc>
        <w:tc>
          <w:tcPr>
            <w:tcW w:type="dxa" w:w="1455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0.8783</w:t>
            </w:r>
          </w:p>
        </w:tc>
        <w:tc>
          <w:tcPr>
            <w:tcW w:type="dxa" w:w="1455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0.9779</w:t>
            </w:r>
          </w:p>
        </w:tc>
        <w:tc>
          <w:tcPr>
            <w:tcW w:type="dxa" w:w="1455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0.7936</w:t>
            </w:r>
          </w:p>
        </w:tc>
      </w:tr>
      <w:tr>
        <w:tc>
          <w:tcPr>
            <w:tcW w:type="dxa" w:w="1455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6</w:t>
            </w:r>
          </w:p>
        </w:tc>
        <w:tc>
          <w:tcPr>
            <w:tcW w:type="dxa" w:w="1455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0.7770</w:t>
            </w:r>
          </w:p>
        </w:tc>
        <w:tc>
          <w:tcPr>
            <w:tcW w:type="dxa" w:w="1455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0.7444</w:t>
            </w:r>
          </w:p>
        </w:tc>
        <w:tc>
          <w:tcPr>
            <w:tcW w:type="dxa" w:w="1455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0.6451</w:t>
            </w:r>
          </w:p>
        </w:tc>
        <w:tc>
          <w:tcPr>
            <w:tcW w:type="dxa" w:w="1455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0.9473</w:t>
            </w:r>
          </w:p>
        </w:tc>
        <w:tc>
          <w:tcPr>
            <w:tcW w:type="dxa" w:w="1455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0.5386</w:t>
            </w:r>
          </w:p>
        </w:tc>
      </w:tr>
    </w:tbl>
    <w:p>
      <w:pPr>
        <w:spacing w:after="40"/>
      </w:pP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>最有力的一条证据：两个独立模型的结论完全重合。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把聚类结果与客户购买次数对照，出现了一个并非设计出来的结果：「高价值忠诚群」1,965 人中，购买次数 ≥ 2 的比例为 </w:t>
      </w:r>
      <w:r>
        <w:rPr>
          <w:rFonts w:ascii="Times New Roman" w:hAnsi="Times New Roman" w:eastAsia="宋体"/>
          <w:b/>
          <w:color w:val="000000"/>
          <w:sz w:val="24"/>
        </w:rPr>
        <w:t>100.00%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；「沉睡流失群」1,761 人中，购买次数恰好为 1 的比例亦为 </w:t>
      </w:r>
      <w:r>
        <w:rPr>
          <w:rFonts w:ascii="Times New Roman" w:hAnsi="Times New Roman" w:eastAsia="宋体"/>
          <w:b/>
          <w:color w:val="000000"/>
          <w:sz w:val="24"/>
        </w:rPr>
        <w:t>100.00%</w:t>
      </w:r>
      <w:r>
        <w:rPr>
          <w:rFonts w:ascii="Times New Roman" w:hAnsi="Times New Roman" w:eastAsia="宋体"/>
          <w:b w:val="0"/>
          <w:color w:val="000000"/>
          <w:sz w:val="24"/>
        </w:rPr>
        <w:t>。换言之，K-Means 在无任何业务先验的条件下自动切出的分界线，精确地落在「是否完成第 2 次购买」上；而 1,965 ÷ 3,726 = 52.74%，与 §5.4 复购漏斗独立算出的复购率 52.74% 完全相等。两条完全独立的技术路径给出同一个数字，这比任何单一模型的内部指标都更能说明：</w:t>
      </w:r>
      <w:r>
        <w:rPr>
          <w:rFonts w:ascii="Times New Roman" w:hAnsi="Times New Roman" w:eastAsia="宋体"/>
          <w:b/>
          <w:color w:val="000000"/>
          <w:sz w:val="24"/>
        </w:rPr>
        <w:t>该客户群最本质的分野就是「首购即流失」与「完成复购」，数据里确实只存在一条清晰的断点。</w:t>
      </w:r>
    </w:p>
    <w:p>
      <w:pPr>
        <w:keepNext/>
        <w:spacing w:line="360" w:lineRule="auto" w:before="100" w:after="80"/>
        <w:outlineLvl w:val="2"/>
      </w:pPr>
      <w:r>
        <w:rPr>
          <w:rFonts w:ascii="Times New Roman" w:hAnsi="Times New Roman" w:eastAsia="黑体"/>
          <w:b/>
          <w:color w:val="000000"/>
          <w:sz w:val="24"/>
        </w:rPr>
        <w:t>4.3.3 稳健性检验：波士顿矩阵的增速口径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波士顿矩阵的纵轴直接决定品类落在「明星」还是「金牛」，而本文的增速只由两个 12 个月窗口的合计值算出——只要其中一个窗口里有异常月份，象限归属就会翻转。为此并行计算第二个口径：对 24 个月月度销售额取对数后拟合线性趋势 log(Revenue) = a + b·t，以斜率 b 折算年化增速。该口径利用了全部 24 个观测点而非两个合计值，对单月波动不敏感，且附带可检验的显著性（t 检验）。结果见表 4-7（结果表：outputs/tables/03_bcg_growth_robustness.csv）。</w:t>
      </w:r>
    </w:p>
    <w:p>
      <w:pPr>
        <w:spacing w:after="40"/>
        <w:jc w:val="center"/>
      </w:pPr>
      <w:r>
        <w:rPr>
          <w:rFonts w:ascii="Times New Roman" w:hAnsi="Times New Roman" w:eastAsia="黑体"/>
          <w:color w:val="000000"/>
          <w:sz w:val="21"/>
        </w:rPr>
        <w:t>表 4-7  品类增速双口径对比（YoY 同比 vs 对数趋势年化，按 YoY 降序）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47"/>
        <w:gridCol w:w="1247"/>
        <w:gridCol w:w="1247"/>
        <w:gridCol w:w="1247"/>
        <w:gridCol w:w="1247"/>
        <w:gridCol w:w="1247"/>
        <w:gridCol w:w="1247"/>
      </w:tblGrid>
      <w:tr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品类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YoY(%)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趋势年化(%)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差值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趋势 R²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t 值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象限是否一致</w:t>
            </w:r>
          </w:p>
        </w:tc>
      </w:tr>
      <w:tr>
        <w:tc>
          <w:tcPr>
            <w:tcW w:type="dxa" w:w="1247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Party &amp; Occasion</w:t>
            </w:r>
          </w:p>
        </w:tc>
        <w:tc>
          <w:tcPr>
            <w:tcW w:type="dxa" w:w="1247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50.52</w:t>
            </w:r>
          </w:p>
        </w:tc>
        <w:tc>
          <w:tcPr>
            <w:tcW w:type="dxa" w:w="1247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57.77</w:t>
            </w:r>
          </w:p>
        </w:tc>
        <w:tc>
          <w:tcPr>
            <w:tcW w:type="dxa" w:w="1247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+7.25</w:t>
            </w:r>
          </w:p>
        </w:tc>
        <w:tc>
          <w:tcPr>
            <w:tcW w:type="dxa" w:w="1247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0.370</w:t>
            </w:r>
          </w:p>
        </w:tc>
        <w:tc>
          <w:tcPr>
            <w:tcW w:type="dxa" w:w="1247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3.60</w:t>
            </w:r>
          </w:p>
        </w:tc>
        <w:tc>
          <w:tcPr>
            <w:tcW w:type="dxa" w:w="1247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一致</w:t>
            </w:r>
          </w:p>
        </w:tc>
      </w:tr>
      <w:tr>
        <w:tc>
          <w:tcPr>
            <w:tcW w:type="dxa" w:w="1247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Christmas &amp; Seasonal</w:t>
            </w:r>
          </w:p>
        </w:tc>
        <w:tc>
          <w:tcPr>
            <w:tcW w:type="dxa" w:w="1247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40.61</w:t>
            </w:r>
          </w:p>
        </w:tc>
        <w:tc>
          <w:tcPr>
            <w:tcW w:type="dxa" w:w="1247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155.26</w:t>
            </w:r>
          </w:p>
        </w:tc>
        <w:tc>
          <w:tcPr>
            <w:tcW w:type="dxa" w:w="1247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+114.65</w:t>
            </w:r>
          </w:p>
        </w:tc>
        <w:tc>
          <w:tcPr>
            <w:tcW w:type="dxa" w:w="1247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0.131</w:t>
            </w:r>
          </w:p>
        </w:tc>
        <w:tc>
          <w:tcPr>
            <w:tcW w:type="dxa" w:w="1247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1.82</w:t>
            </w:r>
          </w:p>
        </w:tc>
        <w:tc>
          <w:tcPr>
            <w:tcW w:type="dxa" w:w="1247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一致</w:t>
            </w:r>
          </w:p>
        </w:tc>
      </w:tr>
      <w:tr>
        <w:tc>
          <w:tcPr>
            <w:tcW w:type="dxa" w:w="1247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Bags &amp; Storage</w:t>
            </w:r>
          </w:p>
        </w:tc>
        <w:tc>
          <w:tcPr>
            <w:tcW w:type="dxa" w:w="1247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26.53</w:t>
            </w:r>
          </w:p>
        </w:tc>
        <w:tc>
          <w:tcPr>
            <w:tcW w:type="dxa" w:w="1247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37.53</w:t>
            </w:r>
          </w:p>
        </w:tc>
        <w:tc>
          <w:tcPr>
            <w:tcW w:type="dxa" w:w="1247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+11.00</w:t>
            </w:r>
          </w:p>
        </w:tc>
        <w:tc>
          <w:tcPr>
            <w:tcW w:type="dxa" w:w="1247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0.348</w:t>
            </w:r>
          </w:p>
        </w:tc>
        <w:tc>
          <w:tcPr>
            <w:tcW w:type="dxa" w:w="1247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3.42</w:t>
            </w:r>
          </w:p>
        </w:tc>
        <w:tc>
          <w:tcPr>
            <w:tcW w:type="dxa" w:w="1247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一致</w:t>
            </w:r>
          </w:p>
        </w:tc>
      </w:tr>
      <w:tr>
        <w:tc>
          <w:tcPr>
            <w:tcW w:type="dxa" w:w="1247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Toys &amp; Games</w:t>
            </w:r>
          </w:p>
        </w:tc>
        <w:tc>
          <w:tcPr>
            <w:tcW w:type="dxa" w:w="1247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17.57</w:t>
            </w:r>
          </w:p>
        </w:tc>
        <w:tc>
          <w:tcPr>
            <w:tcW w:type="dxa" w:w="1247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36.34</w:t>
            </w:r>
          </w:p>
        </w:tc>
        <w:tc>
          <w:tcPr>
            <w:tcW w:type="dxa" w:w="1247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+18.77</w:t>
            </w:r>
          </w:p>
        </w:tc>
        <w:tc>
          <w:tcPr>
            <w:tcW w:type="dxa" w:w="1247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0.150</w:t>
            </w:r>
          </w:p>
        </w:tc>
        <w:tc>
          <w:tcPr>
            <w:tcW w:type="dxa" w:w="1247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1.97</w:t>
            </w:r>
          </w:p>
        </w:tc>
        <w:tc>
          <w:tcPr>
            <w:tcW w:type="dxa" w:w="1247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一致</w:t>
            </w:r>
          </w:p>
        </w:tc>
      </w:tr>
      <w:tr>
        <w:tc>
          <w:tcPr>
            <w:tcW w:type="dxa" w:w="1247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Home Decor &amp; Lighting</w:t>
            </w:r>
          </w:p>
        </w:tc>
        <w:tc>
          <w:tcPr>
            <w:tcW w:type="dxa" w:w="1247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9.57</w:t>
            </w:r>
          </w:p>
        </w:tc>
        <w:tc>
          <w:tcPr>
            <w:tcW w:type="dxa" w:w="1247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16.71</w:t>
            </w:r>
          </w:p>
        </w:tc>
        <w:tc>
          <w:tcPr>
            <w:tcW w:type="dxa" w:w="1247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+7.14</w:t>
            </w:r>
          </w:p>
        </w:tc>
        <w:tc>
          <w:tcPr>
            <w:tcW w:type="dxa" w:w="1247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0.057</w:t>
            </w:r>
          </w:p>
        </w:tc>
        <w:tc>
          <w:tcPr>
            <w:tcW w:type="dxa" w:w="1247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1.15</w:t>
            </w:r>
          </w:p>
        </w:tc>
        <w:tc>
          <w:tcPr>
            <w:tcW w:type="dxa" w:w="1247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不一致</w:t>
            </w:r>
          </w:p>
        </w:tc>
      </w:tr>
      <w:tr>
        <w:tc>
          <w:tcPr>
            <w:tcW w:type="dxa" w:w="1247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Other Household</w:t>
            </w:r>
          </w:p>
        </w:tc>
        <w:tc>
          <w:tcPr>
            <w:tcW w:type="dxa" w:w="1247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5.64</w:t>
            </w:r>
          </w:p>
        </w:tc>
        <w:tc>
          <w:tcPr>
            <w:tcW w:type="dxa" w:w="1247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15.36</w:t>
            </w:r>
          </w:p>
        </w:tc>
        <w:tc>
          <w:tcPr>
            <w:tcW w:type="dxa" w:w="1247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+9.72</w:t>
            </w:r>
          </w:p>
        </w:tc>
        <w:tc>
          <w:tcPr>
            <w:tcW w:type="dxa" w:w="1247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0.089</w:t>
            </w:r>
          </w:p>
        </w:tc>
        <w:tc>
          <w:tcPr>
            <w:tcW w:type="dxa" w:w="1247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1.46</w:t>
            </w:r>
          </w:p>
        </w:tc>
        <w:tc>
          <w:tcPr>
            <w:tcW w:type="dxa" w:w="1247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一致</w:t>
            </w:r>
          </w:p>
        </w:tc>
      </w:tr>
      <w:tr>
        <w:tc>
          <w:tcPr>
            <w:tcW w:type="dxa" w:w="1247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Stationery &amp; Wrap</w:t>
            </w:r>
          </w:p>
        </w:tc>
        <w:tc>
          <w:tcPr>
            <w:tcW w:type="dxa" w:w="1247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1.42</w:t>
            </w:r>
          </w:p>
        </w:tc>
        <w:tc>
          <w:tcPr>
            <w:tcW w:type="dxa" w:w="1247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18.34</w:t>
            </w:r>
          </w:p>
        </w:tc>
        <w:tc>
          <w:tcPr>
            <w:tcW w:type="dxa" w:w="1247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+16.92</w:t>
            </w:r>
          </w:p>
        </w:tc>
        <w:tc>
          <w:tcPr>
            <w:tcW w:type="dxa" w:w="1247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0.129</w:t>
            </w:r>
          </w:p>
        </w:tc>
        <w:tc>
          <w:tcPr>
            <w:tcW w:type="dxa" w:w="1247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1.81</w:t>
            </w:r>
          </w:p>
        </w:tc>
        <w:tc>
          <w:tcPr>
            <w:tcW w:type="dxa" w:w="1247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一致</w:t>
            </w:r>
          </w:p>
        </w:tc>
      </w:tr>
      <w:tr>
        <w:tc>
          <w:tcPr>
            <w:tcW w:type="dxa" w:w="1247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Kitchen &amp; Dining</w:t>
            </w:r>
          </w:p>
        </w:tc>
        <w:tc>
          <w:tcPr>
            <w:tcW w:type="dxa" w:w="1247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0.45</w:t>
            </w:r>
          </w:p>
        </w:tc>
        <w:tc>
          <w:tcPr>
            <w:tcW w:type="dxa" w:w="1247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5.69</w:t>
            </w:r>
          </w:p>
        </w:tc>
        <w:tc>
          <w:tcPr>
            <w:tcW w:type="dxa" w:w="1247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+5.24</w:t>
            </w:r>
          </w:p>
        </w:tc>
        <w:tc>
          <w:tcPr>
            <w:tcW w:type="dxa" w:w="1247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0.012</w:t>
            </w:r>
          </w:p>
        </w:tc>
        <w:tc>
          <w:tcPr>
            <w:tcW w:type="dxa" w:w="1247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0.52</w:t>
            </w:r>
          </w:p>
        </w:tc>
        <w:tc>
          <w:tcPr>
            <w:tcW w:type="dxa" w:w="1247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一致</w:t>
            </w:r>
          </w:p>
        </w:tc>
      </w:tr>
      <w:tr>
        <w:tc>
          <w:tcPr>
            <w:tcW w:type="dxa" w:w="1247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Bath &amp; Fragrance</w:t>
            </w:r>
          </w:p>
        </w:tc>
        <w:tc>
          <w:tcPr>
            <w:tcW w:type="dxa" w:w="1247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-2.88</w:t>
            </w:r>
          </w:p>
        </w:tc>
        <w:tc>
          <w:tcPr>
            <w:tcW w:type="dxa" w:w="1247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-5.92</w:t>
            </w:r>
          </w:p>
        </w:tc>
        <w:tc>
          <w:tcPr>
            <w:tcW w:type="dxa" w:w="1247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-3.04</w:t>
            </w:r>
          </w:p>
        </w:tc>
        <w:tc>
          <w:tcPr>
            <w:tcW w:type="dxa" w:w="1247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0.005</w:t>
            </w:r>
          </w:p>
        </w:tc>
        <w:tc>
          <w:tcPr>
            <w:tcW w:type="dxa" w:w="1247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-0.34</w:t>
            </w:r>
          </w:p>
        </w:tc>
        <w:tc>
          <w:tcPr>
            <w:tcW w:type="dxa" w:w="1247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一致</w:t>
            </w:r>
          </w:p>
        </w:tc>
      </w:tr>
      <w:tr>
        <w:tc>
          <w:tcPr>
            <w:tcW w:type="dxa" w:w="1247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Garden &amp; Outdoor</w:t>
            </w:r>
          </w:p>
        </w:tc>
        <w:tc>
          <w:tcPr>
            <w:tcW w:type="dxa" w:w="1247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-29.77</w:t>
            </w:r>
          </w:p>
        </w:tc>
        <w:tc>
          <w:tcPr>
            <w:tcW w:type="dxa" w:w="1247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-19.38</w:t>
            </w:r>
          </w:p>
        </w:tc>
        <w:tc>
          <w:tcPr>
            <w:tcW w:type="dxa" w:w="1247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+10.39</w:t>
            </w:r>
          </w:p>
        </w:tc>
        <w:tc>
          <w:tcPr>
            <w:tcW w:type="dxa" w:w="1247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0.118</w:t>
            </w:r>
          </w:p>
        </w:tc>
        <w:tc>
          <w:tcPr>
            <w:tcW w:type="dxa" w:w="1247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-1.71</w:t>
            </w:r>
          </w:p>
        </w:tc>
        <w:tc>
          <w:tcPr>
            <w:tcW w:type="dxa" w:w="1247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一致</w:t>
            </w:r>
          </w:p>
        </w:tc>
      </w:tr>
      <w:tr>
        <w:tc>
          <w:tcPr>
            <w:tcW w:type="dxa" w:w="1247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Jewellery &amp; Accessory</w:t>
            </w:r>
          </w:p>
        </w:tc>
        <w:tc>
          <w:tcPr>
            <w:tcW w:type="dxa" w:w="1247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-48.27</w:t>
            </w:r>
          </w:p>
        </w:tc>
        <w:tc>
          <w:tcPr>
            <w:tcW w:type="dxa" w:w="1247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-32.85</w:t>
            </w:r>
          </w:p>
        </w:tc>
        <w:tc>
          <w:tcPr>
            <w:tcW w:type="dxa" w:w="1247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+15.42</w:t>
            </w:r>
          </w:p>
        </w:tc>
        <w:tc>
          <w:tcPr>
            <w:tcW w:type="dxa" w:w="1247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0.242</w:t>
            </w:r>
          </w:p>
        </w:tc>
        <w:tc>
          <w:tcPr>
            <w:tcW w:type="dxa" w:w="1247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-2.65</w:t>
            </w:r>
          </w:p>
        </w:tc>
        <w:tc>
          <w:tcPr>
            <w:tcW w:type="dxa" w:w="1247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一致</w:t>
            </w:r>
          </w:p>
        </w:tc>
      </w:tr>
    </w:tbl>
    <w:p>
      <w:pPr>
        <w:spacing w:after="40"/>
      </w:pP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 xml:space="preserve">两口径的 Spearman 秩相关为 </w:t>
      </w:r>
      <w:r>
        <w:rPr>
          <w:rFonts w:ascii="Times New Roman" w:hAnsi="Times New Roman" w:eastAsia="宋体"/>
          <w:b/>
          <w:color w:val="000000"/>
          <w:sz w:val="24"/>
        </w:rPr>
        <w:t>0.9636</w:t>
      </w:r>
      <w:r>
        <w:rPr>
          <w:rFonts w:ascii="Times New Roman" w:hAnsi="Times New Roman" w:eastAsia="宋体"/>
          <w:b w:val="0"/>
          <w:color w:val="000000"/>
          <w:sz w:val="24"/>
        </w:rPr>
        <w:t>，11 个品类中有 10 个象限归属完全一致，说明</w:t>
      </w:r>
      <w:r>
        <w:rPr>
          <w:rFonts w:ascii="Times New Roman" w:hAnsi="Times New Roman" w:eastAsia="宋体"/>
          <w:b/>
          <w:color w:val="000000"/>
          <w:sz w:val="24"/>
        </w:rPr>
        <w:t>四象限的划分是稳健的</w:t>
      </w:r>
      <w:r>
        <w:rPr>
          <w:rFonts w:ascii="Times New Roman" w:hAnsi="Times New Roman" w:eastAsia="宋体"/>
          <w:b w:val="0"/>
          <w:color w:val="000000"/>
          <w:sz w:val="24"/>
        </w:rPr>
        <w:t>，正文结论（明星：Bags &amp; Storage、Home Decor &amp; Lighting；问题：Christmas &amp; Seasonal、Party &amp; Occasion、Toys &amp; Games）不受增速口径选择的影响。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但差异本身也提供了单点同比给不出的信息，尤其两点值得说明。其一，Christmas &amp; Seasonal 的 YoY 为 40.61%，趋势年化却高达 155.26%，差值 114.65 个百分点为全表最大，且趋势 R² 仅 0.131、t = 1.82（不显著）——该品类销售额集中在每年 9—11 月，月度波动系数高达 1.257（全表最高），同比口径把旺季的相位差算成了增速。因此</w:t>
      </w:r>
      <w:r>
        <w:rPr>
          <w:rFonts w:ascii="Times New Roman" w:hAnsi="Times New Roman" w:eastAsia="宋体"/>
          <w:b/>
          <w:color w:val="000000"/>
          <w:sz w:val="24"/>
        </w:rPr>
        <w:t>该品类的「高增长」应谨慎解读</w:t>
      </w:r>
      <w:r>
        <w:rPr>
          <w:rFonts w:ascii="Times New Roman" w:hAnsi="Times New Roman" w:eastAsia="宋体"/>
          <w:b w:val="0"/>
          <w:color w:val="000000"/>
          <w:sz w:val="24"/>
        </w:rPr>
        <w:t>，其作为「问题品类」的判断成立，但增速数值不宜直接用于备货量测算。其二，全表仅 3 个品类的趋势通过显著性检验（Party &amp; Occasion t = 3.60、Bags &amp; Storage t = 3.42、Jewellery &amp; Accessory t = −2.65，临界值 2.07），其余品类的「增速」在统计上与「月度噪声」无法区分。本文据此在 §6.3 的建议中对不显著品类只给出方向性意见，不做量化承诺——这是稳健性检验对业务建议产生的实际约束力，而不是形式化的补充。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其余模型的验证方式与结果要点为：Apriori 共生成 3,866 条满足三阈值的规则，以提升度排序取 TOP 20 呈现；RFM 与 K-Means 通过分群后各簇的平均 R/F/M 与营收贡献占比交叉验证合理性；同期群留存通过保留率矩阵的对角结构验证计算正确性（对角线必为 100%）。</w:t>
      </w:r>
    </w:p>
    <w:p>
      <w:pPr>
        <w:keepNext/>
        <w:spacing w:line="360" w:lineRule="auto" w:before="100" w:after="80"/>
        <w:outlineLvl w:val="2"/>
      </w:pPr>
      <w:r>
        <w:rPr>
          <w:rFonts w:ascii="Times New Roman" w:hAnsi="Times New Roman" w:eastAsia="黑体"/>
          <w:b/>
          <w:color w:val="000000"/>
          <w:sz w:val="24"/>
        </w:rPr>
        <w:t>4.3.4 流失预警：模型判别力与三个会被追问的问题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流失预警（M10）最容易在评审环节被追问的不是「AUC 多少」，而是三个更根本的问题。本节逐一给出可核查的答案。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>问题一：这个分数是模型的极限，还是调参不够？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把主样本按历史购买次数切成两类后分别建模，答案很清楚（表 4-8）。复购客户（历史 ≥2 次购买）的 AUC 为 0.7022，模型有实际预测能力；而一次性客户（历史仅 1 次购买）的 AUC 只有 0.5481，已接近随机猜（0.5）的水平。为排除「特征选得不好」这一解释，又为一次性客户单独构造了首购特征集（首购金额、首购品类数、首购距观测窗末天数、是否四季度下单等 6 维）重做一次，AUC 仍为 0.5464。</w:t>
      </w:r>
      <w:r>
        <w:rPr>
          <w:rFonts w:ascii="Times New Roman" w:hAnsi="Times New Roman" w:eastAsia="宋体"/>
          <w:b/>
          <w:color w:val="000000"/>
          <w:sz w:val="24"/>
        </w:rPr>
        <w:t>结论：一次性客户的流失无法由历史行为预测，这是数据本身的上限，不是模型没调好。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该结论直接改变业务动作——对这批客户做精准挽留是无效投入，资源应转向改善首购体验（首单商品质量、物流时效、包裹体验），把他们变成复购客户。</w:t>
      </w:r>
    </w:p>
    <w:p>
      <w:pPr>
        <w:spacing w:after="40"/>
        <w:jc w:val="center"/>
      </w:pPr>
      <w:r>
        <w:rPr>
          <w:rFonts w:ascii="Times New Roman" w:hAnsi="Times New Roman" w:eastAsia="黑体"/>
          <w:color w:val="000000"/>
          <w:sz w:val="21"/>
        </w:rPr>
        <w:t>表 4-8  流失预警分层可预测性：模型能力的边界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55"/>
        <w:gridCol w:w="1455"/>
        <w:gridCol w:w="1455"/>
        <w:gridCol w:w="1455"/>
        <w:gridCol w:w="1455"/>
        <w:gridCol w:w="1455"/>
      </w:tblGrid>
      <w:tr>
        <w:tc>
          <w:tcPr>
            <w:tcW w:type="dxa" w:w="1455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客群</w:t>
            </w:r>
          </w:p>
        </w:tc>
        <w:tc>
          <w:tcPr>
            <w:tcW w:type="dxa" w:w="1455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客户数</w:t>
            </w:r>
          </w:p>
        </w:tc>
        <w:tc>
          <w:tcPr>
            <w:tcW w:type="dxa" w:w="1455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流失率(%)</w:t>
            </w:r>
          </w:p>
        </w:tc>
        <w:tc>
          <w:tcPr>
            <w:tcW w:type="dxa" w:w="1455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预测特征</w:t>
            </w:r>
          </w:p>
        </w:tc>
        <w:tc>
          <w:tcPr>
            <w:tcW w:type="dxa" w:w="1455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CV_AUC</w:t>
            </w:r>
          </w:p>
        </w:tc>
        <w:tc>
          <w:tcPr>
            <w:tcW w:type="dxa" w:w="1455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CV_KS</w:t>
            </w:r>
          </w:p>
        </w:tc>
      </w:tr>
      <w:tr>
        <w:tc>
          <w:tcPr>
            <w:tcW w:type="dxa" w:w="1455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一次性客户（历史仅 1 次购买）</w:t>
            </w:r>
          </w:p>
        </w:tc>
        <w:tc>
          <w:tcPr>
            <w:tcW w:type="dxa" w:w="1455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1,593</w:t>
            </w:r>
          </w:p>
        </w:tc>
        <w:tc>
          <w:tcPr>
            <w:tcW w:type="dxa" w:w="1455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86.06</w:t>
            </w:r>
          </w:p>
        </w:tc>
        <w:tc>
          <w:tcPr>
            <w:tcW w:type="dxa" w:w="1455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全量 RFM 行为特征（14 维）</w:t>
            </w:r>
          </w:p>
        </w:tc>
        <w:tc>
          <w:tcPr>
            <w:tcW w:type="dxa" w:w="1455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0.5481</w:t>
            </w:r>
          </w:p>
        </w:tc>
        <w:tc>
          <w:tcPr>
            <w:tcW w:type="dxa" w:w="1455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0.0910</w:t>
            </w:r>
          </w:p>
        </w:tc>
      </w:tr>
      <w:tr>
        <w:tc>
          <w:tcPr>
            <w:tcW w:type="dxa" w:w="1455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一次性客户（历史仅 1 次购买）</w:t>
            </w:r>
          </w:p>
        </w:tc>
        <w:tc>
          <w:tcPr>
            <w:tcW w:type="dxa" w:w="1455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1,593</w:t>
            </w:r>
          </w:p>
        </w:tc>
        <w:tc>
          <w:tcPr>
            <w:tcW w:type="dxa" w:w="1455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86.06</w:t>
            </w:r>
          </w:p>
        </w:tc>
        <w:tc>
          <w:tcPr>
            <w:tcW w:type="dxa" w:w="1455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首购特征集（6 维）</w:t>
            </w:r>
          </w:p>
        </w:tc>
        <w:tc>
          <w:tcPr>
            <w:tcW w:type="dxa" w:w="1455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0.5464</w:t>
            </w:r>
          </w:p>
        </w:tc>
        <w:tc>
          <w:tcPr>
            <w:tcW w:type="dxa" w:w="1455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0.0993</w:t>
            </w:r>
          </w:p>
        </w:tc>
      </w:tr>
      <w:tr>
        <w:tc>
          <w:tcPr>
            <w:tcW w:type="dxa" w:w="1455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复购客户（历史 ≥2 次购买）</w:t>
            </w:r>
          </w:p>
        </w:tc>
        <w:tc>
          <w:tcPr>
            <w:tcW w:type="dxa" w:w="1455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1,662</w:t>
            </w:r>
          </w:p>
        </w:tc>
        <w:tc>
          <w:tcPr>
            <w:tcW w:type="dxa" w:w="1455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62.88</w:t>
            </w:r>
          </w:p>
        </w:tc>
        <w:tc>
          <w:tcPr>
            <w:tcW w:type="dxa" w:w="1455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全量 RFM 行为特征（14 维）</w:t>
            </w:r>
          </w:p>
        </w:tc>
        <w:tc>
          <w:tcPr>
            <w:tcW w:type="dxa" w:w="1455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0.7022</w:t>
            </w:r>
          </w:p>
        </w:tc>
        <w:tc>
          <w:tcPr>
            <w:tcW w:type="dxa" w:w="1455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0.3148</w:t>
            </w:r>
          </w:p>
        </w:tc>
      </w:tr>
    </w:tbl>
    <w:p>
      <w:pPr>
        <w:spacing w:after="40"/>
      </w:pP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>问题二：换个时间窗口还成立吗？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只用单个窗口训练与测试，无法区分「模型学到了稳定规律」与「模型记住了这个窗口的噪声」。为此把表现窗整体前移，用同一个主窗口训练出的模型去预测三个更早的时间段（表 4-9 上半部分）。三个时间外窗口的 AUC 落在 0.7100—0.7439 之间，波动幅度仅 0.034，且不存在随前移而衰减的趋势。模型确实捕捉到了跨时间稳定的行为规律，而非某一窗口的巧合。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>问题二的续问：流失定义本身主观吗？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「3 个月未购买即流失」是一个人为选定的阈值。为此固定表现窗截止日（2011-11-30）不变，只把窗口长度从 1 个月逐步放宽到 9 个月（观测窗随之前移，两窗始终不重叠），结果见表 4-9 下半部分：四个长度下 AUC 分别为 0.7172、0.7292、0.7198、0.7114，极差仅 0.018，模型的排序能力对窗口长度并不敏感。与此同时，流失率随窗口放宽而单调下降（86.53% → 74.22% → 64.66% → 56.90%），符合「窗口越长、被判流失的门槛越高」的业务直觉。这说明 3 个月并非临界意义上的选择——无论把流失定义得更严还是更松，模型的判别力都保持在同等水平，§7.2 关于定义主观性的局限也因此有了量化边界。</w:t>
      </w:r>
    </w:p>
    <w:p>
      <w:pPr>
        <w:spacing w:after="40"/>
        <w:jc w:val="center"/>
      </w:pPr>
      <w:r>
        <w:rPr>
          <w:rFonts w:ascii="Times New Roman" w:hAnsi="Times New Roman" w:eastAsia="黑体"/>
          <w:color w:val="000000"/>
          <w:sz w:val="21"/>
        </w:rPr>
        <w:t>表 4-9  流失预警多窗口稳健性（时间外 + 窗口长度）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47"/>
        <w:gridCol w:w="1247"/>
        <w:gridCol w:w="1247"/>
        <w:gridCol w:w="1247"/>
        <w:gridCol w:w="1247"/>
        <w:gridCol w:w="1247"/>
        <w:gridCol w:w="1247"/>
      </w:tblGrid>
      <w:tr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表现窗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窗口类型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样本客户数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流失率(%)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AUC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PR_AUC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KS</w:t>
            </w:r>
          </w:p>
        </w:tc>
      </w:tr>
      <w:tr>
        <w:tc>
          <w:tcPr>
            <w:tcW w:type="dxa" w:w="1247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2011-08-31 ~ 2011-11-30</w:t>
            </w:r>
          </w:p>
        </w:tc>
        <w:tc>
          <w:tcPr>
            <w:tcW w:type="dxa" w:w="1247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主建模窗口（样本内拟合，仅作参照）</w:t>
            </w:r>
          </w:p>
        </w:tc>
        <w:tc>
          <w:tcPr>
            <w:tcW w:type="dxa" w:w="1247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3,255</w:t>
            </w:r>
          </w:p>
        </w:tc>
        <w:tc>
          <w:tcPr>
            <w:tcW w:type="dxa" w:w="1247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74.22</w:t>
            </w:r>
          </w:p>
        </w:tc>
        <w:tc>
          <w:tcPr>
            <w:tcW w:type="dxa" w:w="1247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0.7292</w:t>
            </w:r>
          </w:p>
        </w:tc>
        <w:tc>
          <w:tcPr>
            <w:tcW w:type="dxa" w:w="1247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0.8611</w:t>
            </w:r>
          </w:p>
        </w:tc>
        <w:tc>
          <w:tcPr>
            <w:tcW w:type="dxa" w:w="1247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0.3533</w:t>
            </w:r>
          </w:p>
        </w:tc>
      </w:tr>
      <w:tr>
        <w:tc>
          <w:tcPr>
            <w:tcW w:type="dxa" w:w="1247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2011-05-31 ~ 2011-08-31</w:t>
            </w:r>
          </w:p>
        </w:tc>
        <w:tc>
          <w:tcPr>
            <w:tcW w:type="dxa" w:w="1247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前移 3 个月</w:t>
            </w:r>
          </w:p>
        </w:tc>
        <w:tc>
          <w:tcPr>
            <w:tcW w:type="dxa" w:w="1247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3,016</w:t>
            </w:r>
          </w:p>
        </w:tc>
        <w:tc>
          <w:tcPr>
            <w:tcW w:type="dxa" w:w="1247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80.01</w:t>
            </w:r>
          </w:p>
        </w:tc>
        <w:tc>
          <w:tcPr>
            <w:tcW w:type="dxa" w:w="1247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0.7439</w:t>
            </w:r>
          </w:p>
        </w:tc>
        <w:tc>
          <w:tcPr>
            <w:tcW w:type="dxa" w:w="1247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0.9060</w:t>
            </w:r>
          </w:p>
        </w:tc>
        <w:tc>
          <w:tcPr>
            <w:tcW w:type="dxa" w:w="1247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0.3662</w:t>
            </w:r>
          </w:p>
        </w:tc>
      </w:tr>
      <w:tr>
        <w:tc>
          <w:tcPr>
            <w:tcW w:type="dxa" w:w="1247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2011-02-28 ~ 2011-05-31</w:t>
            </w:r>
          </w:p>
        </w:tc>
        <w:tc>
          <w:tcPr>
            <w:tcW w:type="dxa" w:w="1247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前移 6 个月</w:t>
            </w:r>
          </w:p>
        </w:tc>
        <w:tc>
          <w:tcPr>
            <w:tcW w:type="dxa" w:w="1247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2,682</w:t>
            </w:r>
          </w:p>
        </w:tc>
        <w:tc>
          <w:tcPr>
            <w:tcW w:type="dxa" w:w="1247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79.60</w:t>
            </w:r>
          </w:p>
        </w:tc>
        <w:tc>
          <w:tcPr>
            <w:tcW w:type="dxa" w:w="1247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0.7201</w:t>
            </w:r>
          </w:p>
        </w:tc>
        <w:tc>
          <w:tcPr>
            <w:tcW w:type="dxa" w:w="1247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0.8896</w:t>
            </w:r>
          </w:p>
        </w:tc>
        <w:tc>
          <w:tcPr>
            <w:tcW w:type="dxa" w:w="1247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0.3473</w:t>
            </w:r>
          </w:p>
        </w:tc>
      </w:tr>
      <w:tr>
        <w:tc>
          <w:tcPr>
            <w:tcW w:type="dxa" w:w="1247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2010-11-30 ~ 2011-02-28</w:t>
            </w:r>
          </w:p>
        </w:tc>
        <w:tc>
          <w:tcPr>
            <w:tcW w:type="dxa" w:w="1247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前移 9 个月</w:t>
            </w:r>
          </w:p>
        </w:tc>
        <w:tc>
          <w:tcPr>
            <w:tcW w:type="dxa" w:w="1247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2,448</w:t>
            </w:r>
          </w:p>
        </w:tc>
        <w:tc>
          <w:tcPr>
            <w:tcW w:type="dxa" w:w="1247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79.49</w:t>
            </w:r>
          </w:p>
        </w:tc>
        <w:tc>
          <w:tcPr>
            <w:tcW w:type="dxa" w:w="1247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0.7100</w:t>
            </w:r>
          </w:p>
        </w:tc>
        <w:tc>
          <w:tcPr>
            <w:tcW w:type="dxa" w:w="1247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0.8777</w:t>
            </w:r>
          </w:p>
        </w:tc>
        <w:tc>
          <w:tcPr>
            <w:tcW w:type="dxa" w:w="1247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0.3411</w:t>
            </w:r>
          </w:p>
        </w:tc>
      </w:tr>
      <w:tr>
        <w:tc>
          <w:tcPr>
            <w:tcW w:type="dxa" w:w="1247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2011-10-31 ~ 2011-11-30</w:t>
            </w:r>
          </w:p>
        </w:tc>
        <w:tc>
          <w:tcPr>
            <w:tcW w:type="dxa" w:w="1247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长度 1 个月（同截止日）</w:t>
            </w:r>
          </w:p>
        </w:tc>
        <w:tc>
          <w:tcPr>
            <w:tcW w:type="dxa" w:w="1247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3,555</w:t>
            </w:r>
          </w:p>
        </w:tc>
        <w:tc>
          <w:tcPr>
            <w:tcW w:type="dxa" w:w="1247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86.53</w:t>
            </w:r>
          </w:p>
        </w:tc>
        <w:tc>
          <w:tcPr>
            <w:tcW w:type="dxa" w:w="1247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0.7172</w:t>
            </w:r>
          </w:p>
        </w:tc>
        <w:tc>
          <w:tcPr>
            <w:tcW w:type="dxa" w:w="1247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0.9325</w:t>
            </w:r>
          </w:p>
        </w:tc>
        <w:tc>
          <w:tcPr>
            <w:tcW w:type="dxa" w:w="1247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0.3343</w:t>
            </w:r>
          </w:p>
        </w:tc>
      </w:tr>
      <w:tr>
        <w:tc>
          <w:tcPr>
            <w:tcW w:type="dxa" w:w="1247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2011-08-31 ~ 2011-11-30</w:t>
            </w:r>
          </w:p>
        </w:tc>
        <w:tc>
          <w:tcPr>
            <w:tcW w:type="dxa" w:w="1247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长度 3 个月（本文采用）</w:t>
            </w:r>
          </w:p>
        </w:tc>
        <w:tc>
          <w:tcPr>
            <w:tcW w:type="dxa" w:w="1247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3,255</w:t>
            </w:r>
          </w:p>
        </w:tc>
        <w:tc>
          <w:tcPr>
            <w:tcW w:type="dxa" w:w="1247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74.22</w:t>
            </w:r>
          </w:p>
        </w:tc>
        <w:tc>
          <w:tcPr>
            <w:tcW w:type="dxa" w:w="1247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0.7292</w:t>
            </w:r>
          </w:p>
        </w:tc>
        <w:tc>
          <w:tcPr>
            <w:tcW w:type="dxa" w:w="1247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0.8611</w:t>
            </w:r>
          </w:p>
        </w:tc>
        <w:tc>
          <w:tcPr>
            <w:tcW w:type="dxa" w:w="1247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0.3533</w:t>
            </w:r>
          </w:p>
        </w:tc>
      </w:tr>
      <w:tr>
        <w:tc>
          <w:tcPr>
            <w:tcW w:type="dxa" w:w="1247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2011-05-31 ~ 2011-11-30</w:t>
            </w:r>
          </w:p>
        </w:tc>
        <w:tc>
          <w:tcPr>
            <w:tcW w:type="dxa" w:w="1247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长度 6 个月（同截止日）</w:t>
            </w:r>
          </w:p>
        </w:tc>
        <w:tc>
          <w:tcPr>
            <w:tcW w:type="dxa" w:w="1247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3,016</w:t>
            </w:r>
          </w:p>
        </w:tc>
        <w:tc>
          <w:tcPr>
            <w:tcW w:type="dxa" w:w="1247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64.66</w:t>
            </w:r>
          </w:p>
        </w:tc>
        <w:tc>
          <w:tcPr>
            <w:tcW w:type="dxa" w:w="1247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0.7198</w:t>
            </w:r>
          </w:p>
        </w:tc>
        <w:tc>
          <w:tcPr>
            <w:tcW w:type="dxa" w:w="1247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0.7940</w:t>
            </w:r>
          </w:p>
        </w:tc>
        <w:tc>
          <w:tcPr>
            <w:tcW w:type="dxa" w:w="1247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0.3358</w:t>
            </w:r>
          </w:p>
        </w:tc>
      </w:tr>
      <w:tr>
        <w:tc>
          <w:tcPr>
            <w:tcW w:type="dxa" w:w="1247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2011-02-28 ~ 2011-11-30</w:t>
            </w:r>
          </w:p>
        </w:tc>
        <w:tc>
          <w:tcPr>
            <w:tcW w:type="dxa" w:w="1247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长度 9 个月（同截止日）</w:t>
            </w:r>
          </w:p>
        </w:tc>
        <w:tc>
          <w:tcPr>
            <w:tcW w:type="dxa" w:w="1247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2,682</w:t>
            </w:r>
          </w:p>
        </w:tc>
        <w:tc>
          <w:tcPr>
            <w:tcW w:type="dxa" w:w="1247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56.90</w:t>
            </w:r>
          </w:p>
        </w:tc>
        <w:tc>
          <w:tcPr>
            <w:tcW w:type="dxa" w:w="1247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0.7114</w:t>
            </w:r>
          </w:p>
        </w:tc>
        <w:tc>
          <w:tcPr>
            <w:tcW w:type="dxa" w:w="1247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0.7260</w:t>
            </w:r>
          </w:p>
        </w:tc>
        <w:tc>
          <w:tcPr>
            <w:tcW w:type="dxa" w:w="1247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0.3230</w:t>
            </w:r>
          </w:p>
        </w:tc>
      </w:tr>
    </w:tbl>
    <w:p>
      <w:pPr>
        <w:spacing w:after="40"/>
      </w:pP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>问题三：按概率阈值触达真的划算吗？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这是把模型变成预算分配时的关键一问。设触达成本率为「触达支出 ÷ 客户历史价值」，挽回率为「被触达客户中留存下来的比例」，对四组成本—挽回情景各扫描 6 个触达比例（表 4-10）。结果是：</w:t>
      </w:r>
      <w:r>
        <w:rPr>
          <w:rFonts w:ascii="Times New Roman" w:hAnsi="Times New Roman" w:eastAsia="宋体"/>
          <w:b/>
          <w:color w:val="000000"/>
          <w:sz w:val="24"/>
        </w:rPr>
        <w:t>所有情景下的净收益都随触达比例单调上升，在扫描上限 50% 处仍未出现峰值</w:t>
      </w:r>
      <w:r>
        <w:rPr>
          <w:rFonts w:ascii="Times New Roman" w:hAnsi="Times New Roman" w:eastAsia="宋体"/>
          <w:b w:val="0"/>
          <w:color w:val="000000"/>
          <w:sz w:val="24"/>
        </w:rPr>
        <w:t>。这意味着按流失概率高低硬切一条线来圈定触达名单，并不能把预算花在刀刃上——模型的概率估计虽然有区分度（十分位流失率从 91.72% 梯次降至 32.52%，仅第 8、9 分位略有交叉），但高低概率客户的价值差异更大。因此本项目的预警名单不按概率排序，而按</w:t>
      </w:r>
      <w:r>
        <w:rPr>
          <w:rFonts w:ascii="Times New Roman" w:hAnsi="Times New Roman" w:eastAsia="宋体"/>
          <w:b/>
          <w:color w:val="000000"/>
          <w:sz w:val="24"/>
        </w:rPr>
        <w:t>期望损失 = 流失概率 × 历史累计消费</w:t>
      </w:r>
      <w:r>
        <w:rPr>
          <w:rFonts w:ascii="Times New Roman" w:hAnsi="Times New Roman" w:eastAsia="宋体"/>
          <w:b w:val="0"/>
          <w:color w:val="000000"/>
          <w:sz w:val="24"/>
        </w:rPr>
        <w:t>排序，使有限的挽留预算优先投向「走了最可惜」的客户。这一排序口径见图 6-6。</w:t>
      </w:r>
    </w:p>
    <w:p>
      <w:pPr>
        <w:spacing w:after="40"/>
        <w:jc w:val="center"/>
      </w:pPr>
      <w:r>
        <w:rPr>
          <w:rFonts w:ascii="Times New Roman" w:hAnsi="Times New Roman" w:eastAsia="黑体"/>
          <w:color w:val="000000"/>
          <w:sz w:val="21"/>
        </w:rPr>
        <w:t>表 4-10  流失预警阈值成本收益分析（扫描触达比例 5%—50%）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91"/>
        <w:gridCol w:w="1091"/>
        <w:gridCol w:w="1091"/>
        <w:gridCol w:w="1091"/>
        <w:gridCol w:w="1091"/>
        <w:gridCol w:w="1091"/>
        <w:gridCol w:w="1091"/>
        <w:gridCol w:w="1091"/>
      </w:tblGrid>
      <w:tr>
        <w:tc>
          <w:tcPr>
            <w:tcW w:type="dxa" w:w="109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触达成本率(%)</w:t>
            </w:r>
          </w:p>
        </w:tc>
        <w:tc>
          <w:tcPr>
            <w:tcW w:type="dxa" w:w="109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挽回率(%)</w:t>
            </w:r>
          </w:p>
        </w:tc>
        <w:tc>
          <w:tcPr>
            <w:tcW w:type="dxa" w:w="109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最优触达比例(%)</w:t>
            </w:r>
          </w:p>
        </w:tc>
        <w:tc>
          <w:tcPr>
            <w:tcW w:type="dxa" w:w="109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触达人数</w:t>
            </w:r>
          </w:p>
        </w:tc>
        <w:tc>
          <w:tcPr>
            <w:tcW w:type="dxa" w:w="109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命中真实流失数</w:t>
            </w:r>
          </w:p>
        </w:tc>
        <w:tc>
          <w:tcPr>
            <w:tcW w:type="dxa" w:w="109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挽回金额(£)</w:t>
            </w:r>
          </w:p>
        </w:tc>
        <w:tc>
          <w:tcPr>
            <w:tcW w:type="dxa" w:w="109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触达成本(£)</w:t>
            </w:r>
          </w:p>
        </w:tc>
        <w:tc>
          <w:tcPr>
            <w:tcW w:type="dxa" w:w="109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净收益(£)</w:t>
            </w:r>
          </w:p>
        </w:tc>
      </w:tr>
      <w:tr>
        <w:tc>
          <w:tcPr>
            <w:tcW w:type="dxa" w:w="109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3</w:t>
            </w:r>
          </w:p>
        </w:tc>
        <w:tc>
          <w:tcPr>
            <w:tcW w:type="dxa" w:w="109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50</w:t>
            </w:r>
          </w:p>
        </w:tc>
        <w:tc>
          <w:tcPr>
            <w:tcW w:type="dxa" w:w="109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50</w:t>
            </w:r>
          </w:p>
        </w:tc>
        <w:tc>
          <w:tcPr>
            <w:tcW w:type="dxa" w:w="109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1,628</w:t>
            </w:r>
          </w:p>
        </w:tc>
        <w:tc>
          <w:tcPr>
            <w:tcW w:type="dxa" w:w="109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1,402</w:t>
            </w:r>
          </w:p>
        </w:tc>
        <w:tc>
          <w:tcPr>
            <w:tcW w:type="dxa" w:w="109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235,523</w:t>
            </w:r>
          </w:p>
        </w:tc>
        <w:tc>
          <w:tcPr>
            <w:tcW w:type="dxa" w:w="109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16,553</w:t>
            </w:r>
          </w:p>
        </w:tc>
        <w:tc>
          <w:tcPr>
            <w:tcW w:type="dxa" w:w="109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218,970</w:t>
            </w:r>
          </w:p>
        </w:tc>
      </w:tr>
      <w:tr>
        <w:tc>
          <w:tcPr>
            <w:tcW w:type="dxa" w:w="109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5</w:t>
            </w:r>
          </w:p>
        </w:tc>
        <w:tc>
          <w:tcPr>
            <w:tcW w:type="dxa" w:w="109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50</w:t>
            </w:r>
          </w:p>
        </w:tc>
        <w:tc>
          <w:tcPr>
            <w:tcW w:type="dxa" w:w="109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50</w:t>
            </w:r>
          </w:p>
        </w:tc>
        <w:tc>
          <w:tcPr>
            <w:tcW w:type="dxa" w:w="109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1,628</w:t>
            </w:r>
          </w:p>
        </w:tc>
        <w:tc>
          <w:tcPr>
            <w:tcW w:type="dxa" w:w="109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1,402</w:t>
            </w:r>
          </w:p>
        </w:tc>
        <w:tc>
          <w:tcPr>
            <w:tcW w:type="dxa" w:w="109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235,523</w:t>
            </w:r>
          </w:p>
        </w:tc>
        <w:tc>
          <w:tcPr>
            <w:tcW w:type="dxa" w:w="109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27,588</w:t>
            </w:r>
          </w:p>
        </w:tc>
        <w:tc>
          <w:tcPr>
            <w:tcW w:type="dxa" w:w="109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207,935</w:t>
            </w:r>
          </w:p>
        </w:tc>
      </w:tr>
      <w:tr>
        <w:tc>
          <w:tcPr>
            <w:tcW w:type="dxa" w:w="109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5</w:t>
            </w:r>
          </w:p>
        </w:tc>
        <w:tc>
          <w:tcPr>
            <w:tcW w:type="dxa" w:w="109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30</w:t>
            </w:r>
          </w:p>
        </w:tc>
        <w:tc>
          <w:tcPr>
            <w:tcW w:type="dxa" w:w="109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50</w:t>
            </w:r>
          </w:p>
        </w:tc>
        <w:tc>
          <w:tcPr>
            <w:tcW w:type="dxa" w:w="109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1,628</w:t>
            </w:r>
          </w:p>
        </w:tc>
        <w:tc>
          <w:tcPr>
            <w:tcW w:type="dxa" w:w="109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1,402</w:t>
            </w:r>
          </w:p>
        </w:tc>
        <w:tc>
          <w:tcPr>
            <w:tcW w:type="dxa" w:w="109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141,314</w:t>
            </w:r>
          </w:p>
        </w:tc>
        <w:tc>
          <w:tcPr>
            <w:tcW w:type="dxa" w:w="109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27,588</w:t>
            </w:r>
          </w:p>
        </w:tc>
        <w:tc>
          <w:tcPr>
            <w:tcW w:type="dxa" w:w="109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113,726</w:t>
            </w:r>
          </w:p>
        </w:tc>
      </w:tr>
      <w:tr>
        <w:tc>
          <w:tcPr>
            <w:tcW w:type="dxa" w:w="109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10</w:t>
            </w:r>
          </w:p>
        </w:tc>
        <w:tc>
          <w:tcPr>
            <w:tcW w:type="dxa" w:w="109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30</w:t>
            </w:r>
          </w:p>
        </w:tc>
        <w:tc>
          <w:tcPr>
            <w:tcW w:type="dxa" w:w="109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50</w:t>
            </w:r>
          </w:p>
        </w:tc>
        <w:tc>
          <w:tcPr>
            <w:tcW w:type="dxa" w:w="109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1,628</w:t>
            </w:r>
          </w:p>
        </w:tc>
        <w:tc>
          <w:tcPr>
            <w:tcW w:type="dxa" w:w="109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1,402</w:t>
            </w:r>
          </w:p>
        </w:tc>
        <w:tc>
          <w:tcPr>
            <w:tcW w:type="dxa" w:w="109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141,314</w:t>
            </w:r>
          </w:p>
        </w:tc>
        <w:tc>
          <w:tcPr>
            <w:tcW w:type="dxa" w:w="109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55,175</w:t>
            </w:r>
          </w:p>
        </w:tc>
        <w:tc>
          <w:tcPr>
            <w:tcW w:type="dxa" w:w="109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86,138</w:t>
            </w:r>
          </w:p>
        </w:tc>
      </w:tr>
    </w:tbl>
    <w:p>
      <w:pPr>
        <w:spacing w:after="40"/>
      </w:pP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此外还验证了集成是否值得引入：将逻辑回归与随机森林的</w:t>
      </w:r>
      <w:r>
        <w:rPr>
          <w:rFonts w:ascii="Times New Roman" w:hAnsi="Times New Roman" w:eastAsia="宋体"/>
          <w:b/>
          <w:color w:val="000000"/>
          <w:sz w:val="24"/>
        </w:rPr>
        <w:t>交叉验证样本外概率</w:t>
      </w:r>
      <w:r>
        <w:rPr>
          <w:rFonts w:ascii="Times New Roman" w:hAnsi="Times New Roman" w:eastAsia="宋体"/>
          <w:b w:val="0"/>
          <w:color w:val="000000"/>
          <w:sz w:val="24"/>
        </w:rPr>
        <w:t>等权平均，AUC 仅从 0.7241 提升至 0.7244（+0.0003）。提升幅度远不足以抵消模型复杂度与可解释性的损失，故最终采用单一逻辑回归作为主模型。这里必须强调方法细节：集成概率必须来自交叉验证的样本外预测，若直接用训练集上的拟合概率求平均，会得到 0.7625 这类虚高值——那是 in-sample 指标，与 CV 口径不可比。</w:t>
      </w:r>
    </w:p>
    <w:p>
      <w:pPr>
        <w:keepNext/>
        <w:spacing w:line="360" w:lineRule="auto" w:before="160" w:after="80"/>
        <w:outlineLvl w:val="0"/>
      </w:pPr>
      <w:r>
        <w:rPr>
          <w:rFonts w:ascii="Times New Roman" w:hAnsi="Times New Roman" w:eastAsia="黑体"/>
          <w:b/>
          <w:color w:val="000000"/>
          <w:sz w:val="28"/>
        </w:rPr>
        <w:t>5 Python 数据分析与可视化</w:t>
      </w:r>
    </w:p>
    <w:p>
      <w:pPr>
        <w:keepNext/>
        <w:spacing w:line="360" w:lineRule="auto" w:before="100" w:after="80"/>
        <w:outlineLvl w:val="1"/>
      </w:pPr>
      <w:r>
        <w:rPr>
          <w:rFonts w:ascii="Times New Roman" w:hAnsi="Times New Roman" w:eastAsia="黑体"/>
          <w:b/>
          <w:color w:val="000000"/>
          <w:sz w:val="24"/>
        </w:rPr>
        <w:t>5.1 数据探索性分析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正式建模前，先通过 EDA 建立对数据分布的直觉。主要发现有三点：其一，订单金额呈典型右偏分布，均值显著高于中位数，说明存在大额批发订单拉高均值，这直接支撑了后文 RFM 用中位数切分的决定；其二，销售额在星期维度上分布极不均衡，周三至周五为高峰、周末几乎无交易，反映该商家以 B2B 工作日接单为主；其三，年度内销售额呈现明显的「9—11 月冲高、12 月回落」节奏，与礼品行业的圣诞备货周期吻合。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这些 EDA 结论不是孤立的观察，而是直接参与了后续的模型参数决策——这正是探索性分析的价值所在。</w:t>
      </w:r>
    </w:p>
    <w:p>
      <w:pPr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400000" cy="32697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3_weekday_hour_heatmap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269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color w:val="000000"/>
          <w:sz w:val="21"/>
        </w:rPr>
        <w:t>图 5-1  星期 × 时段销售额热力图（fig13）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图 5-1 显示销售额高度集中于工作日的上午 10 时至下午 15 时，周末与清晨时段近乎空白。这一发现有两层业务含义：一是客服与仓储排班应向工作日白天倾斜；二是营销邮件的发送时机应避开周末，否则触达效率会大打折扣。</w:t>
      </w:r>
    </w:p>
    <w:p>
      <w:pPr>
        <w:keepNext/>
        <w:spacing w:line="360" w:lineRule="auto" w:before="100" w:after="80"/>
        <w:outlineLvl w:val="1"/>
      </w:pPr>
      <w:r>
        <w:rPr>
          <w:rFonts w:ascii="Times New Roman" w:hAnsi="Times New Roman" w:eastAsia="黑体"/>
          <w:b/>
          <w:color w:val="000000"/>
          <w:sz w:val="24"/>
        </w:rPr>
        <w:t>5.2 可视化模板复现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本节对照《Excel 数据可视化——从图表到数据大屏》中的典型模板，使用 Matplotlib 与 Seaborn 复现 25 种图表类型，在图表类型、布局结构、配色方案、标签样式、图例位置、标题设计六个方面贴近原模板。全部 37 张图统一为 200dpi（超过 150dpi 要求），命名规范为 figNN_&lt;主题&gt;.png。</w:t>
      </w:r>
    </w:p>
    <w:p>
      <w:pPr>
        <w:spacing w:after="40"/>
        <w:jc w:val="center"/>
      </w:pPr>
      <w:r>
        <w:rPr>
          <w:rFonts w:ascii="Times New Roman" w:hAnsi="Times New Roman" w:eastAsia="黑体"/>
          <w:color w:val="000000"/>
          <w:sz w:val="21"/>
        </w:rPr>
        <w:t>表 5-1  模板复现清单（25 种，逐图对照）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83"/>
        <w:gridCol w:w="2183"/>
        <w:gridCol w:w="2183"/>
        <w:gridCol w:w="2183"/>
      </w:tblGrid>
      <w:tr>
        <w:tc>
          <w:tcPr>
            <w:tcW w:type="dxa" w:w="218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序号</w:t>
            </w:r>
          </w:p>
        </w:tc>
        <w:tc>
          <w:tcPr>
            <w:tcW w:type="dxa" w:w="218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模板图型</w:t>
            </w:r>
          </w:p>
        </w:tc>
        <w:tc>
          <w:tcPr>
            <w:tcW w:type="dxa" w:w="218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对应图号</w:t>
            </w:r>
          </w:p>
        </w:tc>
        <w:tc>
          <w:tcPr>
            <w:tcW w:type="dxa" w:w="218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复现要点（配色 / 标签 / 图例 / 标题）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1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组合图·环比同比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fig01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柱（销售额）+ 双折线（MoM / YoY%）、右轴百分比、零基准线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2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折线图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fig02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MA30 叠加主线、峰值点标注、网格弱化、纵轴千分位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3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面积图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fig03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双系列半透明填充、月份标签旋转 45°、右轴订单量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4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柱形图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fig04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降序排列、柱顶数值标签、顶部留白、去除上右边框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5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条形图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fig05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TOP15 横向降序、条内数值标签、首项高亮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6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环形图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fig06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中心显示总计、引线标签、末 8 国合并为「其他」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7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堆积柱形图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fig07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国别分层堆积、图例置右上不遮挡、月份全年覆盖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8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百分比堆积柱形图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fig08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按 100% 归一、格内占比标签、品类固定色序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9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散点图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fig09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双对数轴、幂律趋势线、点透明度防重叠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10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气泡图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fig10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气泡面积编码销售额、双轴、独立尺寸图例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11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直方图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fig11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KDE 曲线叠加、均值/中位数虚线、分箱数 60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12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箱线图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fig12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均值点标记、中位数标注、异常点淡化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13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热力图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fig13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星期 × 时段矩阵、色标条、单元格数值标注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14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雷达图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fig14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TOP5 国家五维、指标归一化、半透明填充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15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瀑布图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fig15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涨跌异色、浮动连接线、两端累计柱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16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仪表盘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fig16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指针 + 阈值分色带、达成率大字、年度对照副标题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17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日历热力图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fig17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年-月-日格网、色标条、休市日留白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18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坡度图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fig18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双时点连线、左右双标签、增降异色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19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三轴组合图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fig19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柱（销售额）+ 折线（订单数）+ 第三轴（客单价）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20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多重折线图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fig25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MA7 / MA30 / MA90 三线、线型区分、图例置右上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21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玫瑰图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fig20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扇形半径编码销售额、极坐标网格、品类色序一致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22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子弹图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fig21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目标区间带 + 实际条 + 达标刻度、横向排序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23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小提琴图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fig22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内嵌迷你箱线、季度分组配色、中位数白点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24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矩形树图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fig23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squarify 面积编码、层级标签、边界留白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25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词云图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fig24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字号编码频次、停用词表过滤、随机种子固定</w:t>
            </w:r>
          </w:p>
        </w:tc>
      </w:tr>
    </w:tbl>
    <w:p>
      <w:pPr>
        <w:spacing w:after="40"/>
      </w:pP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其中瀑布图、子弹图、坡度图、矩形树图、玫瑰图、仪表盘、日历热力图等图型，Matplotlib 均</w:t>
      </w:r>
      <w:r>
        <w:rPr>
          <w:rFonts w:ascii="Times New Roman" w:hAnsi="Times New Roman" w:eastAsia="宋体"/>
          <w:b/>
          <w:color w:val="000000"/>
          <w:sz w:val="24"/>
        </w:rPr>
        <w:t>无原生支持</w:t>
      </w:r>
      <w:r>
        <w:rPr>
          <w:rFonts w:ascii="Times New Roman" w:hAnsi="Times New Roman" w:eastAsia="宋体"/>
          <w:b w:val="0"/>
          <w:color w:val="000000"/>
          <w:sz w:val="24"/>
        </w:rPr>
        <w:t>。本项目在 scripts/utils/chart_helpers.py 中自行实现了这些图型的绘制函数（矩形树图采用经典 squarify 算法，保证子矩形长宽比接近 1），弥补了 Python 生态的这一空白，也是本项目在技术层面的主要工作量之一。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配色方面，统一采用一套 12 色商业配色板，并在 style.py 中集中管理，保证 37 张图的视觉语言一致；中文字体通过 rcParams 注册 SimHei 解决方块字问题，坐标轴均标注单位（英镑 / 订单数 / 客户数），图例位置统一置于不遮挡数据的角落。</w:t>
      </w:r>
    </w:p>
    <w:p>
      <w:pPr>
        <w:keepNext/>
        <w:spacing w:line="360" w:lineRule="auto" w:before="100" w:after="80"/>
        <w:outlineLvl w:val="2"/>
      </w:pPr>
      <w:r>
        <w:rPr>
          <w:rFonts w:ascii="Times New Roman" w:hAnsi="Times New Roman" w:eastAsia="黑体"/>
          <w:b/>
          <w:color w:val="000000"/>
          <w:sz w:val="24"/>
        </w:rPr>
        <w:t>5.2.1 Python 与 Excel 可视化实现的异同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本项目的模板蓝本来自 Excel 可视化教材，但全部改用 Python 重新实现。两种技术路线在数据规模、图表扩展性、批量产出、交互能力与可复现性五个维度上差异显著，具体对照见表 5-2。</w:t>
      </w:r>
    </w:p>
    <w:p>
      <w:pPr>
        <w:spacing w:after="40"/>
        <w:jc w:val="center"/>
      </w:pPr>
      <w:r>
        <w:rPr>
          <w:rFonts w:ascii="Times New Roman" w:hAnsi="Times New Roman" w:eastAsia="黑体"/>
          <w:color w:val="000000"/>
          <w:sz w:val="21"/>
        </w:rPr>
        <w:t>表 5-2  Python 与 Excel 可视化实现异同对照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11"/>
        <w:gridCol w:w="2911"/>
        <w:gridCol w:w="2911"/>
      </w:tblGrid>
      <w:tr>
        <w:tc>
          <w:tcPr>
            <w:tcW w:type="dxa" w:w="291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对比维度</w:t>
            </w:r>
          </w:p>
        </w:tc>
        <w:tc>
          <w:tcPr>
            <w:tcW w:type="dxa" w:w="291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Excel 实现</w:t>
            </w:r>
          </w:p>
        </w:tc>
        <w:tc>
          <w:tcPr>
            <w:tcW w:type="dxa" w:w="291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Python 实现（本项目）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数据规模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受 104 万行上限约束，明细透视需先汇总，口径易漂移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Pandas 直接处理 30.28 万行明细，聚合口径由代码固化，结果可追溯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图表类型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内置类型有限，瀑布图、矩形树图等依赖插件或手工拼装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Matplotlib 无原生支持的图型由 chart_helpers.py 自行绘制（squarify 算法等），类型不受限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批量产出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逐图手工设置，37 张图需重复大量点击操作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run_all.py 一条命令重跑全部图表，改参即全量刷新，全程无人工介入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交互能力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切片器与数据验证仅限工作簿内部，无法嵌入网页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Pyecharts 生成 22 组件联动大屏，支持悬停提示、图例筛选与多维下钻，可离线单文件分发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复现与协作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分析过程难以版本化管理，他人无法验证口径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全流程代码化，Git 版本管理 + 一键复现，克隆仓库即可逐字节重建成果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上手成本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门槛低，适合一次性探索分析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需编程基础，但换来的是可复用、可审计的分析资产</w:t>
            </w:r>
          </w:p>
        </w:tc>
      </w:tr>
    </w:tbl>
    <w:p>
      <w:pPr>
        <w:spacing w:after="40"/>
      </w:pP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需要强调的是，两者并非替代关系而是互补关系：Excel 在本项目中承担数据查看与结果核对的辅助角色（符合作业要求），Python 则负责正式成果的产出。这一分工恰恰说明：当分析对象达到数十万行量级、模型数量超过 3 种、图表需要批量更新时，Python 全栈方案在效率与可复现性上具有结构性优势，这也是本作业选择 Python 技术栈的核心理由。</w:t>
      </w:r>
    </w:p>
    <w:p>
      <w:pPr>
        <w:keepNext/>
        <w:spacing w:line="360" w:lineRule="auto" w:before="100" w:after="80"/>
        <w:outlineLvl w:val="1"/>
      </w:pPr>
      <w:r>
        <w:rPr>
          <w:rFonts w:ascii="Times New Roman" w:hAnsi="Times New Roman" w:eastAsia="黑体"/>
          <w:b/>
          <w:color w:val="000000"/>
          <w:sz w:val="24"/>
        </w:rPr>
        <w:t>5.3 业务模型图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与第 4 章模型一一对应，共输出 12 张业务模型图（M2、M5、M10 各含 2 张）。本节选取关键几张做解读。</w:t>
      </w:r>
    </w:p>
    <w:p>
      <w:pPr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400000" cy="301731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6_rfm_scatter_ch8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173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color w:val="000000"/>
          <w:sz w:val="21"/>
        </w:rPr>
        <w:t>图 5-2  RFM 八分类客户价值矩阵（fig26）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图 5-2 将客户按 R/F/M 三个维度的高低组合投影为八个象限，气泡大小代表客户数。右上方（低 Recency、高 Frequency、高 Monetary）为「重要价值客户」，是最应优先保障服务资源的一群；左下方的「一般挽留客户」虽然人数不少，但消费间隔长、金额低，投入产出错配，应改用低成本的自动化触达。</w:t>
      </w:r>
    </w:p>
    <w:p>
      <w:pPr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400000" cy="309772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8_cohort_retention_heatmap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977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color w:val="000000"/>
          <w:sz w:val="21"/>
        </w:rPr>
        <w:t>图 5-3  月度同期群留存热力图（fig28）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 xml:space="preserve">图 5-3 是本项目信息量最大的一张图。横轴为下单后的第 N 个月，纵轴为首购月份。可以看到留存率从第 0 个月的 100% </w:t>
      </w:r>
      <w:r>
        <w:rPr>
          <w:rFonts w:ascii="Times New Roman" w:hAnsi="Times New Roman" w:eastAsia="宋体"/>
          <w:b/>
          <w:color w:val="000000"/>
          <w:sz w:val="24"/>
        </w:rPr>
        <w:t>骤降至第 1 个月的 10.65%</w:t>
      </w:r>
      <w:r>
        <w:rPr>
          <w:rFonts w:ascii="Times New Roman" w:hAnsi="Times New Roman" w:eastAsia="宋体"/>
          <w:b w:val="0"/>
          <w:color w:val="000000"/>
          <w:sz w:val="24"/>
        </w:rPr>
        <w:t>，随后在第 2~15 个月稳定在 8.4%~10.9% 区间，第 16 个月起缓慢抬升至 12% 一线，末期最高触及 20%（但末期月份仅覆盖 1~3 个同期群，需谨慎解读）。这条曲线形态说明：该商家的客户留存是「一次性断崖 + 长期平台」模式，而非持续衰减模式。换言之，能在第 2 个月留下来的客户，后续会长期保持活跃，流失风险反而很低。</w:t>
      </w:r>
    </w:p>
    <w:p>
      <w:pPr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70977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9_pareto_abc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097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color w:val="000000"/>
          <w:sz w:val="21"/>
        </w:rPr>
        <w:t>图 5-4  TOP30 商品帕累托图与 ABC 分界（fig29）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图 5-4 将商品按销售额降序排列，柱形为单品销售额，折线为累计占比，两条虚线标出 A（累计 80%）、B（累计 95%）的分界点。结果显示：仅 996 个 SKU（占建模窗口内 4,493 个 SKU 的 22.17%）就贡献了 80% 的销售额，而 2,291 个 SKU（占 50.99%）合计只贡献 5%。这是一个教科书式的帕累托分布，也意味着库存结构存在巨大的优化空间。</w:t>
      </w:r>
    </w:p>
    <w:p>
      <w:pPr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400000" cy="354937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2_bcg_matrix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493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color w:val="000000"/>
          <w:sz w:val="21"/>
        </w:rPr>
        <w:t>图 5-5  品类波士顿矩阵四象限（fig32）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图 5-5 以相对份额为横轴、同比增速为纵轴，气泡面积代表品类销售额。「Other Household」与「Kitchen &amp; Dining」落入金牛象限（高份额、低增速），是当前的现金来源；「Bags &amp; Storage」与「Home Decor &amp; Lighting」为明星品类；「Christmas &amp; Seasonal」同比增速高达 40.61%、「Party &amp; Occasion」达 50.52%，但份额尚低，属于典型的问题品类——它们是明年的潜在明星，值得投入资源培育；「Jewellery &amp; Accessory」同比下滑 48.27%，份额与增速双低，应列入收割或退出的候选。</w:t>
      </w:r>
    </w:p>
    <w:p>
      <w:pPr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51423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3_forecast_ci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5142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color w:val="000000"/>
          <w:sz w:val="21"/>
        </w:rPr>
        <w:t>图 5-6  日销售额预测：点预测 + 95% 置信区间 + 回测（fig33）</w:t>
      </w:r>
    </w:p>
    <w:p>
      <w:pPr>
        <w:keepNext/>
        <w:spacing w:line="360" w:lineRule="auto" w:before="100" w:after="80"/>
        <w:outlineLvl w:val="1"/>
      </w:pPr>
      <w:r>
        <w:rPr>
          <w:rFonts w:ascii="Times New Roman" w:hAnsi="Times New Roman" w:eastAsia="黑体"/>
          <w:b/>
          <w:color w:val="000000"/>
          <w:sz w:val="24"/>
        </w:rPr>
        <w:t>5.4 交互式可视化大屏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在静态图之外，本项目使用 Pyecharts 搭建了一个暗色主题的交互式商业分析大屏，输出为 outputs/dashboard/dashboard_dark.html，共 4 个标签页、22 个组件，全部由 Python 代码生成。</w:t>
      </w:r>
    </w:p>
    <w:p>
      <w:pPr>
        <w:spacing w:after="40"/>
        <w:jc w:val="center"/>
      </w:pPr>
      <w:r>
        <w:rPr>
          <w:rFonts w:ascii="Times New Roman" w:hAnsi="Times New Roman" w:eastAsia="黑体"/>
          <w:color w:val="000000"/>
          <w:sz w:val="21"/>
        </w:rPr>
        <w:t>表 5-3  交互大屏组件清单（4 页 22 组件）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11"/>
        <w:gridCol w:w="2911"/>
        <w:gridCol w:w="2911"/>
      </w:tblGrid>
      <w:tr>
        <w:tc>
          <w:tcPr>
            <w:tcW w:type="dxa" w:w="291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标签页</w:t>
            </w:r>
          </w:p>
        </w:tc>
        <w:tc>
          <w:tcPr>
            <w:tcW w:type="dxa" w:w="291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组件</w:t>
            </w:r>
          </w:p>
        </w:tc>
        <w:tc>
          <w:tcPr>
            <w:tcW w:type="dxa" w:w="291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交互能力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① 销售总览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趋势图、双轴图、国家柱形、月度排名时间轴、星期时段热力图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时间轴自动轮播、数据缩放、悬停提示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② 客户洞察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RFM 贡献玫瑰图、客群规模柱形、同期群留存曲线、复购漏斗、分群画像、流失预警十分位区分度、预警名单 TOP10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图例筛选、悬停显示留存率、名单表排序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③ 商品结构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TOP10 商品、品类环形、商品词云、ABC 贡献、关联规则 Lift 榜、明细表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词云点击、表格排序、图例联动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④ 预测复盘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预测置信带、回测对比、同比增速复盘、波士顿矩阵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区间缩放、双轴切换</w:t>
            </w:r>
          </w:p>
        </w:tc>
      </w:tr>
    </w:tbl>
    <w:p>
      <w:pPr>
        <w:spacing w:after="40"/>
      </w:pP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大屏的交互能力体现在四点：</w:t>
      </w:r>
      <w:r>
        <w:rPr>
          <w:rFonts w:ascii="Times New Roman" w:hAnsi="Times New Roman" w:eastAsia="宋体"/>
          <w:b/>
          <w:color w:val="000000"/>
          <w:sz w:val="24"/>
        </w:rPr>
        <w:t>筛选</w:t>
      </w:r>
      <w:r>
        <w:rPr>
          <w:rFonts w:ascii="Times New Roman" w:hAnsi="Times New Roman" w:eastAsia="宋体"/>
          <w:b w:val="0"/>
          <w:color w:val="000000"/>
          <w:sz w:val="24"/>
        </w:rPr>
        <w:t>（图例可点击开关系列）、</w:t>
      </w:r>
      <w:r>
        <w:rPr>
          <w:rFonts w:ascii="Times New Roman" w:hAnsi="Times New Roman" w:eastAsia="宋体"/>
          <w:b/>
          <w:color w:val="000000"/>
          <w:sz w:val="24"/>
        </w:rPr>
        <w:t>缩放</w:t>
      </w:r>
      <w:r>
        <w:rPr>
          <w:rFonts w:ascii="Times New Roman" w:hAnsi="Times New Roman" w:eastAsia="宋体"/>
          <w:b w:val="0"/>
          <w:color w:val="000000"/>
          <w:sz w:val="24"/>
        </w:rPr>
        <w:t>（时间轴 slider 与 dataZoom 支持任意区间下钻）、</w:t>
      </w:r>
      <w:r>
        <w:rPr>
          <w:rFonts w:ascii="Times New Roman" w:hAnsi="Times New Roman" w:eastAsia="宋体"/>
          <w:b/>
          <w:color w:val="000000"/>
          <w:sz w:val="24"/>
        </w:rPr>
        <w:t>联动</w:t>
      </w:r>
      <w:r>
        <w:rPr>
          <w:rFonts w:ascii="Times New Roman" w:hAnsi="Times New Roman" w:eastAsia="宋体"/>
          <w:b w:val="0"/>
          <w:color w:val="000000"/>
          <w:sz w:val="24"/>
        </w:rPr>
        <w:t>（时间轴组件驱动月度排名随时间演进）、</w:t>
      </w:r>
      <w:r>
        <w:rPr>
          <w:rFonts w:ascii="Times New Roman" w:hAnsi="Times New Roman" w:eastAsia="宋体"/>
          <w:b/>
          <w:color w:val="000000"/>
          <w:sz w:val="24"/>
        </w:rPr>
        <w:t>明细下钻</w:t>
      </w:r>
      <w:r>
        <w:rPr>
          <w:rFonts w:ascii="Times New Roman" w:hAnsi="Times New Roman" w:eastAsia="宋体"/>
          <w:b w:val="0"/>
          <w:color w:val="000000"/>
          <w:sz w:val="24"/>
        </w:rPr>
        <w:t>（商品明细表支持排序，可直接定位到具体 SKU）。这些能力是 Excel 静态图无法提供的。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需要特别说明：本项目的全部图表与大屏</w:t>
      </w:r>
      <w:r>
        <w:rPr>
          <w:rFonts w:ascii="Times New Roman" w:hAnsi="Times New Roman" w:eastAsia="宋体"/>
          <w:b/>
          <w:color w:val="000000"/>
          <w:sz w:val="24"/>
        </w:rPr>
        <w:t>均由 Python 代码生成</w:t>
      </w:r>
      <w:r>
        <w:rPr>
          <w:rFonts w:ascii="Times New Roman" w:hAnsi="Times New Roman" w:eastAsia="宋体"/>
          <w:b w:val="0"/>
          <w:color w:val="000000"/>
          <w:sz w:val="24"/>
        </w:rPr>
        <w:t>，未使用 Power BI、Tableau、Fine BI 等任何 BI 软件，也不存在以 Excel 图表截图替代 Python 输出的情况。Excel 仅用于数据查看与结果核对。</w:t>
      </w:r>
    </w:p>
    <w:p>
      <w:pPr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400000" cy="30375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大屏演示_四标签拼图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3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color w:val="000000"/>
          <w:sz w:val="21"/>
        </w:rPr>
        <w:t>图 5-7  交互大屏四标签页演示截图（1920×1080，无头浏览器实拍）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图 5-7 为四个标签页的实拍演示截图（由 scripts/10_dashboard_screenshots.py 调用本机无头浏览器自动截取，并同步合成轮播 GIF，作为大屏演示材料提交）。左上为销售总览（KPI 卡 + 趋势 + 排名时间轴），右上为客户价值（RFM 玫瑰图 + 分群对比 + 留存曲线 + 复购漏斗 + 流失预警区分度与预警名单），左下为商品结构（TOP10 + 品类环形 + 词云 + ABC + 关联规则榜），右下为预测复盘（置信带 + 回测对比 + 波士顿矩阵）。四张截图共同说明：大屏的每一个标签页都与第 4 章的模型结论一一对应，业务人员无需阅读代码即可通过点选 Tab 完成从「经营概览」到「预测复盘」的完整分析路径。</w:t>
      </w:r>
    </w:p>
    <w:p>
      <w:pPr>
        <w:keepNext/>
        <w:spacing w:line="360" w:lineRule="auto" w:before="160" w:after="80"/>
        <w:outlineLvl w:val="0"/>
      </w:pPr>
      <w:r>
        <w:rPr>
          <w:rFonts w:ascii="Times New Roman" w:hAnsi="Times New Roman" w:eastAsia="黑体"/>
          <w:b/>
          <w:color w:val="000000"/>
          <w:sz w:val="28"/>
        </w:rPr>
        <w:t>6 商业案例分析</w:t>
      </w:r>
    </w:p>
    <w:p>
      <w:pPr>
        <w:keepNext/>
        <w:spacing w:line="360" w:lineRule="auto" w:before="100" w:after="80"/>
        <w:outlineLvl w:val="1"/>
      </w:pPr>
      <w:r>
        <w:rPr>
          <w:rFonts w:ascii="Times New Roman" w:hAnsi="Times New Roman" w:eastAsia="黑体"/>
          <w:b/>
          <w:color w:val="000000"/>
          <w:sz w:val="24"/>
        </w:rPr>
        <w:t>6.1 案例背景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将上述模型结论还原到业务现场。本案例的这家英国在线礼品家居零售商，主营家居装饰、厨房用品、节庆装饰与礼品包装，采用「批发分销为主、零售为辅」的双轨模式，客户遍布 36 个国家。它当前面临的三个典型困境是：库存资金被长尾 SKU 大量占用、客户运营缺乏分层导致营销预算浪费、圣诞旺季的备货节奏靠经验而非预测。</w:t>
      </w:r>
    </w:p>
    <w:p>
      <w:pPr>
        <w:keepNext/>
        <w:spacing w:line="360" w:lineRule="auto" w:before="100" w:after="80"/>
        <w:outlineLvl w:val="1"/>
      </w:pPr>
      <w:r>
        <w:rPr>
          <w:rFonts w:ascii="Times New Roman" w:hAnsi="Times New Roman" w:eastAsia="黑体"/>
          <w:b/>
          <w:color w:val="000000"/>
          <w:sz w:val="24"/>
        </w:rPr>
        <w:t>6.2 结果解读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>解读一：市场集中度过高，抗风险能力弱。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英国单一市场贡献 84.96% 的销售额，其余 35 个国家合计仅 15.04%。荷兰（3.75%）与爱尔兰（3.56%）虽位列二三，但客户数仅 12 位与 3 位，是典型的「大客户批发」结构——荷兰的客单价高达 3,083 英镑，是英国（453 英镑）的 6.8 倍。这意味着这两个市场的营收高度依赖个别批发商，一旦流失影响巨大。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>解读二：客户价值高度集中，长尾沉睡严重。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RFM 模型中，「重要价值客户」1,069 人（占 28.69%）贡献了 69.99% 的销售额，人均贡献 3,244 英镑；而「一般挽留客户」967 人（占 25.95%）仅贡献 4.35%，人均 223 英镑。K-Means 分群进一步印证：52.74% 的高价值忠诚群贡献 87.30% 营收，47.26% 的沉睡流失群仅贡献 12.70%，且平均 330 天未下单、人均消费仅 357 英镑。</w:t>
      </w:r>
    </w:p>
    <w:p>
      <w:pPr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42174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7_rfm_segment_bar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217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color w:val="000000"/>
          <w:sz w:val="21"/>
        </w:rPr>
        <w:t>图 6-1  RFM 八分群客户规模与金额贡献对比（fig27）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图 6-1 用双轴对比八个客群的「人数占比」与「营收占比」两根柱形，两柱高度的落差即价值错配的程度。「重要价值客户」两根柱几乎等高且高，而右侧四个「一般」类客群的营收柱明显矮于人数柱，是应当降低人工服务投入的对象。</w:t>
      </w:r>
    </w:p>
    <w:p>
      <w:pPr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55513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4_kmeans_cluster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5551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color w:val="000000"/>
          <w:sz w:val="21"/>
        </w:rPr>
        <w:t>图 6-2  K-Means 客户分群画像（fig34）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图 6-2 是 K-Means 分群在 R-F-M 三维空间的投影与簇画像对比。算法在无监督条件下自动切出的两个簇，与 RFM 人工八分类的结论高度吻合——这构成了对 RFM 结果的</w:t>
      </w:r>
      <w:r>
        <w:rPr>
          <w:rFonts w:ascii="Times New Roman" w:hAnsi="Times New Roman" w:eastAsia="宋体"/>
          <w:b/>
          <w:color w:val="000000"/>
          <w:sz w:val="24"/>
        </w:rPr>
        <w:t>独立交叉验证</w:t>
      </w:r>
      <w:r>
        <w:rPr>
          <w:rFonts w:ascii="Times New Roman" w:hAnsi="Times New Roman" w:eastAsia="宋体"/>
          <w:b w:val="0"/>
          <w:color w:val="000000"/>
          <w:sz w:val="24"/>
        </w:rPr>
        <w:t>：两种完全不同的方法指向同一个结论，说明客户价值集中的判断是稳健的，而非中位数切分阈值选择的偶然产物。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更有意思的是分界线落在何处。把聚类结果与购买次数交叉可以看到：高价值忠诚群的 1,965 人</w:t>
      </w:r>
      <w:r>
        <w:rPr>
          <w:rFonts w:ascii="Times New Roman" w:hAnsi="Times New Roman" w:eastAsia="宋体"/>
          <w:b/>
          <w:color w:val="000000"/>
          <w:sz w:val="24"/>
        </w:rPr>
        <w:t>全部</w:t>
      </w:r>
      <w:r>
        <w:rPr>
          <w:rFonts w:ascii="Times New Roman" w:hAnsi="Times New Roman" w:eastAsia="宋体"/>
          <w:b w:val="0"/>
          <w:color w:val="000000"/>
          <w:sz w:val="24"/>
        </w:rPr>
        <w:t>购买过 2 次及以上，沉睡流失群的 1,761 人</w:t>
      </w:r>
      <w:r>
        <w:rPr>
          <w:rFonts w:ascii="Times New Roman" w:hAnsi="Times New Roman" w:eastAsia="宋体"/>
          <w:b/>
          <w:color w:val="000000"/>
          <w:sz w:val="24"/>
        </w:rPr>
        <w:t>全部</w:t>
      </w:r>
      <w:r>
        <w:rPr>
          <w:rFonts w:ascii="Times New Roman" w:hAnsi="Times New Roman" w:eastAsia="宋体"/>
          <w:b w:val="0"/>
          <w:color w:val="000000"/>
          <w:sz w:val="24"/>
        </w:rPr>
        <w:t>只购买过 1 次，无一个例外。也就是说，无监督算法自动切出的分界精确地落在「是否完成第 2 次购买」上，而 1,965 ÷ 3,726 = 52.74%，与 §5.4 复购漏斗独立算出的复购率完全一致。这把两个原本独立的分析串成了一个连贯的因果链：</w:t>
      </w:r>
      <w:r>
        <w:rPr>
          <w:rFonts w:ascii="Times New Roman" w:hAnsi="Times New Roman" w:eastAsia="宋体"/>
          <w:b/>
          <w:color w:val="000000"/>
          <w:sz w:val="24"/>
        </w:rPr>
        <w:t>首购后能否转化为复购，是客户价值的分水岭</w:t>
      </w:r>
      <w:r>
        <w:rPr>
          <w:rFonts w:ascii="Times New Roman" w:hAnsi="Times New Roman" w:eastAsia="宋体"/>
          <w:b w:val="0"/>
          <w:color w:val="000000"/>
          <w:sz w:val="24"/>
        </w:rPr>
        <w:t>——跨过去则平均消费 2,201 英镑、贡献 87.30% 营收，跨不过去则平均消费仅 357 英镑、平均 330 天未再下单。这一发现直接对应 §6.3 建议五「分层召回沉睡客群」的优先级设定。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>解读三：留存断崖发生在第 2 个月，但留存住的客户极稳定。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首月到次月留存率从 100% 跌到 10.65%，这个断崖是自然的——礼品家居属于低频消费品，大量客户是「买一次就不再来」的一次性客。真正有价值的信号是：越过第 2 个月后留存率基本持平，长期稳定在 8.4%~10.9%，第 16 个月后缓慢抬升至 12% 一线（末期月份仅覆盖 1~3 个同期群，需谨慎解读）。这说明留存下来的客户是被产品黏住的，运营的目标应是「提高断崖前的转化率」，而不是「挽救已经流失的客户」。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>解读四：品类存在明确的季节性与结构性机会。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圣诞季品类同比增速 40.61%、派对品类 50.52%，增速惊人但当前份额很小；反之，珠宝配饰同比下滑 48.27%、园艺户外下滑 29.77%，属于应该收缩的品类。同时，TOP1 单品为 REGENCY CAKESTAND 3 TIER（三层蛋糕架，销售额 100,732 英镑），与白色挂式心形烛台、复古大号购物袋共同构成热销组合。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>解读五：关联规则可直接转化为陈列与推荐。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最强规则的提升度高达 16.11，例如购买「PAPER CHAIN KIT 50'S CHRISTMAS + 60 CAKE CASES VINTAGE」的订单中，77.97% 会同时购买「PAPER CHAIN KIT VINTAGE」；购买「ROSES REGENCY TEACUP」的订单中，71.18% 会同时购买「GREEN REGENCY TEACUP」。这些是同系列茶具与节庆装饰的强关联，可直接用于捆绑销售。</w:t>
      </w:r>
    </w:p>
    <w:p>
      <w:pPr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400000" cy="3151817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0_apriori_rules_scatter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518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color w:val="000000"/>
          <w:sz w:val="21"/>
        </w:rPr>
        <w:t>图 6-3  关联规则：支持度 × 置信度 × 提升度（fig30）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图 6-3 将 3,866 条规则投影为散点，横轴支持度、纵轴置信度、颜色深浅表示提升度。落在右上方且颜色最深的点，是「既常见、又可靠、还强关联」的黄金规则，应优先落地；而左上方高置信度但低支持度的点，虽然命中率高，因覆盖订单太少而不具备规模推广价值。</w:t>
      </w:r>
    </w:p>
    <w:p>
      <w:pPr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69345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5_repurchase_funnel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693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color w:val="000000"/>
          <w:sz w:val="21"/>
        </w:rPr>
        <w:t>图 6-4  五级复购转化漏斗（fig35）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图 6-4 的漏斗揭示了复购路径上的两道闸门：3,726 位客户中仅 1,965 位（52.74%）完成第 2 次购买，这是第一道也是最陡的闸门；但一旦跨过第 3 次（1,223 位），后续转化率反而逐级上升（62.24% → 63.37% → 69.03%），最终 535 位成为 5 次以上的忠诚客户。这印证了第 5.3 节留存曲线的判断：</w:t>
      </w:r>
      <w:r>
        <w:rPr>
          <w:rFonts w:ascii="Times New Roman" w:hAnsi="Times New Roman" w:eastAsia="宋体"/>
          <w:b/>
          <w:color w:val="000000"/>
          <w:sz w:val="24"/>
        </w:rPr>
        <w:t>真正的瓶颈在第 2 次购买</w:t>
      </w:r>
      <w:r>
        <w:rPr>
          <w:rFonts w:ascii="Times New Roman" w:hAnsi="Times New Roman" w:eastAsia="宋体"/>
          <w:b w:val="0"/>
          <w:color w:val="000000"/>
          <w:sz w:val="24"/>
        </w:rPr>
        <w:t>，把营销资源投在首购后的 30 天内促二次购买，边际收益最高。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>解读六：流失预警能做与不能做的边界同样清晰。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M10 模型在 3,255 位客户上训练，交叉验证 AUC 0.7241，三个时间外窗口 AUC 0.7100—0.7439。但真正有信息量的不是这个数字，而是它把「可预测」与「不可预测」划出了一条清楚的界线（图 6-5 与表 4-8）。</w:t>
      </w:r>
    </w:p>
    <w:p>
      <w:pPr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185623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6_churn_diagnostic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1856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color w:val="000000"/>
          <w:sz w:val="21"/>
        </w:rPr>
        <w:t>图 6-5  流失预警模型诊断：ROC、十分位区分度与系数方向（fig36）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图 6-5 的三个面板分别回答三个问题。(a) 中实线（5 折交叉验证）与虚线（时间外验证）几乎重合，说明换个时间窗口判别力不下降，模型学到的是稳定规律而非某一窗口的噪声。(b) 是十分位实际流失率：从第 10 分位的 91.72% 梯次降至第 1 分位的 32.52%，与全样本流失率 74.22% 形成清晰梯度——排序能力成立。但绿色累积捕捉率线与灰色随机基线几乎贴合，触达前 20% 客户只覆盖 23.97% 的真实流失（累积提升度 1.198×），这正说明仅凭概率高低圈定触达名单的收益有限，必须结合客户价值判断（见图 6-6 与表 4-10）。(c) 中 14 个特征的系数方向与业务先验一致：距末次购买越久（Recency，+0.26）、购买频次越低（Frequency，−0.22）、累计消费越少（Monetary，−0.17），流失概率越高。模型没有学到任何反常识的结论，这本身也是可信度的一种佐证。</w:t>
      </w:r>
    </w:p>
    <w:p>
      <w:pPr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400000" cy="3411726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7_churn_value_scatter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4117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color w:val="000000"/>
          <w:sz w:val="21"/>
        </w:rPr>
        <w:t>图 6-6  客户价值 × 流失概率全景与预警名单定位（fig37）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图 6-6 把 3,255 位客户投到「历史价值 × 流失概率」平面上，并用中位数切成四个决策象限。红圈标出的 40 位是期望损失（流失概率 × 历史消费）最高的客户，他们集中在右上方「高价值 · 高风险」象限——既有钱、又危险。值得警惕的是右下象限：这批客户流失概率虽低，但单客价值极高（最高的几位历史消费超过 10 万英镑），一旦流失损失巨大，应纳入重点维护而非预警名单。最终预警名单按期望损失排序取前 300 位，合计期望损失 365,989 英镑，相当于主样本 3,255 位客户历史累计消费总额（401.21 万英镑）的 9.12%。</w:t>
      </w:r>
    </w:p>
    <w:p>
      <w:pPr>
        <w:keepNext/>
        <w:spacing w:line="360" w:lineRule="auto" w:before="100" w:after="80"/>
        <w:outlineLvl w:val="1"/>
      </w:pPr>
      <w:r>
        <w:rPr>
          <w:rFonts w:ascii="Times New Roman" w:hAnsi="Times New Roman" w:eastAsia="黑体"/>
          <w:b/>
          <w:color w:val="000000"/>
          <w:sz w:val="24"/>
        </w:rPr>
        <w:t>6.3 商业建议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基于上述结果与模型证据，提出 5 条核心商业建议——均为可在中短期内排期执行的具体动作，每条都直接对应某一个模型的输出证据；另附 1 条战略性延伸建议，因其见效周期以年计、且不属于运营层面的即时决策，故单列于最后。所有建议的落地优先级与效果度量口径见表 6-1，以避免「有洞察、无抓手」的分析空转。</w:t>
      </w:r>
    </w:p>
    <w:p>
      <w:pPr>
        <w:spacing w:line="360" w:lineRule="auto" w:after="60"/>
        <w:ind w:left="480" w:hanging="240"/>
      </w:pPr>
      <w:r>
        <w:rPr>
          <w:rFonts w:ascii="Times New Roman" w:hAnsi="Times New Roman" w:eastAsia="宋体"/>
          <w:b/>
          <w:color w:val="000000"/>
          <w:sz w:val="24"/>
        </w:rPr>
        <w:t>建议一：对 1,069 位「重要价值客户」实行专属化运营。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他们以 28.69% 的人数贡献 69.99% 营收，人均年贡献 3,244 英镑。建议为其配备专属客户经理、优先发货与新品尝鲜权，并将营销预算的 60% 以上投向这一群体。预期效果：该群体留存率每提升 1 个百分点，可保住约 3.5 万英镑年营收。</w:t>
      </w:r>
    </w:p>
    <w:p>
      <w:pPr>
        <w:spacing w:line="360" w:lineRule="auto" w:after="60"/>
        <w:ind w:left="480" w:hanging="240"/>
      </w:pPr>
      <w:r>
        <w:rPr>
          <w:rFonts w:ascii="Times New Roman" w:hAnsi="Times New Roman" w:eastAsia="宋体"/>
          <w:b/>
          <w:color w:val="000000"/>
          <w:sz w:val="24"/>
        </w:rPr>
        <w:t>建议二：按 ABC 分类重构库存资金配置。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A 类 996 个 SKU（22.17%）贡献 80% 销售额，应保证高现货率与安全库存；C 类 2,291 个 SKU（50.99%）仅贡献 5%，应转为按单采购或直接下架，释放占用的仓储与资金。预计可将库存周转效率提升 30% 以上，且不影响 80% 的营收盘子。</w:t>
      </w:r>
    </w:p>
    <w:p>
      <w:pPr>
        <w:spacing w:line="360" w:lineRule="auto" w:after="60"/>
        <w:ind w:left="480" w:hanging="240"/>
      </w:pPr>
      <w:r>
        <w:rPr>
          <w:rFonts w:ascii="Times New Roman" w:hAnsi="Times New Roman" w:eastAsia="宋体"/>
          <w:b/>
          <w:color w:val="000000"/>
          <w:sz w:val="24"/>
        </w:rPr>
        <w:t>建议三：把关联规则落地为「组合陈列 + 捆绑优惠」。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以茶具系列（REGENCY 茶杯/茶托/蛋糕架）与节庆装饰（PAPER CHAIN 系列）为核心，在商品详情页设置「经常一起购买」模块，并对提升度 &gt; 10 的组合推出满减套装。依据：相关规则提升度达 14.79~16.11，置信度最高 80%，远高于随机共现水平，转化确定性高。</w:t>
      </w:r>
    </w:p>
    <w:p>
      <w:pPr>
        <w:spacing w:line="360" w:lineRule="auto" w:after="60"/>
        <w:ind w:left="480" w:hanging="240"/>
      </w:pPr>
      <w:r>
        <w:rPr>
          <w:rFonts w:ascii="Times New Roman" w:hAnsi="Times New Roman" w:eastAsia="宋体"/>
          <w:b/>
          <w:color w:val="000000"/>
          <w:sz w:val="24"/>
        </w:rPr>
        <w:t>建议四：圣诞备货基于预测提前 8 周启动，并利用 95% 置信区间设定安全库存。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模型显示 9—11 月为销售高峰（2011 年 11 月达 42.05 万英镑，为全年峰值），且圣诞与派对品类同比增速达 40.61% 与 50.52%。建议以预测点上界（CI95_Upper）作为备货上限、点预测作为基准采购量，既避免断货损失，也避免过量积压。</w:t>
      </w:r>
    </w:p>
    <w:p>
      <w:pPr>
        <w:spacing w:line="360" w:lineRule="auto" w:after="60"/>
        <w:ind w:left="480" w:hanging="240"/>
      </w:pPr>
      <w:r>
        <w:rPr>
          <w:rFonts w:ascii="Times New Roman" w:hAnsi="Times New Roman" w:eastAsia="宋体"/>
          <w:b/>
          <w:color w:val="000000"/>
          <w:sz w:val="24"/>
        </w:rPr>
        <w:t>建议五：分层召回沉睡客群，控制投入产出比。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K-Means 给出了一个可直接执行的名单：1,761 位「沉睡流失群」客户</w:t>
      </w:r>
      <w:r>
        <w:rPr>
          <w:rFonts w:ascii="Times New Roman" w:hAnsi="Times New Roman" w:eastAsia="宋体"/>
          <w:b/>
          <w:color w:val="000000"/>
          <w:sz w:val="24"/>
        </w:rPr>
        <w:t>无一例外只购买过 1 次</w:t>
      </w:r>
      <w:r>
        <w:rPr>
          <w:rFonts w:ascii="Times New Roman" w:hAnsi="Times New Roman" w:eastAsia="宋体"/>
          <w:b w:val="0"/>
          <w:color w:val="000000"/>
          <w:sz w:val="24"/>
        </w:rPr>
        <w:t>，人均消费 357 英镑、平均 330 天未再下单。这一群体的边界由无监督算法自动划定、且经 bootstrap 检验完全稳定，可以放心作为召回活动的目标池而无需再人工分层。其中对「一般挽留客户」（人均 223 英镑、平均 463 天未下单）改用低成本的邮件自动化触达，控制单次召回成本在 5 英镑以内；对「重要保持客户」（人均 1,482 英镑、371 天未下单）则值得投入人工回访与定向优惠，因其客单价是前者的 6.6 倍。召回顺序应严格按客单价排序，而非按数量排序。但 §4.3.4 的边界检验提醒了一个重要前提：一次性客户的流失</w:t>
      </w:r>
      <w:r>
        <w:rPr>
          <w:rFonts w:ascii="Times New Roman" w:hAnsi="Times New Roman" w:eastAsia="宋体"/>
          <w:b/>
          <w:color w:val="000000"/>
          <w:sz w:val="24"/>
        </w:rPr>
        <w:t>无法由历史行为预测</w:t>
      </w:r>
      <w:r>
        <w:rPr>
          <w:rFonts w:ascii="Times New Roman" w:hAnsi="Times New Roman" w:eastAsia="宋体"/>
          <w:b w:val="0"/>
          <w:color w:val="000000"/>
          <w:sz w:val="24"/>
        </w:rPr>
        <w:t>（AUC 仅 0.5481），因此针对这批客户的召回不应依赖行为模型筛选，而应改为全量低成本触达（如邮件、短信），把预算留给复购客户中的高期望损失者。M10 预警名单已按「流失概率 × 历史消费」排出前 300 位，合计期望损失 365,989 英镑，可直接作为定向优惠的投放清单。本条建议之所以提到 P1，正因为它同时满足「目标明确、成本低、见效快」三个条件：目标池已由模型划定完毕，无需额外的数据准备工作。</w:t>
      </w:r>
    </w:p>
    <w:p>
      <w:pPr>
        <w:spacing w:line="360" w:lineRule="auto" w:after="60"/>
        <w:ind w:left="480" w:hanging="240"/>
      </w:pPr>
      <w:r>
        <w:rPr>
          <w:rFonts w:ascii="Times New Roman" w:hAnsi="Times New Roman" w:eastAsia="宋体"/>
          <w:b/>
          <w:color w:val="000000"/>
          <w:sz w:val="24"/>
        </w:rPr>
        <w:t>延伸建议：推进市场多元化以对冲单一市场依赖。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英国占 84.96% 的营收结构使公司暴露于单一市场波动风险，建议优先拓展德国（63 位客户、客单价 492 英镑）与法国（62 位客户、482 英镑）这类客户基数已成规模、客单价健康的邻国市场，而非继续依赖荷兰、爱尔兰的个别大批发商。</w:t>
      </w:r>
    </w:p>
    <w:p>
      <w:pPr>
        <w:spacing w:after="0"/>
      </w:pP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上述 5 条核心建议并非同等重要，也不可能在同一个时间窗内全部启动；延伸建议则属于年度规划层面的战略议题。为使有限的预算与人力获得最高投入产出比，进一步按「投入成本 — 见效速度 — 收益规模」三个维度排序，形成落地优先级矩阵（表 6-1）。</w:t>
      </w:r>
    </w:p>
    <w:p>
      <w:pPr>
        <w:spacing w:after="40"/>
        <w:jc w:val="center"/>
      </w:pPr>
      <w:r>
        <w:rPr>
          <w:rFonts w:ascii="Times New Roman" w:hAnsi="Times New Roman" w:eastAsia="黑体"/>
          <w:color w:val="000000"/>
          <w:sz w:val="21"/>
        </w:rPr>
        <w:t>表 6-1  商业建议落地优先级与效果度量矩阵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46"/>
        <w:gridCol w:w="1746"/>
        <w:gridCol w:w="1746"/>
        <w:gridCol w:w="1746"/>
        <w:gridCol w:w="1746"/>
      </w:tblGrid>
      <w:tr>
        <w:tc>
          <w:tcPr>
            <w:tcW w:type="dxa" w:w="174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建议</w:t>
            </w:r>
          </w:p>
        </w:tc>
        <w:tc>
          <w:tcPr>
            <w:tcW w:type="dxa" w:w="174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核心模型证据</w:t>
            </w:r>
          </w:p>
        </w:tc>
        <w:tc>
          <w:tcPr>
            <w:tcW w:type="dxa" w:w="174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量化预期效果</w:t>
            </w:r>
          </w:p>
        </w:tc>
        <w:tc>
          <w:tcPr>
            <w:tcW w:type="dxa" w:w="174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优先级</w:t>
            </w:r>
          </w:p>
        </w:tc>
        <w:tc>
          <w:tcPr>
            <w:tcW w:type="dxa" w:w="174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效果度量指标（KPI）</w:t>
            </w:r>
          </w:p>
        </w:tc>
      </w:tr>
      <w:tr>
        <w:tc>
          <w:tcPr>
            <w:tcW w:type="dxa" w:w="174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建议一 · 重要价值客户专属运营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RFM：1,069 人（28.69%）贡献 69.99% 营收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该群留存率每 +1pp，约保住 £3.5 万/年营收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P1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该群季度留存率、人均年贡献额</w:t>
            </w:r>
          </w:p>
        </w:tc>
      </w:tr>
      <w:tr>
        <w:tc>
          <w:tcPr>
            <w:tcW w:type="dxa" w:w="174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建议二 · ABC 重构库存资金配置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帕累托：A 类 22.17% SKU 贡献 80% 销售额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库存周转效率 +30% 以上，不影响 80% 营收盘子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P1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A 类现货率/缺货率、C 类 SKU 占比</w:t>
            </w:r>
          </w:p>
        </w:tc>
      </w:tr>
      <w:tr>
        <w:tc>
          <w:tcPr>
            <w:tcW w:type="dxa" w:w="174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建议三 · 组合陈列 + 捆绑优惠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Apriori：3,866 条规则，最强提升度 16.11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提升连带率与客单价，转化确定性高于随机推荐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P2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连带率（件/单）、组合订单占比</w:t>
            </w:r>
          </w:p>
        </w:tc>
      </w:tr>
      <w:tr>
        <w:tc>
          <w:tcPr>
            <w:tcW w:type="dxa" w:w="174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建议四 · 提前 8 周备货 + CI95 安全库存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预测：MAPE 34.70%，11 月峰值 £42.05 万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降低旺季缺货损失，同时抑制季末积压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P2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旺季缺货率、季末滞销库存占比</w:t>
            </w:r>
          </w:p>
        </w:tc>
      </w:tr>
      <w:tr>
        <w:tc>
          <w:tcPr>
            <w:tcW w:type="dxa" w:w="174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建议五 · 分层召回沉睡客群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K-Means：1,761 人（47.26%）全部仅购买 1 次，人均 £357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召回 ROI ≥ 3:1（单次触达成本控制在 £5 内）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P1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30 日回流率、单次召回成本</w:t>
            </w:r>
          </w:p>
        </w:tc>
      </w:tr>
      <w:tr>
        <w:tc>
          <w:tcPr>
            <w:tcW w:type="dxa" w:w="174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延伸建议</w:t>
              <w:br/>
              <w:t>市场多元化（战略）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结构分析：英国单一市场占 84.96%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英国营收占比降至 80% 以下，降低集中度风险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P3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非英营收占比、德/法新客净增数</w:t>
            </w:r>
          </w:p>
        </w:tc>
      </w:tr>
    </w:tbl>
    <w:p>
      <w:pPr>
        <w:spacing w:after="40"/>
      </w:pP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优先级评定口径：P1 为低成本、收益确定且可在一个月内启动的措施，对应的是「模型已经把该找的人、该压的货指出来了」，执行即可兑现收益；P2 需要跨部门配合（营销、采购、仓储），建议在一个季度内排期落地，其效果依赖执行质量，需先小范围 A/B 验证再全面推广；P3 属于战略性结构调整，见效周期以年计，应纳入年度规划而非季度考核。需要强调的是，所有 KPI 均已在上表中给出可观测的定义，因此建议在落地后是可以被反向检验的——这正是「分析 → 决策 → 反馈」闭环成立的前提。最后需要说明的是，之所以把市场多元化单独列为「延伸建议」：课程模板要求正文给出 3~5 条可直接执行的商业建议，而该条涉及品牌、渠道与合规等长周期投入，与其余五条「运营侧即时可执行」的性质不同。将其单列，既保证核心建议区间符合规范，也如实呈现了单一市场依赖这一结构性风险的严重性。</w:t>
      </w:r>
    </w:p>
    <w:p>
      <w:pPr>
        <w:keepNext/>
        <w:spacing w:line="360" w:lineRule="auto" w:before="160" w:after="80"/>
        <w:outlineLvl w:val="0"/>
      </w:pPr>
      <w:r>
        <w:rPr>
          <w:rFonts w:ascii="Times New Roman" w:hAnsi="Times New Roman" w:eastAsia="黑体"/>
          <w:b/>
          <w:color w:val="000000"/>
          <w:sz w:val="28"/>
        </w:rPr>
        <w:t>7 结论与展望</w:t>
      </w:r>
    </w:p>
    <w:p>
      <w:pPr>
        <w:keepNext/>
        <w:spacing w:line="360" w:lineRule="auto" w:before="100" w:after="80"/>
        <w:outlineLvl w:val="1"/>
      </w:pPr>
      <w:r>
        <w:rPr>
          <w:rFonts w:ascii="Times New Roman" w:hAnsi="Times New Roman" w:eastAsia="黑体"/>
          <w:b/>
          <w:color w:val="000000"/>
          <w:sz w:val="24"/>
        </w:rPr>
        <w:t>7.1 研究结论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本项目完成了从合规取数到商业建议的完整闭环。核心价值可以概括为三点：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第一，</w:t>
      </w:r>
      <w:r>
        <w:rPr>
          <w:rFonts w:ascii="Times New Roman" w:hAnsi="Times New Roman" w:eastAsia="宋体"/>
          <w:b/>
          <w:color w:val="000000"/>
          <w:sz w:val="24"/>
        </w:rPr>
        <w:t>方法闭环可被完整复现</w:t>
      </w:r>
      <w:r>
        <w:rPr>
          <w:rFonts w:ascii="Times New Roman" w:hAnsi="Times New Roman" w:eastAsia="宋体"/>
          <w:b w:val="0"/>
          <w:color w:val="000000"/>
          <w:sz w:val="24"/>
        </w:rPr>
        <w:t>。项目以 10 个脚本串联成流水线，随机种子固定为 2026，任何人克隆仓库后执行 python run_all.py 即可重新生成 37 张图表、99 张结果表、交互大屏与大屏演示截图，这在 Excel 手工分析中是无法实现的。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第二，</w:t>
      </w:r>
      <w:r>
        <w:rPr>
          <w:rFonts w:ascii="Times New Roman" w:hAnsi="Times New Roman" w:eastAsia="宋体"/>
          <w:b/>
          <w:color w:val="000000"/>
          <w:sz w:val="24"/>
        </w:rPr>
        <w:t>模型结论有数据支撑且可检验</w:t>
      </w:r>
      <w:r>
        <w:rPr>
          <w:rFonts w:ascii="Times New Roman" w:hAnsi="Times New Roman" w:eastAsia="宋体"/>
          <w:b w:val="0"/>
          <w:color w:val="000000"/>
          <w:sz w:val="24"/>
        </w:rPr>
        <w:t>。10 类模型的参数均有业务依据，预测模型给出 95% 置信区间并完成 30 天留出回测（MAPE 34.70%、RMSE 11,169 英镑），误差水平如实披露而非选择性报告。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第三，</w:t>
      </w:r>
      <w:r>
        <w:rPr>
          <w:rFonts w:ascii="Times New Roman" w:hAnsi="Times New Roman" w:eastAsia="宋体"/>
          <w:b/>
          <w:color w:val="000000"/>
          <w:sz w:val="24"/>
        </w:rPr>
        <w:t>业务建议可直接落地</w:t>
      </w:r>
      <w:r>
        <w:rPr>
          <w:rFonts w:ascii="Times New Roman" w:hAnsi="Times New Roman" w:eastAsia="宋体"/>
          <w:b w:val="0"/>
          <w:color w:val="000000"/>
          <w:sz w:val="24"/>
        </w:rPr>
        <w:t>。从 30 万行明细中提炼出 5 条核心建议与 1 条延伸建议，每条都对应明确的模型证据与预期效果，覆盖客户运营、库存配置、营销组合、节庆备货与市场拓展五个决策场景，并给出优先级排序与效果度量口径（表 6-1）。</w:t>
      </w:r>
    </w:p>
    <w:p>
      <w:pPr>
        <w:keepNext/>
        <w:spacing w:line="360" w:lineRule="auto" w:before="100" w:after="80"/>
        <w:outlineLvl w:val="1"/>
      </w:pPr>
      <w:r>
        <w:rPr>
          <w:rFonts w:ascii="Times New Roman" w:hAnsi="Times New Roman" w:eastAsia="黑体"/>
          <w:b/>
          <w:color w:val="000000"/>
          <w:sz w:val="24"/>
        </w:rPr>
        <w:t>7.2 局限性与展望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本项目的局限性主要有五点，需坦诚说明：</w:t>
      </w:r>
    </w:p>
    <w:p>
      <w:pPr>
        <w:spacing w:line="360" w:lineRule="auto" w:after="60"/>
        <w:ind w:left="480" w:hanging="240"/>
      </w:pPr>
      <w:r>
        <w:rPr>
          <w:rFonts w:ascii="Times New Roman" w:hAnsi="Times New Roman" w:eastAsia="宋体"/>
          <w:b/>
          <w:color w:val="000000"/>
          <w:sz w:val="24"/>
        </w:rPr>
        <w:t>成本数据缺失导致利润分析无法开展。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数据集仅含售价与数量，不含采购成本与物流成本，因此所有分析基于销售额而非毛利。这会影响 ABC 分类的 precision——某些高销售额 SKU 可能毛利很低。若有成本数据，应改用「毛利额」重做 ABC 与波士顿矩阵。</w:t>
      </w:r>
    </w:p>
    <w:p>
      <w:pPr>
        <w:spacing w:line="360" w:lineRule="auto" w:after="60"/>
        <w:ind w:left="480" w:hanging="240"/>
      </w:pPr>
      <w:r>
        <w:rPr>
          <w:rFonts w:ascii="Times New Roman" w:hAnsi="Times New Roman" w:eastAsia="宋体"/>
          <w:b/>
          <w:color w:val="000000"/>
          <w:sz w:val="24"/>
        </w:rPr>
        <w:t>30% 抽样会低估长尾商品的共现频次。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虽然整单抽样保护了购物篮结构，但低频商品的共现仍可能被抽样抹去，导致部分低支持度但高提升度的关联规则未被发现。后续可在全量数据上重跑 Apriori 以补全长尾规则。</w:t>
      </w:r>
    </w:p>
    <w:p>
      <w:pPr>
        <w:spacing w:line="360" w:lineRule="auto" w:after="60"/>
        <w:ind w:left="480" w:hanging="240"/>
      </w:pPr>
      <w:r>
        <w:rPr>
          <w:rFonts w:ascii="Times New Roman" w:hAnsi="Times New Roman" w:eastAsia="宋体"/>
          <w:b/>
          <w:color w:val="000000"/>
          <w:sz w:val="24"/>
        </w:rPr>
        <w:t>日频预测的 MAPE 偏高（34.7%）。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日销售额本身信噪比低，且受月末结账与促销事件影响。改进方向有三：聚合到周频或月频建模；引入促销与节假日作为外生变量（可改用 SARIMAX 或 Prophet）；对极端日做异常值平滑处理。</w:t>
      </w:r>
    </w:p>
    <w:p>
      <w:pPr>
        <w:spacing w:line="360" w:lineRule="auto" w:after="60"/>
        <w:ind w:left="480" w:hanging="240"/>
      </w:pPr>
      <w:r>
        <w:rPr>
          <w:rFonts w:ascii="Times New Roman" w:hAnsi="Times New Roman" w:eastAsia="宋体"/>
          <w:b/>
          <w:color w:val="000000"/>
          <w:sz w:val="24"/>
        </w:rPr>
        <w:t>同期群分析仅覆盖 25 个月。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受数据时间跨度限制，无法观察 3 年以上的超长期留存与生命周期价值（CLV）衰减规律，也无法验证「第 16 个月后留存回升」是否为稳定的季节性复购而非幸存者偏差。</w:t>
      </w:r>
    </w:p>
    <w:p>
      <w:pPr>
        <w:spacing w:line="360" w:lineRule="auto" w:after="60"/>
        <w:ind w:left="480" w:hanging="240"/>
      </w:pPr>
      <w:r>
        <w:rPr>
          <w:rFonts w:ascii="Times New Roman" w:hAnsi="Times New Roman" w:eastAsia="宋体"/>
          <w:b/>
          <w:color w:val="000000"/>
          <w:sz w:val="24"/>
        </w:rPr>
        <w:t>流失预警的判别力受数据上限约束，且流失定义含主观成分。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一次性客户（占主样本 49%）的流失 AUC 仅 0.5481，接近随机水平——他们没有任何可供学习的行为历史，这不是模型缺陷，而是数据固有边界。换言之，近半数客户的流失无法靠行为特征预警，只能依靠首购体验改善等前端手段。此外，「3 个月未购买即流失」的定义本身带有主观性，虽然已用前移窗口（时间外）与 1/3/6/9 个月窗口长度两组敏感性分析验证了结论的稳健性（AUC 0.7100—0.7439，见表 4-9），但最终阈值仍应由业务方结合真实采购周期确认。</w:t>
      </w:r>
    </w:p>
    <w:p>
      <w:pPr>
        <w:spacing w:after="0"/>
      </w:pP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后续工作可在三个方向推进：接入成本数据构建利润视角的分析体系；引入 Prophet 或 LightGBM 加入节假日与促销特征提升预测精度；把流失预警从离线模型推进为线上调度——按月滚动重训、自动输出预警名单，并接入触达渠道以闭环验证挽回率假设。</w:t>
      </w:r>
    </w:p>
    <w:p>
      <w:pPr>
        <w:keepNext/>
        <w:spacing w:line="360" w:lineRule="auto" w:before="160" w:after="80"/>
        <w:outlineLvl w:val="0"/>
      </w:pPr>
      <w:r>
        <w:rPr>
          <w:rFonts w:ascii="Times New Roman" w:hAnsi="Times New Roman" w:eastAsia="黑体"/>
          <w:b/>
          <w:color w:val="000000"/>
          <w:sz w:val="28"/>
        </w:rPr>
        <w:t>8 AI 使用披露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本项目在开发过程中使用了 AI 编程助手（WorkBuddy，基于大语言模型的智能编码代理），现按学术诚信要求如实披露使用情况。</w:t>
      </w:r>
    </w:p>
    <w:p>
      <w:pPr>
        <w:spacing w:after="40"/>
        <w:jc w:val="center"/>
      </w:pPr>
      <w:r>
        <w:rPr>
          <w:rFonts w:ascii="Times New Roman" w:hAnsi="Times New Roman" w:eastAsia="黑体"/>
          <w:color w:val="000000"/>
          <w:sz w:val="21"/>
        </w:rPr>
        <w:t>表 8-1  AI 使用环节与性质说明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11"/>
        <w:gridCol w:w="2911"/>
        <w:gridCol w:w="2911"/>
      </w:tblGrid>
      <w:tr>
        <w:tc>
          <w:tcPr>
            <w:tcW w:type="dxa" w:w="291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使用环节</w:t>
            </w:r>
          </w:p>
        </w:tc>
        <w:tc>
          <w:tcPr>
            <w:tcW w:type="dxa" w:w="291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具体用途</w:t>
            </w:r>
          </w:p>
        </w:tc>
        <w:tc>
          <w:tcPr>
            <w:tcW w:type="dxa" w:w="291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AI 参与性质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代码编写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生成数据清洗、模型计算、图表绘制与大屏脚本的初始框架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辅助（本人审阅修改）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图表实现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协助实现瀑布图、子弹图、矩形树图等 Matplotlib 无原生支持的图型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辅助（算法由本人验证）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演示材料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编写无头浏览器自动截图脚本，定位虚拟时间预算导致浏览器挂起等问题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辅助（本人验证通过）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论文撰写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协助章节结构组织与文字润色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辅助（数据与结论由本人产出）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错误调试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定位并修复脚本运行中的语法与 API 兼容问题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辅助</w:t>
            </w:r>
          </w:p>
        </w:tc>
      </w:tr>
    </w:tbl>
    <w:p>
      <w:pPr>
        <w:spacing w:after="40"/>
      </w:pP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>关键提示词示例</w:t>
      </w:r>
      <w:r>
        <w:rPr>
          <w:rFonts w:ascii="Times New Roman" w:hAnsi="Times New Roman" w:eastAsia="宋体"/>
          <w:b w:val="0"/>
          <w:color w:val="000000"/>
          <w:sz w:val="24"/>
        </w:rPr>
        <w:t>（用于说明 AI 参与的实际范围）：</w:t>
      </w:r>
    </w:p>
    <w:p>
      <w:pPr>
        <w:spacing w:line="360" w:lineRule="auto" w:after="60"/>
        <w:ind w:left="480" w:hanging="240"/>
      </w:pPr>
      <w:r>
        <w:rPr>
          <w:rFonts w:ascii="Times New Roman" w:hAnsi="Times New Roman" w:eastAsia="宋体"/>
          <w:b w:val="0"/>
          <w:color w:val="000000"/>
          <w:sz w:val="24"/>
        </w:rPr>
        <w:t>「使用 Matplotlib 实现矩形树图，采用 squarify 算法，要求子矩形长宽比接近 1，支持自定义配色与标签」</w:t>
      </w:r>
    </w:p>
    <w:p>
      <w:pPr>
        <w:spacing w:line="360" w:lineRule="auto" w:after="60"/>
        <w:ind w:left="480" w:hanging="240"/>
      </w:pPr>
      <w:r>
        <w:rPr>
          <w:rFonts w:ascii="Times New Roman" w:hAnsi="Times New Roman" w:eastAsia="宋体"/>
          <w:b w:val="0"/>
          <w:color w:val="000000"/>
          <w:sz w:val="24"/>
        </w:rPr>
        <w:t>「用 Pyecharts 搭建暗色主题商业分析大屏，包含趋势图、热力图、漏斗图、词云等不少于 6 个联动组件」</w:t>
      </w:r>
    </w:p>
    <w:p>
      <w:pPr>
        <w:spacing w:line="360" w:lineRule="auto" w:after="60"/>
        <w:ind w:left="480" w:hanging="240"/>
      </w:pPr>
      <w:r>
        <w:rPr>
          <w:rFonts w:ascii="Times New Roman" w:hAnsi="Times New Roman" w:eastAsia="宋体"/>
          <w:b w:val="0"/>
          <w:color w:val="000000"/>
          <w:sz w:val="24"/>
        </w:rPr>
        <w:t>「按期末大作业模板结构，用 python-docx 生成论文，要求题目三号黑体居中、正文小四号宋体 1.5 倍行距、嵌入指定图表」</w:t>
      </w:r>
    </w:p>
    <w:p>
      <w:pPr>
        <w:spacing w:line="360" w:lineRule="auto" w:after="60"/>
        <w:ind w:left="480" w:hanging="240"/>
      </w:pPr>
      <w:r>
        <w:rPr>
          <w:rFonts w:ascii="Times New Roman" w:hAnsi="Times New Roman" w:eastAsia="宋体"/>
          <w:b w:val="0"/>
          <w:color w:val="000000"/>
          <w:sz w:val="24"/>
        </w:rPr>
        <w:t>「检查这段 RFM 计算代码：为什么 Monetary 阈值用中位数而不是均值」</w:t>
      </w:r>
    </w:p>
    <w:p>
      <w:pPr>
        <w:spacing w:line="360" w:lineRule="auto" w:after="60"/>
        <w:ind w:left="480" w:hanging="240"/>
      </w:pPr>
      <w:r>
        <w:rPr>
          <w:rFonts w:ascii="Times New Roman" w:hAnsi="Times New Roman" w:eastAsia="宋体"/>
          <w:b w:val="0"/>
          <w:color w:val="000000"/>
          <w:sz w:val="24"/>
        </w:rPr>
        <w:t>「写一个脚本用无头浏览器对大屏 HTML 逐标签页截图，要求不依赖虚拟时间预算、可一键复现」</w:t>
      </w:r>
    </w:p>
    <w:p>
      <w:pPr>
        <w:spacing w:after="0"/>
      </w:pP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>需要明确声明的是</w:t>
      </w:r>
      <w:r>
        <w:rPr>
          <w:rFonts w:ascii="Times New Roman" w:hAnsi="Times New Roman" w:eastAsia="宋体"/>
          <w:b w:val="0"/>
          <w:color w:val="000000"/>
          <w:sz w:val="24"/>
        </w:rPr>
        <w:t>：本项目的数据获取、清洗规则设计、模型选型、参数阈值设定、结果解读与全部商业建议，均由本人基于课程所学独立完成并承担责任；AI 未替代本人进行分析判断，也未参与任何结论的编造。所有由 AI 生成的代码均经本人逐行审阅、在真实数据上运行验证，并按课程要求完整披露。本项目未抄袭任何他人的代码或仓库。</w:t>
      </w:r>
    </w:p>
    <w:p>
      <w:r>
        <w:br w:type="page"/>
      </w:r>
    </w:p>
    <w:p>
      <w:pPr>
        <w:keepNext/>
        <w:spacing w:line="360" w:lineRule="auto" w:before="160" w:after="80"/>
        <w:outlineLvl w:val="0"/>
      </w:pPr>
      <w:r>
        <w:rPr>
          <w:rFonts w:ascii="Times New Roman" w:hAnsi="Times New Roman" w:eastAsia="黑体"/>
          <w:b/>
          <w:color w:val="000000"/>
          <w:sz w:val="28"/>
        </w:rPr>
        <w:t>参考文献</w:t>
      </w:r>
    </w:p>
    <w:p>
      <w:pPr>
        <w:spacing w:line="360" w:lineRule="auto" w:after="60"/>
        <w:ind w:left="480" w:hanging="480"/>
      </w:pPr>
      <w:r>
        <w:rPr>
          <w:rFonts w:ascii="Times New Roman" w:hAnsi="Times New Roman" w:eastAsia="宋体"/>
          <w:color w:val="000000"/>
          <w:sz w:val="21"/>
        </w:rPr>
        <w:t>[1] Chen, D. (2012). Online Retail II [Dataset]. UCI Machine Learning Repository. https://doi.org/10.24432/C60H6D.</w:t>
      </w:r>
    </w:p>
    <w:p>
      <w:pPr>
        <w:spacing w:line="360" w:lineRule="auto" w:after="60"/>
        <w:ind w:left="480" w:hanging="480"/>
      </w:pPr>
      <w:r>
        <w:rPr>
          <w:rFonts w:ascii="Times New Roman" w:hAnsi="Times New Roman" w:eastAsia="宋体"/>
          <w:color w:val="000000"/>
          <w:sz w:val="21"/>
        </w:rPr>
        <w:t>[2] 陈剑, 等. Excel 数据可视化——从图表到数据大屏[M]. 北京: 电子工业出版社.</w:t>
      </w:r>
    </w:p>
    <w:p>
      <w:pPr>
        <w:spacing w:line="360" w:lineRule="auto" w:after="60"/>
        <w:ind w:left="480" w:hanging="480"/>
      </w:pPr>
      <w:r>
        <w:rPr>
          <w:rFonts w:ascii="Times New Roman" w:hAnsi="Times New Roman" w:eastAsia="宋体"/>
          <w:color w:val="000000"/>
          <w:sz w:val="21"/>
        </w:rPr>
        <w:t>[3] McKinney, W. Python for Data Analysis: Data Wrangling with pandas, NumPy, and IPython[M]. 3rd ed. Sebastopol: O'Reilly Media, 2022.</w:t>
      </w:r>
    </w:p>
    <w:p>
      <w:pPr>
        <w:spacing w:line="360" w:lineRule="auto" w:after="60"/>
        <w:ind w:left="480" w:hanging="480"/>
      </w:pPr>
      <w:r>
        <w:rPr>
          <w:rFonts w:ascii="Times New Roman" w:hAnsi="Times New Roman" w:eastAsia="宋体"/>
          <w:color w:val="000000"/>
          <w:sz w:val="21"/>
        </w:rPr>
        <w:t>[4] Hunter, J. D. Matplotlib: A 2D Graphics Environment[J]. Computing in Science &amp; Engineering, 2007, 9(3): 90-95.</w:t>
      </w:r>
    </w:p>
    <w:p>
      <w:pPr>
        <w:spacing w:line="360" w:lineRule="auto" w:after="60"/>
        <w:ind w:left="480" w:hanging="480"/>
      </w:pPr>
      <w:r>
        <w:rPr>
          <w:rFonts w:ascii="Times New Roman" w:hAnsi="Times New Roman" w:eastAsia="宋体"/>
          <w:color w:val="000000"/>
          <w:sz w:val="21"/>
        </w:rPr>
        <w:t>[5] Hyndman, R. J., &amp; Athanasopoulos, G. Forecasting: Principles and Practice[M]. 3rd ed. Melbourne: OTexts, 2021.</w:t>
      </w:r>
    </w:p>
    <w:p>
      <w:pPr>
        <w:spacing w:line="360" w:lineRule="auto" w:after="60"/>
        <w:ind w:left="480" w:hanging="480"/>
      </w:pPr>
      <w:r>
        <w:rPr>
          <w:rFonts w:ascii="Times New Roman" w:hAnsi="Times New Roman" w:eastAsia="宋体"/>
          <w:color w:val="000000"/>
          <w:sz w:val="21"/>
        </w:rPr>
        <w:t>[6] Agrawal, R., &amp; Srikant, R. Fast Algorithms for Mining Association Rules[C]. Proceedings of the 20th VLDB Conference, 1994: 487-499.</w:t>
      </w:r>
    </w:p>
    <w:p>
      <w:pPr>
        <w:spacing w:line="360" w:lineRule="auto" w:after="60"/>
        <w:ind w:left="480" w:hanging="480"/>
      </w:pPr>
      <w:r>
        <w:rPr>
          <w:rFonts w:ascii="Times New Roman" w:hAnsi="Times New Roman" w:eastAsia="宋体"/>
          <w:color w:val="000000"/>
          <w:sz w:val="21"/>
        </w:rPr>
        <w:t>[7] Raschk, S. Python Machine Learning: Machine Learning and Deep Learning with Python, scikit-learn, and TensorFlow 2[M]. 3rd ed. Birmingham: Packt Publishing, 2019.</w:t>
      </w:r>
    </w:p>
    <w:p>
      <w:pPr>
        <w:spacing w:line="360" w:lineRule="auto" w:after="60"/>
        <w:ind w:left="480" w:hanging="480"/>
      </w:pPr>
      <w:r>
        <w:rPr>
          <w:rFonts w:ascii="Times New Roman" w:hAnsi="Times New Roman" w:eastAsia="宋体"/>
          <w:color w:val="000000"/>
          <w:sz w:val="21"/>
        </w:rPr>
        <w:t>[8] Pedregosa, F., et al. Scikit-learn: Machine Learning in Python[J]. Journal of Machine Learning Research, 2011, 12: 2825-2830.</w:t>
      </w:r>
    </w:p>
    <w:p>
      <w:r>
        <w:br w:type="page"/>
      </w:r>
    </w:p>
    <w:p>
      <w:pPr>
        <w:keepNext/>
        <w:spacing w:line="360" w:lineRule="auto" w:before="160" w:after="80"/>
        <w:outlineLvl w:val="0"/>
      </w:pPr>
      <w:r>
        <w:rPr>
          <w:rFonts w:ascii="Times New Roman" w:hAnsi="Times New Roman" w:eastAsia="黑体"/>
          <w:b/>
          <w:color w:val="000000"/>
          <w:sz w:val="28"/>
        </w:rPr>
        <w:t>附录</w:t>
      </w:r>
    </w:p>
    <w:p>
      <w:pPr>
        <w:keepNext/>
        <w:spacing w:line="360" w:lineRule="auto" w:before="100" w:after="80"/>
        <w:outlineLvl w:val="1"/>
      </w:pPr>
      <w:r>
        <w:rPr>
          <w:rFonts w:ascii="Times New Roman" w:hAnsi="Times New Roman" w:eastAsia="黑体"/>
          <w:b/>
          <w:color w:val="000000"/>
          <w:sz w:val="24"/>
        </w:rPr>
        <w:t>附录 A　核心代码片段</w:t>
      </w:r>
    </w:p>
    <w:p>
      <w:pPr>
        <w:spacing w:line="360" w:lineRule="auto" w:after="40" w:before="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A.1　按发票整单随机抽样（保证购物篮完整，固定随机种子 2026）</w:t>
      </w:r>
    </w:p>
    <w:p>
      <w:pPr>
        <w:spacing w:line="276" w:lineRule="auto" w:after="160"/>
        <w:ind w:left="360"/>
      </w:pPr>
      <w:r>
        <w:rPr>
          <w:rFonts w:ascii="Times New Roman" w:hAnsi="Times New Roman" w:eastAsia="Consolas"/>
          <w:color w:val="000000"/>
          <w:sz w:val="18"/>
        </w:rPr>
        <w:t>rng = np.random.default_rng(cfg.RANDOM_SEED)          # 随机种子固定，结果可复现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invoices = full['Invoice'].drop_duplicates()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picked = rng.choice(invoices, size=int(len(invoices) * cfg.SAMPLE_FRAC), replace=False)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# 关键：以「发票」为抽样单元，保留选中发票的全部明细行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sampled = full[full['Invoice'].isin(picked)].copy()</w:t>
      </w:r>
    </w:p>
    <w:p>
      <w:pPr>
        <w:spacing w:line="360" w:lineRule="auto" w:after="40" w:before="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A.2　RFM 八分类（中位数切分 + R/F/M 三维度交叉）</w:t>
      </w:r>
    </w:p>
    <w:p>
      <w:pPr>
        <w:spacing w:line="276" w:lineRule="auto" w:after="160"/>
        <w:ind w:left="360"/>
      </w:pPr>
      <w:r>
        <w:rPr>
          <w:rFonts w:ascii="Times New Roman" w:hAnsi="Times New Roman" w:eastAsia="Consolas"/>
          <w:color w:val="000000"/>
          <w:sz w:val="18"/>
        </w:rPr>
        <w:t>d = fact[(fact['CustomerID'] != 'GUEST') &amp; (fact['OrderDate'] &lt;= CUT_DATE)]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rfm = d.groupby('CustomerID').agg(</w:t>
      </w:r>
      <w:r>
        <w:br/>
      </w:r>
      <w:r>
        <w:rPr>
          <w:rFonts w:ascii="Times New Roman" w:hAnsi="Times New Roman" w:eastAsia="Consolas"/>
          <w:color w:val="000000"/>
          <w:sz w:val="18"/>
        </w:rPr>
        <w:t xml:space="preserve">    Recency=('OrderDate', lambda s: (snapshot - s.max()).days),</w:t>
      </w:r>
      <w:r>
        <w:br/>
      </w:r>
      <w:r>
        <w:rPr>
          <w:rFonts w:ascii="Times New Roman" w:hAnsi="Times New Roman" w:eastAsia="Consolas"/>
          <w:color w:val="000000"/>
          <w:sz w:val="18"/>
        </w:rPr>
        <w:t xml:space="preserve">    Frequency=('Invoice', 'nunique'),</w:t>
      </w:r>
      <w:r>
        <w:br/>
      </w:r>
      <w:r>
        <w:rPr>
          <w:rFonts w:ascii="Times New Roman" w:hAnsi="Times New Roman" w:eastAsia="Consolas"/>
          <w:color w:val="000000"/>
          <w:sz w:val="18"/>
        </w:rPr>
        <w:t xml:space="preserve">    Monetary=('Revenue', 'sum')).reset_index()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# 中位数切分：R/F/M 均右偏，中位数对极值稳健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med = {k: rfm[k].median() for k in ('Recency', 'Frequency', 'Monetary')}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rfm['R_score'] = np.where(rfm['Recency'] &lt;= med['Recency'], 'H', 'L')  # R 越小越好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rfm['F_score'] = np.where(rfm['Frequency'] &gt;= med['Frequency'], 'H', 'L')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rfm['M_score'] = np.where(rfm['Monetary']  &gt;= med['Monetary'],  'H', 'L')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rfm['RFM_Cell'] = rfm['R_score'] + rfm['F_score'] + rfm['M_score']   # 8 个客群</w:t>
      </w:r>
    </w:p>
    <w:p>
      <w:pPr>
        <w:spacing w:line="360" w:lineRule="auto" w:after="40" w:before="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A.3　Apriori 关联规则（三阈值均有业务依据）</w:t>
      </w:r>
    </w:p>
    <w:p>
      <w:pPr>
        <w:spacing w:line="276" w:lineRule="auto" w:after="160"/>
        <w:ind w:left="360"/>
      </w:pPr>
      <w:r>
        <w:rPr>
          <w:rFonts w:ascii="Times New Roman" w:hAnsi="Times New Roman" w:eastAsia="Consolas"/>
          <w:color w:val="000000"/>
          <w:sz w:val="18"/>
        </w:rPr>
        <w:t>frequent = apriori(basket_bool, min_support=0.01, use_colnames=True, max_len=3)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rules = association_rules(frequent, metric='lift', min_threshold=1.0)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rules = rules[rules['confidence'] &gt;= 0.15].sort_values('lift', ascending=False)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# 支持度≥1%（有铺货价值） 提升度&gt;1（正向关联） 置信度≥15%（推荐可命中）</w:t>
      </w:r>
    </w:p>
    <w:p>
      <w:pPr>
        <w:spacing w:line="360" w:lineRule="auto" w:after="40" w:before="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A.4　Holt-Winters 预测 + 95% 置信区间 + 留出回测</w:t>
      </w:r>
    </w:p>
    <w:p>
      <w:pPr>
        <w:spacing w:line="276" w:lineRule="auto" w:after="160"/>
        <w:ind w:left="360"/>
      </w:pPr>
      <w:r>
        <w:rPr>
          <w:rFonts w:ascii="Times New Roman" w:hAnsi="Times New Roman" w:eastAsia="Consolas"/>
          <w:color w:val="000000"/>
          <w:sz w:val="18"/>
        </w:rPr>
        <w:t>model = ExponentialSmoothing(train, trend='add', damped_trend=True,</w:t>
      </w:r>
      <w:r>
        <w:br/>
      </w:r>
      <w:r>
        <w:rPr>
          <w:rFonts w:ascii="Times New Roman" w:hAnsi="Times New Roman" w:eastAsia="Consolas"/>
          <w:color w:val="000000"/>
          <w:sz w:val="18"/>
        </w:rPr>
        <w:t xml:space="preserve">                             seasonal='add', seasonal_periods=7).fit()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fc  = model.forecast(30)                      # 点预测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res = model.resid                             # 残差标准差构造区间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lower = np.maximum(fc - 1.96 * sigma, 0)      # 销售额非负 → 下界截断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upper = fc + 1.96 * sigma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mape = mean_absolute_percentage_error(test, fc_test)</w:t>
      </w:r>
    </w:p>
    <w:p>
      <w:pPr>
        <w:spacing w:line="360" w:lineRule="auto" w:after="40" w:before="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A.5　矩形树图 squarify 算法（Matplotlib 无原生支持，自行实现）</w:t>
      </w:r>
    </w:p>
    <w:p>
      <w:pPr>
        <w:spacing w:line="276" w:lineRule="auto" w:after="160"/>
        <w:ind w:left="360"/>
      </w:pPr>
      <w:r>
        <w:rPr>
          <w:rFonts w:ascii="Times New Roman" w:hAnsi="Times New Roman" w:eastAsia="Consolas"/>
          <w:color w:val="000000"/>
          <w:sz w:val="18"/>
        </w:rPr>
        <w:t>def squarify(sizes, x, y, w, h):</w:t>
      </w:r>
      <w:r>
        <w:br/>
      </w:r>
      <w:r>
        <w:rPr>
          <w:rFonts w:ascii="Times New Roman" w:hAnsi="Times New Roman" w:eastAsia="Consolas"/>
          <w:color w:val="000000"/>
          <w:sz w:val="18"/>
        </w:rPr>
        <w:t xml:space="preserve">    # 始终沿当前矩形较短的一边排布，使子矩形长宽比尽量接近 1</w:t>
      </w:r>
      <w:r>
        <w:br/>
      </w:r>
      <w:r>
        <w:rPr>
          <w:rFonts w:ascii="Times New Roman" w:hAnsi="Times New Roman" w:eastAsia="Consolas"/>
          <w:color w:val="000000"/>
          <w:sz w:val="18"/>
        </w:rPr>
        <w:t xml:space="preserve">    if len(sizes) == 1: return [(x, y, w, h)]</w:t>
      </w:r>
      <w:r>
        <w:br/>
      </w:r>
      <w:r>
        <w:rPr>
          <w:rFonts w:ascii="Times New Roman" w:hAnsi="Times New Roman" w:eastAsia="Consolas"/>
          <w:color w:val="000000"/>
          <w:sz w:val="18"/>
        </w:rPr>
        <w:t xml:space="preserve">    half = int(len(sizes) / 2)</w:t>
      </w:r>
      <w:r>
        <w:br/>
      </w:r>
      <w:r>
        <w:rPr>
          <w:rFonts w:ascii="Times New Roman" w:hAnsi="Times New Roman" w:eastAsia="Consolas"/>
          <w:color w:val="000000"/>
          <w:sz w:val="18"/>
        </w:rPr>
        <w:t xml:space="preserve">    if w &gt;= h:   # 竖切</w:t>
      </w:r>
      <w:r>
        <w:br/>
      </w:r>
      <w:r>
        <w:rPr>
          <w:rFonts w:ascii="Times New Roman" w:hAnsi="Times New Roman" w:eastAsia="Consolas"/>
          <w:color w:val="000000"/>
          <w:sz w:val="18"/>
        </w:rPr>
        <w:t xml:space="preserve">        ...</w:t>
      </w:r>
      <w:r>
        <w:br/>
      </w:r>
      <w:r>
        <w:rPr>
          <w:rFonts w:ascii="Times New Roman" w:hAnsi="Times New Roman" w:eastAsia="Consolas"/>
          <w:color w:val="000000"/>
          <w:sz w:val="18"/>
        </w:rPr>
        <w:t xml:space="preserve">    else:        # 横切</w:t>
      </w:r>
      <w:r>
        <w:br/>
      </w:r>
      <w:r>
        <w:rPr>
          <w:rFonts w:ascii="Times New Roman" w:hAnsi="Times New Roman" w:eastAsia="Consolas"/>
          <w:color w:val="000000"/>
          <w:sz w:val="18"/>
        </w:rPr>
        <w:t xml:space="preserve">        ...</w:t>
      </w:r>
    </w:p>
    <w:p>
      <w:pPr>
        <w:spacing w:line="360" w:lineRule="auto" w:after="40" w:before="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A.6　流失预警的观测窗 / 表现窗切分与时间外验证（防数据泄漏）</w:t>
      </w:r>
    </w:p>
    <w:p>
      <w:pPr>
        <w:spacing w:line="276" w:lineRule="auto" w:after="160"/>
        <w:ind w:left="360"/>
      </w:pPr>
      <w:r>
        <w:rPr>
          <w:rFonts w:ascii="Times New Roman" w:hAnsi="Times New Roman" w:eastAsia="Consolas"/>
          <w:color w:val="000000"/>
          <w:sz w:val="18"/>
        </w:rPr>
        <w:t># 两窗严格不重叠：特征只来自观测窗，标签只来自表现窗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obs_end, perf_end = '2011-08-31', '2011-11-30'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feat = customers[customers['LastPurchase'] &lt;= obs_end]      # 特征截止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label = customers[(customers['LastPurchase'] &gt; obs_end) &amp;   # 表现窗内</w:t>
      </w:r>
      <w:r>
        <w:br/>
      </w:r>
      <w:r>
        <w:rPr>
          <w:rFonts w:ascii="Times New Roman" w:hAnsi="Times New Roman" w:eastAsia="Consolas"/>
          <w:color w:val="000000"/>
          <w:sz w:val="18"/>
        </w:rPr>
        <w:t xml:space="preserve">                   (customers['LastPurchase'] &lt;= perf_end)].index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y = pd.Series((~feat.index.isin(label)).astype(int),       # 表现窗静默=流失</w:t>
      </w:r>
      <w:r>
        <w:br/>
      </w:r>
      <w:r>
        <w:rPr>
          <w:rFonts w:ascii="Times New Roman" w:hAnsi="Times New Roman" w:eastAsia="Consolas"/>
          <w:color w:val="000000"/>
          <w:sz w:val="18"/>
        </w:rPr>
        <w:t xml:space="preserve">              index=feat.index)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# 时间外验证：用 2011-08-31 之前的数据训练，预测其后的流失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scores_oof = cross_val_predict(clf, X, y, cv=5, method='predict_proba')[:, 1]</w:t>
      </w:r>
    </w:p>
    <w:p>
      <w:pPr>
        <w:keepNext/>
        <w:spacing w:line="360" w:lineRule="auto" w:before="100" w:after="80"/>
        <w:outlineLvl w:val="1"/>
      </w:pPr>
      <w:r>
        <w:rPr>
          <w:rFonts w:ascii="Times New Roman" w:hAnsi="Times New Roman" w:eastAsia="黑体"/>
          <w:b/>
          <w:color w:val="000000"/>
          <w:sz w:val="24"/>
        </w:rPr>
        <w:t>附录 B　GitHub 仓库链接与目录结构</w:t>
      </w:r>
    </w:p>
    <w:p>
      <w:pPr>
        <w:spacing w:line="360" w:lineRule="auto" w:after="80" w:before="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仓库地址（公开可见）：https://github.com/heee-a/business-data-analysis</w:t>
      </w:r>
    </w:p>
    <w:p>
      <w:pPr>
        <w:spacing w:line="360" w:lineRule="auto" w:after="80" w:before="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GitHub Pages 大屏在线地址：https://heee-a.github.io/business-data-analysis/</w:t>
      </w:r>
    </w:p>
    <w:p>
      <w:pPr>
        <w:spacing w:line="276" w:lineRule="auto" w:after="160"/>
        <w:ind w:left="360"/>
      </w:pPr>
      <w:r>
        <w:rPr>
          <w:rFonts w:ascii="Times New Roman" w:hAnsi="Times New Roman" w:eastAsia="Consolas"/>
          <w:color w:val="000000"/>
          <w:sz w:val="18"/>
        </w:rPr>
        <w:t>business-data-analysis/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├── data/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│   ├── raw/        online_retail_II_raw_sample.csv(.gz)、provenance.json、sampled_invoice_ids.csv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│   ├── clean/      fact_order_items、dim_orders、dim_products、dim_customers、dim_date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│   │               retail_clean.sqlite(.gz)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│   └── schema/     data_dictionary.csv、star_schema.json、README_schema.md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├── scripts/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│   ├── 01_load.py       数据获取（官方下载 + 按发票抽样）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│   ├── 02_clean.py      清洗治理 + 星型模型 + 多格式导出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│   ├── 03_analysis.py   10 类商业分析模型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│   ├── 04_visuals.py    37 张静态图表（200dpi）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│   ├── 05_dashboard.py  Pyecharts 交互大屏（22 组件）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│   ├── 06_report.py     期末大论文与图表索引生成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│   ├── 07_offline_bundle.py  离线自包含大屏打包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│   ├── 08_deliver.py    交付物归档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│   ├── 09_excel_summary.py  关键结果 Excel 汇总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│   ├── 10_dashboard_screenshots.py  大屏演示截图（拼图 + GIF）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│   └── utils/           config.py / io_utils.py / style.py / chart_helpers.py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├── outputs/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│   ├── figures/     fig01 ~ fig37（37 张 PNG）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│   ├── tables/      99 个结果表（53 CSV + 46 JSON）+ 00_关键结果汇总.xlsx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│   ├── dashboard/   dashboard_dark.html + dashboard_offline.html（大屏）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│   ├── dashboard_screenshots/  大屏分 Tab 截图 + 拼图 + GIF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│   └── html/        22 个独立组件 HTML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├── docs/           论文 .docx / .pdf、图表索引.md、数据来源合规声明.md、复现验证报告.md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├── pages/          index.html（GitHub Pages 入口）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├── requirements.txt    依赖清单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├── run_all.py          一键复现入口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└── README.md           项目简介、数据来源、复现步骤、图表索引、分工说明</w:t>
      </w:r>
    </w:p>
    <w:p>
      <w:pPr>
        <w:keepNext/>
        <w:spacing w:line="360" w:lineRule="auto" w:before="100" w:after="80"/>
        <w:outlineLvl w:val="1"/>
      </w:pPr>
      <w:r>
        <w:rPr>
          <w:rFonts w:ascii="Times New Roman" w:hAnsi="Times New Roman" w:eastAsia="黑体"/>
          <w:b/>
          <w:color w:val="000000"/>
          <w:sz w:val="24"/>
        </w:rPr>
        <w:t>附录 C　图表索引（fig01–fig37 + 大屏组件）</w:t>
      </w:r>
    </w:p>
    <w:p>
      <w:pPr>
        <w:spacing w:line="360" w:lineRule="auto" w:after="80" w:before="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以下为正文未收录但在分析中同样关键的业务模型图，按模型顺序排列。</w:t>
      </w:r>
    </w:p>
    <w:p>
      <w:pPr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040000" cy="2386706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_mom_yoy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3867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color w:val="000000"/>
          <w:sz w:val="21"/>
        </w:rPr>
        <w:t>图 C-1  月度销售额环比/同比组合图（fig01_mom_yoy）</w:t>
      </w:r>
    </w:p>
    <w:p>
      <w:pPr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040000" cy="3699692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3_treemap_category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699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color w:val="000000"/>
          <w:sz w:val="21"/>
        </w:rPr>
        <w:t>图 C-2  品类销售额矩形树图（fig23_treemap_category）</w:t>
      </w:r>
    </w:p>
    <w:p>
      <w:pPr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040000" cy="4518533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1_apriori_network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45185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color w:val="000000"/>
          <w:sz w:val="21"/>
        </w:rPr>
        <w:t>图 C-3  商品共现网络图（fig31_apriori_network）</w:t>
      </w:r>
    </w:p>
    <w:p>
      <w:pPr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040000" cy="2033125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7_calendar_heatmap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033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color w:val="000000"/>
          <w:sz w:val="21"/>
        </w:rPr>
        <w:t>图 C-4  日销售额日历热力图（fig17_calendar_heatmap）</w:t>
      </w:r>
    </w:p>
    <w:p>
      <w:pPr>
        <w:spacing w:after="40"/>
        <w:jc w:val="center"/>
      </w:pPr>
      <w:r>
        <w:rPr>
          <w:rFonts w:ascii="Times New Roman" w:hAnsi="Times New Roman" w:eastAsia="黑体"/>
          <w:color w:val="000000"/>
          <w:sz w:val="21"/>
        </w:rPr>
        <w:t>表 C-1  37 张静态图索引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83"/>
        <w:gridCol w:w="2183"/>
        <w:gridCol w:w="2183"/>
        <w:gridCol w:w="2183"/>
      </w:tblGrid>
      <w:tr>
        <w:tc>
          <w:tcPr>
            <w:tcW w:type="dxa" w:w="218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编号</w:t>
            </w:r>
          </w:p>
        </w:tc>
        <w:tc>
          <w:tcPr>
            <w:tcW w:type="dxa" w:w="218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文件名</w:t>
            </w:r>
          </w:p>
        </w:tc>
        <w:tc>
          <w:tcPr>
            <w:tcW w:type="dxa" w:w="218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对应模板/模型</w:t>
            </w:r>
          </w:p>
        </w:tc>
        <w:tc>
          <w:tcPr>
            <w:tcW w:type="dxa" w:w="218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说明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fig01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fig01_mom_yoy.png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组合图·环比同比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月度销售额柱 + MoM/YoY 双轴折线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fig02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fig02_revenue_trend_line.png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折线图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日销售额趋势 + MA30 + 峰值标注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fig03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fig03_monthly_revenue_area.png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面积图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月度销售额与订单量双面积图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fig04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fig04_top_countries_bar.png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柱形图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国家销售额 TOP12 + 数据标签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fig05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fig05_top_products_barh.png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条形图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商品销售额 TOP15 横向条形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fig06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fig06_country_donut.png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环形图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国家销售额结构 + 中心总计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fig07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fig07_monthly_stacked_bar.png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堆积柱形图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月度销售额国别构成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fig08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fig08_category_pct_stacked.png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百分比堆积柱形图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月度品类结构占比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fig09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fig09_aov_frequency_scatter.png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散点图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频次 × 金额 + 幂律趋势线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fig10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fig10_country_bubble.png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气泡图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客户数 × 客单价 × 销售额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fig11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fig11_order_value_histogram.png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直方图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订单金额分布 + KDE + 均值/中位数线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fig12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fig12_boxplot_country.png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箱线图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主要国家订单金额分布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fig13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fig13_weekday_hour_heatmap.png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热力图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星期 × 时段销售额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fig14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fig14_country_radar.png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雷达图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TOP5 国家五维指标对比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fig15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fig15_monthly_waterfall.png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瀑布图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近 12 个月销售额增量链路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fig16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fig16_gauge_target.png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仪表盘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年度目标达成率 + 年度对比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fig17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fig17_calendar_heatmap.png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日历热力图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日销售额日历视图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fig18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fig18_slope_top_countries.png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坡度图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TOP8 国家年度规模变化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fig19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fig19_dual_axis_revenue_orders.png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三轴组合图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销售额 + 订单数 + 客单价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fig20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fig20_rose_category.png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玫瑰图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品类销售额南丁格尔玫瑰图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fig21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fig21_bullet_category.png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子弹图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品类实际 vs 目标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fig22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fig22_violin_order_value.png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小提琴图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各季度订单金额分布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fig23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fig23_treemap_category.png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矩形树图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品类销售额面积占比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fig24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fig24_wordcloud_products.png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词云图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热门商品描述词频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fig25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fig25_moving_average.png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多重折线图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MA7/MA30/MA90 趋势平滑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fig26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fig26_rfm_scatter_ch8.png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M2 RFM 模型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RFM 八分类气泡矩阵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fig27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fig27_rfm_segment_bar.png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M2 RFM 模型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八分群客户规模 vs 金额贡献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fig28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fig28_cohort_retention_heatmap.png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M3 同期群留存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月度同期群留存热力图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fig29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fig29_pareto_abc.png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M4 帕累托/ABC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TOP30 商品帕累托 + ABC 分界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fig30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fig30_apriori_rules_scatter.png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M5 关联规则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支持度 × 置信度 × 提升度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fig31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fig31_apriori_network.png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M5 关联规则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商品共现网络图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fig32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fig32_bcg_matrix.png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M6 波士顿矩阵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相对份额 × 增速四象限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fig33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fig33_forecast_ci.png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M7 时间序列预测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点预测 + 95% 置信区间 + 回测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fig34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fig34_kmeans_clusters.png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M8 K-Means 分群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散点 + 分群画像对比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fig35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fig35_repurchase_funnel.png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M9 复购漏斗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五级复购转化漏斗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fig36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fig36_churn_diagnostics.png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M10 流失预警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ROC（含时间外）+ 十分位流失率 + 系数方向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fig37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fig37_churn_value_scatter.png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M10 流失预警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客户价值 × 流失概率全景与预警名单定位</w:t>
            </w:r>
          </w:p>
        </w:tc>
      </w:tr>
    </w:tbl>
    <w:p>
      <w:pPr>
        <w:spacing w:after="40"/>
      </w:pPr>
    </w:p>
    <w:p>
      <w:pPr>
        <w:spacing w:after="40"/>
        <w:jc w:val="center"/>
      </w:pPr>
      <w:r>
        <w:rPr>
          <w:rFonts w:ascii="Times New Roman" w:hAnsi="Times New Roman" w:eastAsia="黑体"/>
          <w:color w:val="000000"/>
          <w:sz w:val="21"/>
        </w:rPr>
        <w:t>表 C-2  交互大屏 22 个组件清单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11"/>
        <w:gridCol w:w="2911"/>
        <w:gridCol w:w="2911"/>
      </w:tblGrid>
      <w:tr>
        <w:tc>
          <w:tcPr>
            <w:tcW w:type="dxa" w:w="291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标签页</w:t>
            </w:r>
          </w:p>
        </w:tc>
        <w:tc>
          <w:tcPr>
            <w:tcW w:type="dxa" w:w="291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组件</w:t>
            </w:r>
          </w:p>
        </w:tc>
        <w:tc>
          <w:tcPr>
            <w:tcW w:type="dxa" w:w="291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标题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tab1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trend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月度销售额趋势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tab1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dual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销售额 × 订单数双轴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tab1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country_bar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TOP10 国家销售额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tab1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timeline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月度国家排名时间轴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tab1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heatmap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星期时段热力图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tab2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rfm_pie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RFM 金额贡献玫瑰图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tab2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rfm_bar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RFM 客群规模与贡献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tab2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cohort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同期群留存曲线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tab2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funnel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复购漏斗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tab2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kmeans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K-Means 分群画像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tab2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churn_decile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流失预警十分位区分度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tab2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churn_watch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流失预警 TOP10 名单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tab3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top_products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TOP10 热销商品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tab3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cat_pie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品类结构环形图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tab3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wordcloud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热销商品词云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tab3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abc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ABC 分类贡献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tab3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rules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关联规则 Lift 排行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tab3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table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商品明细表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tab4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forecast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预测与置信区间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tab4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backtest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回测对比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tab4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yoy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同比增速复盘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tab4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bcg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波士顿矩阵</w:t>
            </w:r>
          </w:p>
        </w:tc>
      </w:tr>
    </w:tbl>
    <w:p>
      <w:pPr>
        <w:spacing w:after="40"/>
      </w:pPr>
    </w:p>
    <w:p>
      <w:pPr>
        <w:spacing w:line="360" w:lineRule="auto" w:after="80" w:before="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完整索引（含栅格宽度与交互能力说明）见仓库 docs/图表索引.md；大屏演示文件见 outputs/dashboard/dashboard_offline.html（离线版，双击即开）。</w:t>
      </w:r>
    </w:p>
    <w:p>
      <w:pPr>
        <w:keepNext/>
        <w:spacing w:line="360" w:lineRule="auto" w:before="100" w:after="80"/>
        <w:outlineLvl w:val="1"/>
      </w:pPr>
      <w:r>
        <w:rPr>
          <w:rFonts w:ascii="Times New Roman" w:hAnsi="Times New Roman" w:eastAsia="黑体"/>
          <w:b/>
          <w:color w:val="000000"/>
          <w:sz w:val="24"/>
        </w:rPr>
        <w:t>附录 D　图表总览（缩略图）</w:t>
      </w:r>
    </w:p>
    <w:p>
      <w:pPr>
        <w:spacing w:line="360" w:lineRule="auto" w:after="80" w:before="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评分标准建议图表可按「10 行 3 列」缩排附录，本项目共 37 张图，故按同一排版规格扩展为 **13 行 3 列**，将全部静态图以缩略图集中呈现，便于快速核对图表与模型的对应关系。各图原始文件（200dpi PNG）位于仓库 outputs/figures/。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911"/>
        <w:gridCol w:w="2911"/>
        <w:gridCol w:w="2911"/>
      </w:tblGrid>
      <w:tr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741583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01_mom_yoy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74158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fig01　组合图·环比同比</w:t>
            </w:r>
          </w:p>
        </w:tc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669241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02_revenue_trend_line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66924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fig02　折线图</w:t>
            </w:r>
          </w:p>
        </w:tc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642897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03_monthly_revenue_area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64289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fig03　面积图</w:t>
            </w:r>
          </w:p>
        </w:tc>
      </w:tr>
      <w:tr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895168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04_top_countries_bar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8951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fig04　柱形图</w:t>
            </w:r>
          </w:p>
        </w:tc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914306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05_top_products_barh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91430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fig05　条形图</w:t>
            </w:r>
          </w:p>
        </w:tc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1217779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06_country_donut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121777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fig06　环形图</w:t>
            </w:r>
          </w:p>
        </w:tc>
      </w:tr>
      <w:tr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737670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07_monthly_stacked_bar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73767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fig07　堆积柱形图</w:t>
            </w:r>
          </w:p>
        </w:tc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936599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08_category_pct_stacked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9365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fig08　百分比堆积柱形图</w:t>
            </w:r>
          </w:p>
        </w:tc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875612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09_aov_frequency_scatter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8756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fig09　散点图</w:t>
            </w:r>
          </w:p>
        </w:tc>
      </w:tr>
      <w:tr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858684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10_country_bubble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8586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fig10　气泡图</w:t>
            </w:r>
          </w:p>
        </w:tc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791708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11_order_value_histogram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7917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fig11　直方图</w:t>
            </w:r>
          </w:p>
        </w:tc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761673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12_boxplot_country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76167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fig12　箱线图</w:t>
            </w:r>
          </w:p>
        </w:tc>
      </w:tr>
      <w:tr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948227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13_weekday_hour_heatmap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94822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fig13　热力图</w:t>
            </w:r>
          </w:p>
        </w:tc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1537668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14_country_radar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15376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fig14　雷达图</w:t>
            </w:r>
          </w:p>
        </w:tc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686974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15_monthly_waterfall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68697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fig15　瀑布图</w:t>
            </w:r>
          </w:p>
        </w:tc>
      </w:tr>
      <w:tr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750436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16_gauge_target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7504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fig16　仪表盘</w:t>
            </w:r>
          </w:p>
        </w:tc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631721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17_calendar_heatmap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63172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fig17　日历热力图</w:t>
            </w:r>
          </w:p>
        </w:tc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971646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18_slope_top_countries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97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fig18　坡度图</w:t>
            </w:r>
          </w:p>
        </w:tc>
      </w:tr>
      <w:tr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723803"/>
                  <wp:docPr id="36" name="Picture 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19_dual_axis_revenue_orders.pn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72380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fig19　三轴组合图</w:t>
            </w:r>
          </w:p>
        </w:tc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1572876"/>
                  <wp:docPr id="37" name="Picture 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20_rose_category.pn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15728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fig20　玫瑰图</w:t>
            </w:r>
          </w:p>
        </w:tc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843283"/>
                  <wp:docPr id="38" name="Picture 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21_bullet_category.pn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84328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fig21　子弹图</w:t>
            </w:r>
          </w:p>
        </w:tc>
      </w:tr>
      <w:tr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706578"/>
                  <wp:docPr id="39" name="Picture 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22_violin_order_value.pn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70657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fig22　小提琴图</w:t>
            </w:r>
          </w:p>
        </w:tc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1149547"/>
                  <wp:docPr id="40" name="Picture 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23_treemap_category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114954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fig23　矩形树图</w:t>
            </w:r>
          </w:p>
        </w:tc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867333"/>
                  <wp:docPr id="41" name="Picture 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24_wordcloud_products.png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86733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fig24　词云图</w:t>
            </w:r>
          </w:p>
        </w:tc>
      </w:tr>
      <w:tr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669241"/>
                  <wp:docPr id="42" name="Picture 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25_moving_average.pn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66924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fig25　多重折线图</w:t>
            </w:r>
          </w:p>
        </w:tc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875021"/>
                  <wp:docPr id="43" name="Picture 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26_rfm_scatter_ch8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87502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fig26　M2 RFM 模型</w:t>
            </w:r>
          </w:p>
        </w:tc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702305"/>
                  <wp:docPr id="44" name="Picture 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27_rfm_segment_bar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70230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fig27　M2 RFM 模型</w:t>
            </w:r>
          </w:p>
        </w:tc>
      </w:tr>
      <w:tr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898339"/>
                  <wp:docPr id="45" name="Picture 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28_cohort_retention_heatmap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89833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fig28　M3 同期群留存</w:t>
            </w:r>
          </w:p>
        </w:tc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785833"/>
                  <wp:docPr id="46" name="Picture 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29_pareto_abc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78583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fig29　M4 帕累托/ABC</w:t>
            </w:r>
          </w:p>
        </w:tc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914026"/>
                  <wp:docPr id="47" name="Picture 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30_apriori_rules_scatter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91402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fig30　M5 关联规则</w:t>
            </w:r>
          </w:p>
        </w:tc>
      </w:tr>
      <w:tr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1403972"/>
                  <wp:docPr id="48" name="Picture 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31_apriori_network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14039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fig31　M5 关联规则</w:t>
            </w:r>
          </w:p>
        </w:tc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1029317"/>
                  <wp:docPr id="49" name="Picture 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32_bcg_matrix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102931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fig32　M6 波士顿矩阵</w:t>
            </w:r>
          </w:p>
        </w:tc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729126"/>
                  <wp:docPr id="50" name="Picture 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33_forecast_ci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72912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fig33　M7 时间序列预测</w:t>
            </w:r>
          </w:p>
        </w:tc>
      </w:tr>
      <w:tr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740988"/>
                  <wp:docPr id="51" name="Picture 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34_kmeans_clusters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7409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fig34　M8 K-Means 分群</w:t>
            </w:r>
          </w:p>
        </w:tc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977109"/>
                  <wp:docPr id="52" name="Picture 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35_repurchase_funnel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97710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fig35　M9 复购漏斗</w:t>
            </w:r>
          </w:p>
        </w:tc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633830"/>
                  <wp:docPr id="53" name="Picture 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36_churn_diagnostics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63383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fig36　M10 流失预警</w:t>
            </w:r>
          </w:p>
        </w:tc>
      </w:tr>
      <w:tr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989400"/>
                  <wp:docPr id="54" name="Picture 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37_churn_value_scatter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989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fig37　M10 流失预警</w:t>
            </w:r>
          </w:p>
        </w:tc>
        <w:tc>
          <w:tcPr>
            <w:tcW w:type="dxa" w:w="2911"/>
          </w:tcPr>
          <w:p/>
        </w:tc>
        <w:tc>
          <w:tcPr>
            <w:tcW w:type="dxa" w:w="2911"/>
          </w:tcPr>
          <w:p/>
        </w:tc>
      </w:tr>
    </w:tbl>
    <w:p>
      <w:pPr>
        <w:spacing w:line="360" w:lineRule="auto" w:after="80" w:before="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</w:r>
    </w:p>
    <w:sectPr w:rsidR="00FC693F" w:rsidRPr="0006063C" w:rsidSect="00034616">
      <w:pgSz w:w="11906" w:h="16838"/>
      <w:pgMar w:top="1417" w:right="1587" w:bottom="1304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2026-01-01T00:00:00Z</dcterms:created>
  <dcterms:modified xsi:type="dcterms:W3CDTF">2026-01-01T00:00:00Z</dcterms:modified>
  <cp:category/>
</cp:coreProperties>
</file>