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Times New Roman" w:hAnsi="Times New Roman" w:eastAsia="黑体"/>
          <w:b/>
          <w:color w:val="000000"/>
          <w:sz w:val="32"/>
        </w:rPr>
        <w:t>《零售交易数据的用户价值与品类结构分析》</w:t>
      </w:r>
    </w:p>
    <w:p>
      <w:pPr>
        <w:spacing w:after="120"/>
        <w:jc w:val="center"/>
      </w:pPr>
      <w:r>
        <w:rPr>
          <w:rFonts w:ascii="Times New Roman" w:hAnsi="Times New Roman" w:eastAsia="宋体"/>
          <w:color w:val="000000"/>
          <w:sz w:val="21"/>
        </w:rPr>
        <w:t>学　　院：数据科学学院</w:t>
      </w:r>
    </w:p>
    <w:p>
      <w:pPr>
        <w:spacing w:after="120"/>
        <w:jc w:val="center"/>
      </w:pPr>
      <w:r>
        <w:rPr>
          <w:rFonts w:ascii="Times New Roman" w:hAnsi="Times New Roman" w:eastAsia="宋体"/>
          <w:color w:val="000000"/>
          <w:sz w:val="21"/>
        </w:rPr>
        <w:t>专业班级：数据科学与大数据技术 大数据241班</w:t>
      </w:r>
    </w:p>
    <w:p>
      <w:pPr>
        <w:spacing w:after="120"/>
        <w:jc w:val="center"/>
      </w:pPr>
      <w:r>
        <w:rPr>
          <w:rFonts w:ascii="Times New Roman" w:hAnsi="Times New Roman" w:eastAsia="宋体"/>
          <w:color w:val="000000"/>
          <w:sz w:val="21"/>
        </w:rPr>
        <w:t>学　　号：2024459985127</w:t>
      </w:r>
    </w:p>
    <w:p>
      <w:pPr>
        <w:spacing w:after="120"/>
        <w:jc w:val="center"/>
      </w:pPr>
      <w:r>
        <w:rPr>
          <w:rFonts w:ascii="Times New Roman" w:hAnsi="Times New Roman" w:eastAsia="宋体"/>
          <w:color w:val="000000"/>
          <w:sz w:val="21"/>
        </w:rPr>
        <w:t>姓　　名：秦子睿</w:t>
      </w:r>
    </w:p>
    <w:p>
      <w:pPr>
        <w:spacing w:after="120"/>
        <w:jc w:val="center"/>
      </w:pPr>
      <w:r>
        <w:rPr>
          <w:rFonts w:ascii="Times New Roman" w:hAnsi="Times New Roman" w:eastAsia="宋体"/>
          <w:color w:val="000000"/>
          <w:sz w:val="21"/>
        </w:rPr>
        <w:t>组员分工：独立完成（全流程：数据获取、清洗治理、模型建模、可视化、大屏搭建、论文撰写）</w:t>
      </w:r>
    </w:p>
    <w:p>
      <w:pPr>
        <w:spacing w:after="120"/>
        <w:jc w:val="center"/>
      </w:pPr>
      <w:r>
        <w:rPr>
          <w:rFonts w:ascii="Times New Roman" w:hAnsi="Times New Roman" w:eastAsia="宋体"/>
          <w:color w:val="000000"/>
          <w:sz w:val="21"/>
        </w:rPr>
        <w:t>完成日期：2026 年 10 月</w:t>
      </w:r>
    </w:p>
    <w:p/>
    <w:p/>
    <w:p/>
    <w:p>
      <w:pPr>
        <w:spacing w:after="80"/>
        <w:jc w:val="center"/>
      </w:pPr>
      <w:r>
        <w:rPr>
          <w:rFonts w:ascii="Times New Roman" w:hAnsi="Times New Roman" w:eastAsia="黑体"/>
          <w:b/>
          <w:color w:val="000000"/>
          <w:sz w:val="24"/>
        </w:rPr>
        <w:t>《商业数据分析》期末大作业评分表</w:t>
      </w:r>
    </w:p>
    <w:tbl>
      <w:tblPr>
        <w:tblStyle w:val="TableGrid"/>
        <w:tblW w:type="auto" w:w="0"/>
        <w:tblLook w:firstColumn="1" w:firstRow="1" w:lastColumn="0" w:lastRow="0" w:noHBand="0" w:noVBand="1" w:val="04A0"/>
      </w:tblPr>
      <w:tblGrid>
        <w:gridCol w:w="2911"/>
        <w:gridCol w:w="2911"/>
        <w:gridCol w:w="2911"/>
      </w:tblGrid>
      <w:tr>
        <w:tc>
          <w:tcPr>
            <w:tcW w:type="dxa" w:w="2608"/>
          </w:tcPr>
          <w:p>
            <w:pPr>
              <w:jc w:val="center"/>
            </w:pPr>
            <w:r/>
            <w:r>
              <w:rPr>
                <w:rFonts w:ascii="Times New Roman" w:hAnsi="Times New Roman" w:eastAsia="黑体"/>
                <w:b/>
                <w:color w:val="000000"/>
                <w:sz w:val="18"/>
              </w:rPr>
              <w:t>评分维度</w:t>
            </w:r>
          </w:p>
        </w:tc>
        <w:tc>
          <w:tcPr>
            <w:tcW w:type="dxa" w:w="5443"/>
          </w:tcPr>
          <w:p>
            <w:pPr>
              <w:jc w:val="center"/>
            </w:pPr>
            <w:r/>
            <w:r>
              <w:rPr>
                <w:rFonts w:ascii="Times New Roman" w:hAnsi="Times New Roman" w:eastAsia="黑体"/>
                <w:b/>
                <w:color w:val="000000"/>
                <w:sz w:val="18"/>
              </w:rPr>
              <w:t>评分要点（子项及分值）</w:t>
            </w:r>
          </w:p>
        </w:tc>
        <w:tc>
          <w:tcPr>
            <w:tcW w:type="dxa" w:w="907"/>
          </w:tcPr>
          <w:p>
            <w:pPr>
              <w:jc w:val="center"/>
            </w:pPr>
            <w:r/>
            <w:r>
              <w:rPr>
                <w:rFonts w:ascii="Times New Roman" w:hAnsi="Times New Roman" w:eastAsia="黑体"/>
                <w:b/>
                <w:color w:val="000000"/>
                <w:sz w:val="18"/>
              </w:rPr>
              <w:t>得分</w:t>
            </w:r>
          </w:p>
        </w:tc>
      </w:tr>
      <w:tr>
        <w:tc>
          <w:tcPr>
            <w:tcW w:type="dxa" w:w="2608"/>
          </w:tcPr>
          <w:p>
            <w:pPr>
              <w:spacing w:after="20"/>
            </w:pPr>
            <w:r/>
            <w:r>
              <w:rPr>
                <w:rFonts w:ascii="Times New Roman" w:hAnsi="Times New Roman" w:eastAsia="宋体"/>
                <w:color w:val="000000"/>
                <w:sz w:val="17"/>
              </w:rPr>
              <w:t>1. 数据获取合规性与清洗质量（15 分）</w:t>
            </w:r>
          </w:p>
        </w:tc>
        <w:tc>
          <w:tcPr>
            <w:tcW w:type="dxa" w:w="5443"/>
          </w:tcPr>
          <w:p>
            <w:pPr>
              <w:spacing w:after="20"/>
            </w:pPr>
            <w:r/>
            <w:r>
              <w:rPr>
                <w:rFonts w:ascii="Times New Roman" w:hAnsi="Times New Roman" w:eastAsia="宋体"/>
                <w:color w:val="000000"/>
                <w:sz w:val="17"/>
              </w:rPr>
              <w:t>① 来源合规、白名单方式、合规声明完整（5）；② 数据量达标、抽样方法与随机种子说明（4）；③ 清洗完整、异常/缺失/重复处理、多表对齐（4）；④ 可导出 CSV/JSON/SQLite 复用（2）</w:t>
            </w:r>
          </w:p>
        </w:tc>
        <w:tc>
          <w:tcPr>
            <w:tcW w:type="dxa" w:w="907"/>
          </w:tcPr>
          <w:p>
            <w:pPr>
              <w:spacing w:after="20"/>
            </w:pPr>
            <w:r/>
          </w:p>
        </w:tc>
      </w:tr>
      <w:tr>
        <w:tc>
          <w:tcPr>
            <w:tcW w:type="dxa" w:w="2608"/>
          </w:tcPr>
          <w:p>
            <w:pPr>
              <w:spacing w:after="20"/>
            </w:pPr>
            <w:r/>
            <w:r>
              <w:rPr>
                <w:rFonts w:ascii="Times New Roman" w:hAnsi="Times New Roman" w:eastAsia="宋体"/>
                <w:color w:val="000000"/>
                <w:sz w:val="17"/>
              </w:rPr>
              <w:t>2. 商业分析模型应用深度（20 分）</w:t>
            </w:r>
          </w:p>
        </w:tc>
        <w:tc>
          <w:tcPr>
            <w:tcW w:type="dxa" w:w="5443"/>
          </w:tcPr>
          <w:p>
            <w:pPr>
              <w:spacing w:after="20"/>
            </w:pPr>
            <w:r/>
            <w:r>
              <w:rPr>
                <w:rFonts w:ascii="Times New Roman" w:hAnsi="Times New Roman" w:eastAsia="宋体"/>
                <w:color w:val="000000"/>
                <w:sz w:val="17"/>
              </w:rPr>
              <w:t>① 模型 ≥3 种、选型与场景匹配（6）；② 计算正确、参数与阈值有业务依据（6）；③ 预测类含置信区间与回测误差（4）；④ 结论与模型一一对应（4）</w:t>
            </w:r>
          </w:p>
        </w:tc>
        <w:tc>
          <w:tcPr>
            <w:tcW w:type="dxa" w:w="907"/>
          </w:tcPr>
          <w:p>
            <w:pPr>
              <w:spacing w:after="20"/>
            </w:pPr>
            <w:r/>
          </w:p>
        </w:tc>
      </w:tr>
      <w:tr>
        <w:tc>
          <w:tcPr>
            <w:tcW w:type="dxa" w:w="2608"/>
          </w:tcPr>
          <w:p>
            <w:pPr>
              <w:spacing w:after="20"/>
            </w:pPr>
            <w:r/>
            <w:r>
              <w:rPr>
                <w:rFonts w:ascii="Times New Roman" w:hAnsi="Times New Roman" w:eastAsia="宋体"/>
                <w:color w:val="000000"/>
                <w:sz w:val="17"/>
              </w:rPr>
              <w:t>3. 可视化复现与大屏质量（25 分）</w:t>
            </w:r>
          </w:p>
        </w:tc>
        <w:tc>
          <w:tcPr>
            <w:tcW w:type="dxa" w:w="5443"/>
          </w:tcPr>
          <w:p>
            <w:pPr>
              <w:spacing w:after="20"/>
            </w:pPr>
            <w:r/>
            <w:r>
              <w:rPr>
                <w:rFonts w:ascii="Times New Roman" w:hAnsi="Times New Roman" w:eastAsia="宋体"/>
                <w:color w:val="000000"/>
                <w:sz w:val="17"/>
              </w:rPr>
              <w:t>① 图表 ≥10 张、类别覆盖全面（6）；② 模板复现 ≥10 种、风格细节贴近原作（7）；③ 业务模型图 ≥6 张（6）；④ 交互大屏 ≥1 个、组件 ≥6、有联动（6）</w:t>
            </w:r>
          </w:p>
        </w:tc>
        <w:tc>
          <w:tcPr>
            <w:tcW w:type="dxa" w:w="907"/>
          </w:tcPr>
          <w:p>
            <w:pPr>
              <w:spacing w:after="20"/>
            </w:pPr>
            <w:r/>
          </w:p>
        </w:tc>
      </w:tr>
      <w:tr>
        <w:tc>
          <w:tcPr>
            <w:tcW w:type="dxa" w:w="2608"/>
          </w:tcPr>
          <w:p>
            <w:pPr>
              <w:spacing w:after="20"/>
            </w:pPr>
            <w:r/>
            <w:r>
              <w:rPr>
                <w:rFonts w:ascii="Times New Roman" w:hAnsi="Times New Roman" w:eastAsia="宋体"/>
                <w:color w:val="000000"/>
                <w:sz w:val="17"/>
              </w:rPr>
              <w:t>4. 代码规范性与文档完整性（10 分）</w:t>
            </w:r>
          </w:p>
        </w:tc>
        <w:tc>
          <w:tcPr>
            <w:tcW w:type="dxa" w:w="5443"/>
          </w:tcPr>
          <w:p>
            <w:pPr>
              <w:spacing w:after="20"/>
            </w:pPr>
            <w:r/>
            <w:r>
              <w:rPr>
                <w:rFonts w:ascii="Times New Roman" w:hAnsi="Times New Roman" w:eastAsia="宋体"/>
                <w:color w:val="000000"/>
                <w:sz w:val="17"/>
              </w:rPr>
              <w:t>① 目录结构清晰、注释充分（3）；② README 详实、依赖明确（3）；③ 可一键复现（2）；④ 图表命名与索引规范（2）</w:t>
            </w:r>
          </w:p>
        </w:tc>
        <w:tc>
          <w:tcPr>
            <w:tcW w:type="dxa" w:w="907"/>
          </w:tcPr>
          <w:p>
            <w:pPr>
              <w:spacing w:after="20"/>
            </w:pPr>
            <w:r/>
          </w:p>
        </w:tc>
      </w:tr>
      <w:tr>
        <w:tc>
          <w:tcPr>
            <w:tcW w:type="dxa" w:w="2608"/>
          </w:tcPr>
          <w:p>
            <w:pPr>
              <w:spacing w:after="20"/>
            </w:pPr>
            <w:r/>
            <w:r>
              <w:rPr>
                <w:rFonts w:ascii="Times New Roman" w:hAnsi="Times New Roman" w:eastAsia="宋体"/>
                <w:color w:val="000000"/>
                <w:sz w:val="17"/>
              </w:rPr>
              <w:t>5. 期末大论文质量（25 分）</w:t>
            </w:r>
          </w:p>
        </w:tc>
        <w:tc>
          <w:tcPr>
            <w:tcW w:type="dxa" w:w="5443"/>
          </w:tcPr>
          <w:p>
            <w:pPr>
              <w:spacing w:after="20"/>
            </w:pPr>
            <w:r/>
            <w:r>
              <w:rPr>
                <w:rFonts w:ascii="Times New Roman" w:hAnsi="Times New Roman" w:eastAsia="宋体"/>
                <w:color w:val="000000"/>
                <w:sz w:val="17"/>
              </w:rPr>
              <w:t>① 题目创新性与针对性（4）；② 摘要与关键词相关性（4）；③ 正文逻辑性与技术深度（10）；④ 商业建议可行性与数据支撑（7）</w:t>
            </w:r>
          </w:p>
        </w:tc>
        <w:tc>
          <w:tcPr>
            <w:tcW w:type="dxa" w:w="907"/>
          </w:tcPr>
          <w:p>
            <w:pPr>
              <w:spacing w:after="20"/>
            </w:pPr>
            <w:r/>
          </w:p>
        </w:tc>
      </w:tr>
      <w:tr>
        <w:tc>
          <w:tcPr>
            <w:tcW w:type="dxa" w:w="2608"/>
          </w:tcPr>
          <w:p>
            <w:pPr>
              <w:spacing w:after="20"/>
            </w:pPr>
            <w:r/>
            <w:r>
              <w:rPr>
                <w:rFonts w:ascii="Times New Roman" w:hAnsi="Times New Roman" w:eastAsia="宋体"/>
                <w:color w:val="000000"/>
                <w:sz w:val="17"/>
              </w:rPr>
              <w:t>6. 创新性与商业洞察深度（5 分）</w:t>
            </w:r>
          </w:p>
        </w:tc>
        <w:tc>
          <w:tcPr>
            <w:tcW w:type="dxa" w:w="5443"/>
          </w:tcPr>
          <w:p>
            <w:pPr>
              <w:spacing w:after="20"/>
            </w:pPr>
            <w:r/>
            <w:r>
              <w:rPr>
                <w:rFonts w:ascii="Times New Roman" w:hAnsi="Times New Roman" w:eastAsia="宋体"/>
                <w:color w:val="000000"/>
                <w:sz w:val="17"/>
              </w:rPr>
              <w:t>① 引入新工具/新方法（2）；② 提出有效商业建议（2）；③ 体现批判性思维（1）</w:t>
            </w:r>
          </w:p>
        </w:tc>
        <w:tc>
          <w:tcPr>
            <w:tcW w:type="dxa" w:w="907"/>
          </w:tcPr>
          <w:p>
            <w:pPr>
              <w:spacing w:after="20"/>
            </w:pPr>
            <w:r/>
          </w:p>
        </w:tc>
      </w:tr>
      <w:tr>
        <w:tc>
          <w:tcPr>
            <w:tcW w:type="dxa" w:w="2608"/>
          </w:tcPr>
          <w:p>
            <w:pPr>
              <w:spacing w:after="20"/>
            </w:pPr>
            <w:r/>
            <w:r>
              <w:rPr>
                <w:rFonts w:ascii="Times New Roman" w:hAnsi="Times New Roman" w:eastAsia="宋体"/>
                <w:color w:val="000000"/>
                <w:sz w:val="17"/>
              </w:rPr>
              <w:t>总　分</w:t>
            </w:r>
          </w:p>
        </w:tc>
        <w:tc>
          <w:tcPr>
            <w:tcW w:type="dxa" w:w="5443"/>
          </w:tcPr>
          <w:p>
            <w:pPr>
              <w:spacing w:after="20"/>
            </w:pPr>
            <w:r/>
            <w:r>
              <w:rPr>
                <w:rFonts w:ascii="Times New Roman" w:hAnsi="Times New Roman" w:eastAsia="宋体"/>
                <w:color w:val="000000"/>
                <w:sz w:val="17"/>
              </w:rPr>
              <w:t>（各维度得分相加）</w:t>
            </w:r>
          </w:p>
        </w:tc>
        <w:tc>
          <w:tcPr>
            <w:tcW w:type="dxa" w:w="907"/>
          </w:tcPr>
          <w:p>
            <w:pPr>
              <w:spacing w:after="20"/>
            </w:pPr>
            <w:r/>
          </w:p>
        </w:tc>
      </w:tr>
    </w:tbl>
    <w:p>
      <w:r>
        <w:br w:type="page"/>
      </w:r>
    </w:p>
    <w:p>
      <w:pPr>
        <w:spacing w:after="120"/>
        <w:jc w:val="center"/>
      </w:pPr>
      <w:r>
        <w:rPr>
          <w:rFonts w:ascii="Times New Roman" w:hAnsi="Times New Roman" w:eastAsia="黑体"/>
          <w:b/>
          <w:color w:val="000000"/>
          <w:sz w:val="32"/>
        </w:rPr>
        <w:t>《零售交易数据的用户价值与品类结构分析》</w:t>
      </w:r>
    </w:p>
    <w:p>
      <w:pPr>
        <w:spacing w:after="40"/>
        <w:jc w:val="center"/>
      </w:pPr>
      <w:r>
        <w:rPr>
          <w:rFonts w:ascii="Times New Roman" w:hAnsi="Times New Roman" w:eastAsia="宋体"/>
          <w:color w:val="000000"/>
          <w:sz w:val="21"/>
        </w:rPr>
        <w:t>秦子睿</w:t>
      </w:r>
    </w:p>
    <w:p>
      <w:pPr>
        <w:spacing w:after="280"/>
        <w:jc w:val="center"/>
      </w:pPr>
      <w:r>
        <w:rPr>
          <w:rFonts w:ascii="Times New Roman" w:hAnsi="Times New Roman" w:eastAsia="宋体"/>
          <w:color w:val="000000"/>
          <w:sz w:val="21"/>
        </w:rPr>
        <w:t>（嘉兴大学　数据科学学院）</w:t>
      </w:r>
    </w:p>
    <w:p>
      <w:pPr>
        <w:spacing w:line="360" w:lineRule="auto"/>
        <w:ind w:firstLine="480"/>
        <w:jc w:val="both"/>
      </w:pPr>
      <w:r>
        <w:rPr>
          <w:rFonts w:ascii="Times New Roman" w:hAnsi="Times New Roman" w:eastAsia="黑体"/>
          <w:b/>
          <w:color w:val="000000"/>
          <w:sz w:val="24"/>
        </w:rPr>
        <w:t>摘要：</w:t>
      </w:r>
      <w:r>
        <w:rPr>
          <w:rFonts w:ascii="Times New Roman" w:hAnsi="Times New Roman" w:eastAsia="宋体"/>
          <w:color w:val="000000"/>
          <w:sz w:val="24"/>
        </w:rPr>
        <w:t>本文以 UCI 公开数据集 Online Retail II 为对象，经官方合规下载与整单 30% 抽样（种子 2026）治理得 30.28 万行明细并构建星型模型；应用 RFM、同期群留存、帕累托 ABC、Apriori、波士顿矩阵、SARIMA、K-Means、流失预警与复购漏斗共 10 类模型，预测含 95% 置信区间并完成留出回测。可视化复现 25 种模板图并以 Pyecharts 搭建大屏。研究发现英国市场占比 84.96%、22.42% 的 SKU 贡献 80% 营收；流失预警时间外 AUC 0.72，且一次性客户的流失近乎不可预测，据此提出 5 条核心商业建议。</w:t>
      </w:r>
    </w:p>
    <w:p>
      <w:pPr>
        <w:spacing w:line="360" w:lineRule="auto" w:after="280"/>
        <w:ind w:firstLine="480"/>
        <w:jc w:val="both"/>
      </w:pPr>
      <w:r>
        <w:rPr>
          <w:rFonts w:ascii="Times New Roman" w:hAnsi="Times New Roman" w:eastAsia="黑体"/>
          <w:b/>
          <w:color w:val="000000"/>
          <w:sz w:val="24"/>
        </w:rPr>
        <w:t>关键词：</w:t>
      </w:r>
      <w:r>
        <w:rPr>
          <w:rFonts w:ascii="Times New Roman" w:hAnsi="Times New Roman" w:eastAsia="宋体"/>
          <w:color w:val="000000"/>
          <w:sz w:val="24"/>
        </w:rPr>
        <w:t>商业数据分析；RFM 模型；同期群分析；关联规则；Python 可视化</w:t>
      </w:r>
    </w:p>
    <w:p>
      <w:pPr>
        <w:keepNext/>
        <w:spacing w:line="360" w:lineRule="auto" w:before="160" w:after="80"/>
        <w:outlineLvl w:val="0"/>
      </w:pPr>
      <w:r>
        <w:rPr>
          <w:rFonts w:ascii="Times New Roman" w:hAnsi="Times New Roman" w:eastAsia="黑体"/>
          <w:b/>
          <w:color w:val="000000"/>
          <w:sz w:val="28"/>
        </w:rPr>
        <w:t>1 引言</w:t>
      </w:r>
    </w:p>
    <w:p>
      <w:pPr>
        <w:keepNext/>
        <w:spacing w:line="360" w:lineRule="auto" w:before="100" w:after="80"/>
        <w:outlineLvl w:val="1"/>
      </w:pPr>
      <w:r>
        <w:rPr>
          <w:rFonts w:ascii="Times New Roman" w:hAnsi="Times New Roman" w:eastAsia="黑体"/>
          <w:b/>
          <w:color w:val="000000"/>
          <w:sz w:val="24"/>
        </w:rPr>
        <w:t>1.1 研究背景</w:t>
      </w:r>
    </w:p>
    <w:p>
      <w:pPr>
        <w:spacing w:line="360" w:lineRule="auto" w:after="80"/>
        <w:ind w:firstLine="480"/>
        <w:jc w:val="both"/>
      </w:pPr>
      <w:r>
        <w:rPr>
          <w:rFonts w:ascii="Times New Roman" w:hAnsi="Times New Roman" w:eastAsia="宋体"/>
          <w:b w:val="0"/>
          <w:color w:val="000000"/>
          <w:sz w:val="24"/>
        </w:rPr>
        <w:t>在全球跨境电商与礼品家居零售行业，交易系统每时每刻都在产生海量的订单明细数据。这些数据天然具备「高维度、强时间依赖、长尾分布」的特征：单笔交易包含商品、数量、单价、时间戳与客户属地等多个维度，业务口径稍有不统一就会导致分析结论失真。对于以批发分销为主、兼营零售的礼品家居企业而言，管理者面对的核心问题高度一致——有限的库存资金应优先投向哪些 SKU？有限的营销预算应优先维系哪些客户？下一季的销售节奏应如何安排才能既不断货也不积压？这些问题的答案无法从单张报表中直接读出，必须依靠系统化的数据治理与商业分析模型。</w:t>
      </w:r>
    </w:p>
    <w:p>
      <w:pPr>
        <w:spacing w:line="360" w:lineRule="auto" w:after="80"/>
        <w:ind w:firstLine="480"/>
        <w:jc w:val="both"/>
      </w:pPr>
      <w:r>
        <w:rPr>
          <w:rFonts w:ascii="Times New Roman" w:hAnsi="Times New Roman" w:eastAsia="宋体"/>
          <w:b w:val="0"/>
          <w:color w:val="000000"/>
          <w:sz w:val="24"/>
        </w:rPr>
        <w:t>传统上，这类分析多在 Excel 中手工完成。Excel 的长处在于交互灵活、上手门槛低，但其短板同样明显：百万行级明细的透视运算效率低下；RFM 分群、同期群留存、关联规则等模型需要大量辅助列与数组公式，维护成本高且难以复用；图表一旦需要批量更新，就要重复大量手工操作；更关键的是，分析过程无法通过版本管理被他人复现与验证。本次作业正是针对这些痛点，尝试用 Python 技术栈完成端到端的商业数据分析闭环。</w:t>
      </w:r>
    </w:p>
    <w:p>
      <w:pPr>
        <w:spacing w:line="360" w:lineRule="auto" w:after="80"/>
        <w:ind w:firstLine="480"/>
        <w:jc w:val="both"/>
      </w:pPr>
      <w:r>
        <w:rPr>
          <w:rFonts w:ascii="Times New Roman" w:hAnsi="Times New Roman" w:eastAsia="宋体"/>
          <w:b w:val="0"/>
          <w:color w:val="000000"/>
          <w:sz w:val="24"/>
        </w:rPr>
        <w:t>本项目选取 UCI Machine Learning Repository 公开发布的 Online Retail II 数据集作为研究对象。该数据集源自一家英国在线礼品家居零售商的真实交易系统，覆盖 2009 年 12 月至 2011 年 12 月共 25 个月、106.7 万条明细、5.36 万张发票，涵盖 43 个国家的客户与 4,500 余种 SKU，是一份兼具时间跨度、品类广度与地理跨度的优质商业分析样本。</w:t>
      </w:r>
    </w:p>
    <w:p>
      <w:pPr>
        <w:keepNext/>
        <w:spacing w:line="360" w:lineRule="auto" w:before="100" w:after="80"/>
        <w:outlineLvl w:val="1"/>
      </w:pPr>
      <w:r>
        <w:rPr>
          <w:rFonts w:ascii="Times New Roman" w:hAnsi="Times New Roman" w:eastAsia="黑体"/>
          <w:b/>
          <w:color w:val="000000"/>
          <w:sz w:val="24"/>
        </w:rPr>
        <w:t>1.2 研究目的</w:t>
      </w:r>
    </w:p>
    <w:p>
      <w:pPr>
        <w:spacing w:line="360" w:lineRule="auto" w:after="80"/>
        <w:ind w:firstLine="480"/>
        <w:jc w:val="both"/>
      </w:pPr>
      <w:r>
        <w:rPr>
          <w:rFonts w:ascii="Times New Roman" w:hAnsi="Times New Roman" w:eastAsia="宋体"/>
          <w:b w:val="0"/>
          <w:color w:val="000000"/>
          <w:sz w:val="24"/>
        </w:rPr>
        <w:t>本项目希望达成四个层次的目标。第一，在</w:t>
      </w:r>
      <w:r>
        <w:rPr>
          <w:rFonts w:ascii="Times New Roman" w:hAnsi="Times New Roman" w:eastAsia="宋体"/>
          <w:b/>
          <w:color w:val="000000"/>
          <w:sz w:val="24"/>
        </w:rPr>
        <w:t>数据获取层</w:t>
      </w:r>
      <w:r>
        <w:rPr>
          <w:rFonts w:ascii="Times New Roman" w:hAnsi="Times New Roman" w:eastAsia="宋体"/>
          <w:b w:val="0"/>
          <w:color w:val="000000"/>
          <w:sz w:val="24"/>
        </w:rPr>
        <w:t>严格遵循课程白名单要求，不使用任何爬虫技术，完整记录数据来源、获取日期、授权协议与抽样方法，使分析结论可被独立复核。第二，在</w:t>
      </w:r>
      <w:r>
        <w:rPr>
          <w:rFonts w:ascii="Times New Roman" w:hAnsi="Times New Roman" w:eastAsia="宋体"/>
          <w:b/>
          <w:color w:val="000000"/>
          <w:sz w:val="24"/>
        </w:rPr>
        <w:t>数据治理层</w:t>
      </w:r>
      <w:r>
        <w:rPr>
          <w:rFonts w:ascii="Times New Roman" w:hAnsi="Times New Roman" w:eastAsia="宋体"/>
          <w:b w:val="0"/>
          <w:color w:val="000000"/>
          <w:sz w:val="24"/>
        </w:rPr>
        <w:t>建立可审计的清洗流程，把原始扁平明细重构为结构规范的星型模型，让后续每一个指标都有唯一、可追溯的计算口径。</w:t>
      </w:r>
    </w:p>
    <w:p>
      <w:pPr>
        <w:spacing w:line="360" w:lineRule="auto" w:after="80"/>
        <w:ind w:firstLine="480"/>
        <w:jc w:val="both"/>
      </w:pPr>
      <w:r>
        <w:rPr>
          <w:rFonts w:ascii="Times New Roman" w:hAnsi="Times New Roman" w:eastAsia="宋体"/>
          <w:b w:val="0"/>
          <w:color w:val="000000"/>
          <w:sz w:val="24"/>
        </w:rPr>
        <w:t>第三，在</w:t>
      </w:r>
      <w:r>
        <w:rPr>
          <w:rFonts w:ascii="Times New Roman" w:hAnsi="Times New Roman" w:eastAsia="宋体"/>
          <w:b/>
          <w:color w:val="000000"/>
          <w:sz w:val="24"/>
        </w:rPr>
        <w:t>模型应用层</w:t>
      </w:r>
      <w:r>
        <w:rPr>
          <w:rFonts w:ascii="Times New Roman" w:hAnsi="Times New Roman" w:eastAsia="宋体"/>
          <w:b w:val="0"/>
          <w:color w:val="000000"/>
          <w:sz w:val="24"/>
        </w:rPr>
        <w:t>围绕零售业务的真实决策场景，选用 10 类经典商业分析模型，不只给出计算结果，更给出每一个参数与阈值背后的业务理由，并对预测类模型完成置信区间估计与留出回测，避免「看上去很美但经不起检验」的分析。第四，在</w:t>
      </w:r>
      <w:r>
        <w:rPr>
          <w:rFonts w:ascii="Times New Roman" w:hAnsi="Times New Roman" w:eastAsia="宋体"/>
          <w:b/>
          <w:color w:val="000000"/>
          <w:sz w:val="24"/>
        </w:rPr>
        <w:t>呈现层</w:t>
      </w:r>
      <w:r>
        <w:rPr>
          <w:rFonts w:ascii="Times New Roman" w:hAnsi="Times New Roman" w:eastAsia="宋体"/>
          <w:b w:val="0"/>
          <w:color w:val="000000"/>
          <w:sz w:val="24"/>
        </w:rPr>
        <w:t>用 Python 复现《Excel 数据可视化——从图表到数据大屏》中的典型图表模板，并搭建交互式大屏，使分析结论既能以静态图入论文，也能以动态视图支撑业务探索。</w:t>
      </w:r>
    </w:p>
    <w:p>
      <w:pPr>
        <w:keepNext/>
        <w:spacing w:line="360" w:lineRule="auto" w:before="100" w:after="80"/>
        <w:outlineLvl w:val="1"/>
      </w:pPr>
      <w:r>
        <w:rPr>
          <w:rFonts w:ascii="Times New Roman" w:hAnsi="Times New Roman" w:eastAsia="黑体"/>
          <w:b/>
          <w:color w:val="000000"/>
          <w:sz w:val="24"/>
        </w:rPr>
        <w:t>1.3 研究意义</w:t>
      </w:r>
    </w:p>
    <w:p>
      <w:pPr>
        <w:spacing w:line="360" w:lineRule="auto" w:after="80"/>
        <w:ind w:firstLine="480"/>
        <w:jc w:val="both"/>
      </w:pPr>
      <w:r>
        <w:rPr>
          <w:rFonts w:ascii="Times New Roman" w:hAnsi="Times New Roman" w:eastAsia="宋体"/>
          <w:b w:val="0"/>
          <w:color w:val="000000"/>
          <w:sz w:val="24"/>
        </w:rPr>
        <w:t>在方法论层面，本项目验证了「Python 全栈商业分析」相对传统 Excel 分析的替代价值：通过代码固化分析口径，任何人克隆仓库后执行一条命令即可复现全部图表与大屏，这在团队协作与审计场景下具有 Excel 难以比拟的优势。</w:t>
      </w:r>
    </w:p>
    <w:p>
      <w:pPr>
        <w:spacing w:line="360" w:lineRule="auto" w:after="60"/>
        <w:ind w:left="480" w:hanging="240"/>
      </w:pPr>
      <w:r>
        <w:rPr>
          <w:rFonts w:ascii="Times New Roman" w:hAnsi="Times New Roman" w:eastAsia="宋体"/>
          <w:b w:val="0"/>
          <w:color w:val="000000"/>
          <w:sz w:val="24"/>
        </w:rPr>
        <w:t>对业务：将 30 万行明细压缩为 5 条可即时执行的核心建议与 1 条战略性延伸建议，直接服务于库存、营销与客户管理决策。</w:t>
      </w:r>
    </w:p>
    <w:p>
      <w:pPr>
        <w:spacing w:line="360" w:lineRule="auto" w:after="60"/>
        <w:ind w:left="480" w:hanging="240"/>
      </w:pPr>
      <w:r>
        <w:rPr>
          <w:rFonts w:ascii="Times New Roman" w:hAnsi="Times New Roman" w:eastAsia="宋体"/>
          <w:b w:val="0"/>
          <w:color w:val="000000"/>
          <w:sz w:val="24"/>
        </w:rPr>
        <w:t>对教学：形成一套从合规取数到可视化呈现的完整教学案例，10 类模型的参数依据可供对照参考。</w:t>
      </w:r>
    </w:p>
    <w:p>
      <w:pPr>
        <w:spacing w:line="360" w:lineRule="auto" w:after="60"/>
        <w:ind w:left="480" w:hanging="240"/>
      </w:pPr>
      <w:r>
        <w:rPr>
          <w:rFonts w:ascii="Times New Roman" w:hAnsi="Times New Roman" w:eastAsia="宋体"/>
          <w:b w:val="0"/>
          <w:color w:val="000000"/>
          <w:sz w:val="24"/>
        </w:rPr>
        <w:t>对技术：沉淀了一组可复用的图表绘制工具（瀑布图、子弹图、坡度图、矩形树图等），弥补了 Matplotlib 原生不支持这些模板图型的空白。</w:t>
      </w:r>
    </w:p>
    <w:p>
      <w:pPr>
        <w:spacing w:after="0"/>
      </w:pPr>
    </w:p>
    <w:p>
      <w:pPr>
        <w:keepNext/>
        <w:spacing w:line="360" w:lineRule="auto" w:before="160" w:after="80"/>
        <w:outlineLvl w:val="0"/>
      </w:pPr>
      <w:r>
        <w:rPr>
          <w:rFonts w:ascii="Times New Roman" w:hAnsi="Times New Roman" w:eastAsia="黑体"/>
          <w:b/>
          <w:color w:val="000000"/>
          <w:sz w:val="28"/>
        </w:rPr>
        <w:t>2 数据准备与预处理</w:t>
      </w:r>
    </w:p>
    <w:p>
      <w:pPr>
        <w:keepNext/>
        <w:spacing w:line="360" w:lineRule="auto" w:before="100" w:after="80"/>
        <w:outlineLvl w:val="1"/>
      </w:pPr>
      <w:r>
        <w:rPr>
          <w:rFonts w:ascii="Times New Roman" w:hAnsi="Times New Roman" w:eastAsia="黑体"/>
          <w:b/>
          <w:color w:val="000000"/>
          <w:sz w:val="24"/>
        </w:rPr>
        <w:t>2.1 数据源介绍</w:t>
      </w:r>
    </w:p>
    <w:p>
      <w:pPr>
        <w:spacing w:line="360" w:lineRule="auto" w:after="80"/>
        <w:ind w:firstLine="480"/>
        <w:jc w:val="both"/>
      </w:pPr>
      <w:r>
        <w:rPr>
          <w:rFonts w:ascii="Times New Roman" w:hAnsi="Times New Roman" w:eastAsia="宋体"/>
          <w:b w:val="0"/>
          <w:color w:val="000000"/>
          <w:sz w:val="24"/>
        </w:rPr>
        <w:t xml:space="preserve">本项目使用的数据集为 </w:t>
      </w:r>
      <w:r>
        <w:rPr>
          <w:rFonts w:ascii="Times New Roman" w:hAnsi="Times New Roman" w:eastAsia="宋体"/>
          <w:b/>
          <w:color w:val="000000"/>
          <w:sz w:val="24"/>
        </w:rPr>
        <w:t>Online Retail II</w:t>
      </w:r>
      <w:r>
        <w:rPr>
          <w:rFonts w:ascii="Times New Roman" w:hAnsi="Times New Roman" w:eastAsia="宋体"/>
          <w:b w:val="0"/>
          <w:color w:val="000000"/>
          <w:sz w:val="24"/>
        </w:rPr>
        <w:t>，由 UCI Machine Learning Repository 收录，数据集编号 #502，官方页面地址为 https://archive.ics.uci.edu/dataset/502/online+retail+ii ，数据 DOI 为 10.24432/C60H6D。数据集以单个 ZIP 压缩包形式发布，包内为 online_retail_II.xlsx 工作簿，含「Year 2009-2010」与「Year 2010-2011」两个工作表。</w:t>
      </w:r>
    </w:p>
    <w:p>
      <w:pPr>
        <w:spacing w:line="360" w:lineRule="auto" w:after="80"/>
        <w:ind w:firstLine="480"/>
        <w:jc w:val="both"/>
      </w:pPr>
      <w:r>
        <w:rPr>
          <w:rFonts w:ascii="Times New Roman" w:hAnsi="Times New Roman" w:eastAsia="宋体"/>
          <w:b w:val="0"/>
          <w:color w:val="000000"/>
          <w:sz w:val="24"/>
        </w:rPr>
        <w:t>原始数据集共 1,067,371 行交易明细、53,628 张发票，时间跨度为 2009-12-01 至 2011-12-09，涵盖 43 个国家。字段构成与含义见表 2-1。</w:t>
      </w:r>
    </w:p>
    <w:p>
      <w:pPr>
        <w:spacing w:after="40"/>
        <w:jc w:val="center"/>
      </w:pPr>
      <w:r>
        <w:rPr>
          <w:rFonts w:ascii="Times New Roman" w:hAnsi="Times New Roman" w:eastAsia="黑体"/>
          <w:color w:val="000000"/>
          <w:sz w:val="21"/>
        </w:rPr>
        <w:t>表 2-1  原始数据集字段说明</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jc w:val="center"/>
            </w:pPr>
            <w:r/>
            <w:r>
              <w:rPr>
                <w:rFonts w:ascii="Times New Roman" w:hAnsi="Times New Roman" w:eastAsia="黑体"/>
                <w:b/>
                <w:color w:val="000000"/>
                <w:sz w:val="20"/>
              </w:rPr>
              <w:t>原始字段</w:t>
            </w:r>
          </w:p>
        </w:tc>
        <w:tc>
          <w:tcPr>
            <w:tcW w:type="dxa" w:w="2183"/>
          </w:tcPr>
          <w:p>
            <w:pPr>
              <w:jc w:val="center"/>
            </w:pPr>
            <w:r/>
            <w:r>
              <w:rPr>
                <w:rFonts w:ascii="Times New Roman" w:hAnsi="Times New Roman" w:eastAsia="黑体"/>
                <w:b/>
                <w:color w:val="000000"/>
                <w:sz w:val="20"/>
              </w:rPr>
              <w:t>类型</w:t>
            </w:r>
          </w:p>
        </w:tc>
        <w:tc>
          <w:tcPr>
            <w:tcW w:type="dxa" w:w="2183"/>
          </w:tcPr>
          <w:p>
            <w:pPr>
              <w:jc w:val="center"/>
            </w:pPr>
            <w:r/>
            <w:r>
              <w:rPr>
                <w:rFonts w:ascii="Times New Roman" w:hAnsi="Times New Roman" w:eastAsia="黑体"/>
                <w:b/>
                <w:color w:val="000000"/>
                <w:sz w:val="20"/>
              </w:rPr>
              <w:t>业务含义</w:t>
            </w:r>
          </w:p>
        </w:tc>
        <w:tc>
          <w:tcPr>
            <w:tcW w:type="dxa" w:w="2183"/>
          </w:tcPr>
          <w:p>
            <w:pPr>
              <w:jc w:val="center"/>
            </w:pPr>
            <w:r/>
            <w:r>
              <w:rPr>
                <w:rFonts w:ascii="Times New Roman" w:hAnsi="Times New Roman" w:eastAsia="黑体"/>
                <w:b/>
                <w:color w:val="000000"/>
                <w:sz w:val="20"/>
              </w:rPr>
              <w:t>主要数据质量问题</w:t>
            </w:r>
          </w:p>
        </w:tc>
      </w:tr>
      <w:tr>
        <w:tc>
          <w:tcPr>
            <w:tcW w:type="dxa" w:w="2183"/>
          </w:tcPr>
          <w:p>
            <w:pPr>
              <w:spacing w:after="20"/>
              <w:jc w:val="center"/>
            </w:pPr>
            <w:r/>
            <w:r>
              <w:rPr>
                <w:rFonts w:ascii="Times New Roman" w:hAnsi="Times New Roman" w:eastAsia="宋体"/>
                <w:color w:val="000000"/>
                <w:sz w:val="20"/>
              </w:rPr>
              <w:t>Invoice</w:t>
            </w:r>
          </w:p>
        </w:tc>
        <w:tc>
          <w:tcPr>
            <w:tcW w:type="dxa" w:w="2183"/>
          </w:tcPr>
          <w:p>
            <w:pPr>
              <w:spacing w:after="20"/>
              <w:jc w:val="left"/>
            </w:pPr>
            <w:r/>
            <w:r>
              <w:rPr>
                <w:rFonts w:ascii="Times New Roman" w:hAnsi="Times New Roman" w:eastAsia="宋体"/>
                <w:color w:val="000000"/>
                <w:sz w:val="20"/>
              </w:rPr>
              <w:t>字符串</w:t>
            </w:r>
          </w:p>
        </w:tc>
        <w:tc>
          <w:tcPr>
            <w:tcW w:type="dxa" w:w="2183"/>
          </w:tcPr>
          <w:p>
            <w:pPr>
              <w:spacing w:after="20"/>
              <w:jc w:val="left"/>
            </w:pPr>
            <w:r/>
            <w:r>
              <w:rPr>
                <w:rFonts w:ascii="Times New Roman" w:hAnsi="Times New Roman" w:eastAsia="宋体"/>
                <w:color w:val="000000"/>
                <w:sz w:val="20"/>
              </w:rPr>
              <w:t>发票号，以 C 开头表示取消订单</w:t>
            </w:r>
          </w:p>
        </w:tc>
        <w:tc>
          <w:tcPr>
            <w:tcW w:type="dxa" w:w="2183"/>
          </w:tcPr>
          <w:p>
            <w:pPr>
              <w:spacing w:after="20"/>
              <w:jc w:val="left"/>
            </w:pPr>
            <w:r/>
            <w:r>
              <w:rPr>
                <w:rFonts w:ascii="Times New Roman" w:hAnsi="Times New Roman" w:eastAsia="宋体"/>
                <w:color w:val="000000"/>
                <w:sz w:val="20"/>
              </w:rPr>
              <w:t>取消单需单独剥离</w:t>
            </w:r>
          </w:p>
        </w:tc>
      </w:tr>
      <w:tr>
        <w:tc>
          <w:tcPr>
            <w:tcW w:type="dxa" w:w="2183"/>
          </w:tcPr>
          <w:p>
            <w:pPr>
              <w:spacing w:after="20"/>
              <w:jc w:val="center"/>
            </w:pPr>
            <w:r/>
            <w:r>
              <w:rPr>
                <w:rFonts w:ascii="Times New Roman" w:hAnsi="Times New Roman" w:eastAsia="宋体"/>
                <w:color w:val="000000"/>
                <w:sz w:val="20"/>
              </w:rPr>
              <w:t>StockCode</w:t>
            </w:r>
          </w:p>
        </w:tc>
        <w:tc>
          <w:tcPr>
            <w:tcW w:type="dxa" w:w="2183"/>
          </w:tcPr>
          <w:p>
            <w:pPr>
              <w:spacing w:after="20"/>
              <w:jc w:val="left"/>
            </w:pPr>
            <w:r/>
            <w:r>
              <w:rPr>
                <w:rFonts w:ascii="Times New Roman" w:hAnsi="Times New Roman" w:eastAsia="宋体"/>
                <w:color w:val="000000"/>
                <w:sz w:val="20"/>
              </w:rPr>
              <w:t>字符串</w:t>
            </w:r>
          </w:p>
        </w:tc>
        <w:tc>
          <w:tcPr>
            <w:tcW w:type="dxa" w:w="2183"/>
          </w:tcPr>
          <w:p>
            <w:pPr>
              <w:spacing w:after="20"/>
              <w:jc w:val="left"/>
            </w:pPr>
            <w:r/>
            <w:r>
              <w:rPr>
                <w:rFonts w:ascii="Times New Roman" w:hAnsi="Times New Roman" w:eastAsia="宋体"/>
                <w:color w:val="000000"/>
                <w:sz w:val="20"/>
              </w:rPr>
              <w:t>商品编码，字母码为非商品费用项</w:t>
            </w:r>
          </w:p>
        </w:tc>
        <w:tc>
          <w:tcPr>
            <w:tcW w:type="dxa" w:w="2183"/>
          </w:tcPr>
          <w:p>
            <w:pPr>
              <w:spacing w:after="20"/>
              <w:jc w:val="left"/>
            </w:pPr>
            <w:r/>
            <w:r>
              <w:rPr>
                <w:rFonts w:ascii="Times New Roman" w:hAnsi="Times New Roman" w:eastAsia="宋体"/>
                <w:color w:val="000000"/>
                <w:sz w:val="20"/>
              </w:rPr>
              <w:t>含 POST/DOT/M 等非商品码</w:t>
            </w:r>
          </w:p>
        </w:tc>
      </w:tr>
      <w:tr>
        <w:tc>
          <w:tcPr>
            <w:tcW w:type="dxa" w:w="2183"/>
          </w:tcPr>
          <w:p>
            <w:pPr>
              <w:spacing w:after="20"/>
              <w:jc w:val="center"/>
            </w:pPr>
            <w:r/>
            <w:r>
              <w:rPr>
                <w:rFonts w:ascii="Times New Roman" w:hAnsi="Times New Roman" w:eastAsia="宋体"/>
                <w:color w:val="000000"/>
                <w:sz w:val="20"/>
              </w:rPr>
              <w:t>Description</w:t>
            </w:r>
          </w:p>
        </w:tc>
        <w:tc>
          <w:tcPr>
            <w:tcW w:type="dxa" w:w="2183"/>
          </w:tcPr>
          <w:p>
            <w:pPr>
              <w:spacing w:after="20"/>
              <w:jc w:val="left"/>
            </w:pPr>
            <w:r/>
            <w:r>
              <w:rPr>
                <w:rFonts w:ascii="Times New Roman" w:hAnsi="Times New Roman" w:eastAsia="宋体"/>
                <w:color w:val="000000"/>
                <w:sz w:val="20"/>
              </w:rPr>
              <w:t>字符串</w:t>
            </w:r>
          </w:p>
        </w:tc>
        <w:tc>
          <w:tcPr>
            <w:tcW w:type="dxa" w:w="2183"/>
          </w:tcPr>
          <w:p>
            <w:pPr>
              <w:spacing w:after="20"/>
              <w:jc w:val="left"/>
            </w:pPr>
            <w:r/>
            <w:r>
              <w:rPr>
                <w:rFonts w:ascii="Times New Roman" w:hAnsi="Times New Roman" w:eastAsia="宋体"/>
                <w:color w:val="000000"/>
                <w:sz w:val="20"/>
              </w:rPr>
              <w:t>商品描述</w:t>
            </w:r>
          </w:p>
        </w:tc>
        <w:tc>
          <w:tcPr>
            <w:tcW w:type="dxa" w:w="2183"/>
          </w:tcPr>
          <w:p>
            <w:pPr>
              <w:spacing w:after="20"/>
              <w:jc w:val="left"/>
            </w:pPr>
            <w:r/>
            <w:r>
              <w:rPr>
                <w:rFonts w:ascii="Times New Roman" w:hAnsi="Times New Roman" w:eastAsia="宋体"/>
                <w:color w:val="000000"/>
                <w:sz w:val="20"/>
              </w:rPr>
              <w:t>1,267 条缺失，存在首尾空格差异</w:t>
            </w:r>
          </w:p>
        </w:tc>
      </w:tr>
      <w:tr>
        <w:tc>
          <w:tcPr>
            <w:tcW w:type="dxa" w:w="2183"/>
          </w:tcPr>
          <w:p>
            <w:pPr>
              <w:spacing w:after="20"/>
              <w:jc w:val="center"/>
            </w:pPr>
            <w:r/>
            <w:r>
              <w:rPr>
                <w:rFonts w:ascii="Times New Roman" w:hAnsi="Times New Roman" w:eastAsia="宋体"/>
                <w:color w:val="000000"/>
                <w:sz w:val="20"/>
              </w:rPr>
              <w:t>Quantity</w:t>
            </w:r>
          </w:p>
        </w:tc>
        <w:tc>
          <w:tcPr>
            <w:tcW w:type="dxa" w:w="2183"/>
          </w:tcPr>
          <w:p>
            <w:pPr>
              <w:spacing w:after="20"/>
              <w:jc w:val="left"/>
            </w:pPr>
            <w:r/>
            <w:r>
              <w:rPr>
                <w:rFonts w:ascii="Times New Roman" w:hAnsi="Times New Roman" w:eastAsia="宋体"/>
                <w:color w:val="000000"/>
                <w:sz w:val="20"/>
              </w:rPr>
              <w:t>整数</w:t>
            </w:r>
          </w:p>
        </w:tc>
        <w:tc>
          <w:tcPr>
            <w:tcW w:type="dxa" w:w="2183"/>
          </w:tcPr>
          <w:p>
            <w:pPr>
              <w:spacing w:after="20"/>
              <w:jc w:val="left"/>
            </w:pPr>
            <w:r/>
            <w:r>
              <w:rPr>
                <w:rFonts w:ascii="Times New Roman" w:hAnsi="Times New Roman" w:eastAsia="宋体"/>
                <w:color w:val="000000"/>
                <w:sz w:val="20"/>
              </w:rPr>
              <w:t>销售数量，负数为退货</w:t>
            </w:r>
          </w:p>
        </w:tc>
        <w:tc>
          <w:tcPr>
            <w:tcW w:type="dxa" w:w="2183"/>
          </w:tcPr>
          <w:p>
            <w:pPr>
              <w:spacing w:after="20"/>
              <w:jc w:val="left"/>
            </w:pPr>
            <w:r/>
            <w:r>
              <w:rPr>
                <w:rFonts w:ascii="Times New Roman" w:hAnsi="Times New Roman" w:eastAsia="宋体"/>
                <w:color w:val="000000"/>
                <w:sz w:val="20"/>
              </w:rPr>
              <w:t>存在极端大额批发</w:t>
            </w:r>
          </w:p>
        </w:tc>
      </w:tr>
      <w:tr>
        <w:tc>
          <w:tcPr>
            <w:tcW w:type="dxa" w:w="2183"/>
          </w:tcPr>
          <w:p>
            <w:pPr>
              <w:spacing w:after="20"/>
              <w:jc w:val="center"/>
            </w:pPr>
            <w:r/>
            <w:r>
              <w:rPr>
                <w:rFonts w:ascii="Times New Roman" w:hAnsi="Times New Roman" w:eastAsia="宋体"/>
                <w:color w:val="000000"/>
                <w:sz w:val="20"/>
              </w:rPr>
              <w:t>InvoiceDate</w:t>
            </w:r>
          </w:p>
        </w:tc>
        <w:tc>
          <w:tcPr>
            <w:tcW w:type="dxa" w:w="2183"/>
          </w:tcPr>
          <w:p>
            <w:pPr>
              <w:spacing w:after="20"/>
              <w:jc w:val="left"/>
            </w:pPr>
            <w:r/>
            <w:r>
              <w:rPr>
                <w:rFonts w:ascii="Times New Roman" w:hAnsi="Times New Roman" w:eastAsia="宋体"/>
                <w:color w:val="000000"/>
                <w:sz w:val="20"/>
              </w:rPr>
              <w:t>日期时间</w:t>
            </w:r>
          </w:p>
        </w:tc>
        <w:tc>
          <w:tcPr>
            <w:tcW w:type="dxa" w:w="2183"/>
          </w:tcPr>
          <w:p>
            <w:pPr>
              <w:spacing w:after="20"/>
              <w:jc w:val="left"/>
            </w:pPr>
            <w:r/>
            <w:r>
              <w:rPr>
                <w:rFonts w:ascii="Times New Roman" w:hAnsi="Times New Roman" w:eastAsia="宋体"/>
                <w:color w:val="000000"/>
                <w:sz w:val="20"/>
              </w:rPr>
              <w:t>开票时间戳</w:t>
            </w:r>
          </w:p>
        </w:tc>
        <w:tc>
          <w:tcPr>
            <w:tcW w:type="dxa" w:w="2183"/>
          </w:tcPr>
          <w:p>
            <w:pPr>
              <w:spacing w:after="20"/>
              <w:jc w:val="left"/>
            </w:pPr>
            <w:r/>
            <w:r>
              <w:rPr>
                <w:rFonts w:ascii="Times New Roman" w:hAnsi="Times New Roman" w:eastAsia="宋体"/>
                <w:color w:val="000000"/>
                <w:sz w:val="20"/>
              </w:rPr>
              <w:t>两表合并后需统一格式</w:t>
            </w:r>
          </w:p>
        </w:tc>
      </w:tr>
      <w:tr>
        <w:tc>
          <w:tcPr>
            <w:tcW w:type="dxa" w:w="2183"/>
          </w:tcPr>
          <w:p>
            <w:pPr>
              <w:spacing w:after="20"/>
              <w:jc w:val="center"/>
            </w:pPr>
            <w:r/>
            <w:r>
              <w:rPr>
                <w:rFonts w:ascii="Times New Roman" w:hAnsi="Times New Roman" w:eastAsia="宋体"/>
                <w:color w:val="000000"/>
                <w:sz w:val="20"/>
              </w:rPr>
              <w:t>Price</w:t>
            </w:r>
          </w:p>
        </w:tc>
        <w:tc>
          <w:tcPr>
            <w:tcW w:type="dxa" w:w="2183"/>
          </w:tcPr>
          <w:p>
            <w:pPr>
              <w:spacing w:after="20"/>
              <w:jc w:val="left"/>
            </w:pPr>
            <w:r/>
            <w:r>
              <w:rPr>
                <w:rFonts w:ascii="Times New Roman" w:hAnsi="Times New Roman" w:eastAsia="宋体"/>
                <w:color w:val="000000"/>
                <w:sz w:val="20"/>
              </w:rPr>
              <w:t>浮点</w:t>
            </w:r>
          </w:p>
        </w:tc>
        <w:tc>
          <w:tcPr>
            <w:tcW w:type="dxa" w:w="2183"/>
          </w:tcPr>
          <w:p>
            <w:pPr>
              <w:spacing w:after="20"/>
              <w:jc w:val="left"/>
            </w:pPr>
            <w:r/>
            <w:r>
              <w:rPr>
                <w:rFonts w:ascii="Times New Roman" w:hAnsi="Times New Roman" w:eastAsia="宋体"/>
                <w:color w:val="000000"/>
                <w:sz w:val="20"/>
              </w:rPr>
              <w:t>商品单价（英镑）</w:t>
            </w:r>
          </w:p>
        </w:tc>
        <w:tc>
          <w:tcPr>
            <w:tcW w:type="dxa" w:w="2183"/>
          </w:tcPr>
          <w:p>
            <w:pPr>
              <w:spacing w:after="20"/>
              <w:jc w:val="left"/>
            </w:pPr>
            <w:r/>
            <w:r>
              <w:rPr>
                <w:rFonts w:ascii="Times New Roman" w:hAnsi="Times New Roman" w:eastAsia="宋体"/>
                <w:color w:val="000000"/>
                <w:sz w:val="20"/>
              </w:rPr>
              <w:t>存在 0 值与异常高价</w:t>
            </w:r>
          </w:p>
        </w:tc>
      </w:tr>
      <w:tr>
        <w:tc>
          <w:tcPr>
            <w:tcW w:type="dxa" w:w="2183"/>
          </w:tcPr>
          <w:p>
            <w:pPr>
              <w:spacing w:after="20"/>
              <w:jc w:val="center"/>
            </w:pPr>
            <w:r/>
            <w:r>
              <w:rPr>
                <w:rFonts w:ascii="Times New Roman" w:hAnsi="Times New Roman" w:eastAsia="宋体"/>
                <w:color w:val="000000"/>
                <w:sz w:val="20"/>
              </w:rPr>
              <w:t>Customer ID</w:t>
            </w:r>
          </w:p>
        </w:tc>
        <w:tc>
          <w:tcPr>
            <w:tcW w:type="dxa" w:w="2183"/>
          </w:tcPr>
          <w:p>
            <w:pPr>
              <w:spacing w:after="20"/>
              <w:jc w:val="left"/>
            </w:pPr>
            <w:r/>
            <w:r>
              <w:rPr>
                <w:rFonts w:ascii="Times New Roman" w:hAnsi="Times New Roman" w:eastAsia="宋体"/>
                <w:color w:val="000000"/>
                <w:sz w:val="20"/>
              </w:rPr>
              <w:t>浮点</w:t>
            </w:r>
          </w:p>
        </w:tc>
        <w:tc>
          <w:tcPr>
            <w:tcW w:type="dxa" w:w="2183"/>
          </w:tcPr>
          <w:p>
            <w:pPr>
              <w:spacing w:after="20"/>
              <w:jc w:val="left"/>
            </w:pPr>
            <w:r/>
            <w:r>
              <w:rPr>
                <w:rFonts w:ascii="Times New Roman" w:hAnsi="Times New Roman" w:eastAsia="宋体"/>
                <w:color w:val="000000"/>
                <w:sz w:val="20"/>
              </w:rPr>
              <w:t>客户编号</w:t>
            </w:r>
          </w:p>
        </w:tc>
        <w:tc>
          <w:tcPr>
            <w:tcW w:type="dxa" w:w="2183"/>
          </w:tcPr>
          <w:p>
            <w:pPr>
              <w:spacing w:after="20"/>
              <w:jc w:val="left"/>
            </w:pPr>
            <w:r/>
            <w:r>
              <w:rPr>
                <w:rFonts w:ascii="Times New Roman" w:hAnsi="Times New Roman" w:eastAsia="宋体"/>
                <w:color w:val="000000"/>
                <w:sz w:val="20"/>
              </w:rPr>
              <w:t>缺失 70,954 条（22.74%）</w:t>
            </w:r>
          </w:p>
        </w:tc>
      </w:tr>
      <w:tr>
        <w:tc>
          <w:tcPr>
            <w:tcW w:type="dxa" w:w="2183"/>
          </w:tcPr>
          <w:p>
            <w:pPr>
              <w:spacing w:after="20"/>
              <w:jc w:val="center"/>
            </w:pPr>
            <w:r/>
            <w:r>
              <w:rPr>
                <w:rFonts w:ascii="Times New Roman" w:hAnsi="Times New Roman" w:eastAsia="宋体"/>
                <w:color w:val="000000"/>
                <w:sz w:val="20"/>
              </w:rPr>
              <w:t>Country</w:t>
            </w:r>
          </w:p>
        </w:tc>
        <w:tc>
          <w:tcPr>
            <w:tcW w:type="dxa" w:w="2183"/>
          </w:tcPr>
          <w:p>
            <w:pPr>
              <w:spacing w:after="20"/>
              <w:jc w:val="left"/>
            </w:pPr>
            <w:r/>
            <w:r>
              <w:rPr>
                <w:rFonts w:ascii="Times New Roman" w:hAnsi="Times New Roman" w:eastAsia="宋体"/>
                <w:color w:val="000000"/>
                <w:sz w:val="20"/>
              </w:rPr>
              <w:t>字符串</w:t>
            </w:r>
          </w:p>
        </w:tc>
        <w:tc>
          <w:tcPr>
            <w:tcW w:type="dxa" w:w="2183"/>
          </w:tcPr>
          <w:p>
            <w:pPr>
              <w:spacing w:after="20"/>
              <w:jc w:val="left"/>
            </w:pPr>
            <w:r/>
            <w:r>
              <w:rPr>
                <w:rFonts w:ascii="Times New Roman" w:hAnsi="Times New Roman" w:eastAsia="宋体"/>
                <w:color w:val="000000"/>
                <w:sz w:val="20"/>
              </w:rPr>
              <w:t>客户所在国家</w:t>
            </w:r>
          </w:p>
        </w:tc>
        <w:tc>
          <w:tcPr>
            <w:tcW w:type="dxa" w:w="2183"/>
          </w:tcPr>
          <w:p>
            <w:pPr>
              <w:spacing w:after="20"/>
              <w:jc w:val="left"/>
            </w:pPr>
            <w:r/>
            <w:r>
              <w:rPr>
                <w:rFonts w:ascii="Times New Roman" w:hAnsi="Times New Roman" w:eastAsia="宋体"/>
                <w:color w:val="000000"/>
                <w:sz w:val="20"/>
              </w:rPr>
              <w:t>含 Unspecified 等脏值</w:t>
            </w:r>
          </w:p>
        </w:tc>
      </w:tr>
    </w:tbl>
    <w:p>
      <w:pPr>
        <w:spacing w:after="40"/>
      </w:pPr>
    </w:p>
    <w:p>
      <w:pPr>
        <w:keepNext/>
        <w:spacing w:line="360" w:lineRule="auto" w:before="100" w:after="80"/>
        <w:outlineLvl w:val="1"/>
      </w:pPr>
      <w:r>
        <w:rPr>
          <w:rFonts w:ascii="Times New Roman" w:hAnsi="Times New Roman" w:eastAsia="黑体"/>
          <w:b/>
          <w:color w:val="000000"/>
          <w:sz w:val="24"/>
        </w:rPr>
        <w:t>2.2 合规获取方式</w:t>
      </w:r>
    </w:p>
    <w:p>
      <w:pPr>
        <w:spacing w:line="360" w:lineRule="auto" w:after="80"/>
        <w:ind w:firstLine="480"/>
        <w:jc w:val="both"/>
      </w:pPr>
      <w:r>
        <w:rPr>
          <w:rFonts w:ascii="Times New Roman" w:hAnsi="Times New Roman" w:eastAsia="宋体"/>
          <w:b/>
          <w:color w:val="000000"/>
          <w:sz w:val="24"/>
        </w:rPr>
        <w:t>取数方式的清单对应关系。</w:t>
      </w:r>
      <w:r>
        <w:rPr>
          <w:rFonts w:ascii="Times New Roman" w:hAnsi="Times New Roman" w:eastAsia="宋体"/>
          <w:b w:val="0"/>
          <w:color w:val="000000"/>
          <w:sz w:val="24"/>
        </w:rPr>
        <w:t xml:space="preserve"> 本项目的取数方式属于课程附件 A 白名单的第一类——「数据源官方提供的一次性下载文件（CSV/ZIP/XLSX/JSON）」。附件 A 中「UCI / Kaggle·IBM HR」条目给出的合规渠道为 uci.ics.uci.edu（UCI Machine Learning Repository 官方站点）与 kaggle.com；本项目使用的 Online Retail II正是同一官方渠道收录的数据集（编号 #502，DOI 10.24432/C60H6D），下载地址位于 archive.ics.uci.edu 官方域名下。此外，附件 A 末项「Google Dataset Search」明确允许「检索后跳转官方下载」的自主选题扩展方式，本项目亦符合该通道。综上，取数渠道在课程白名单之内。</w:t>
      </w:r>
    </w:p>
    <w:p>
      <w:pPr>
        <w:spacing w:line="360" w:lineRule="auto" w:after="80"/>
        <w:ind w:firstLine="480"/>
        <w:jc w:val="both"/>
      </w:pPr>
      <w:r>
        <w:rPr>
          <w:rFonts w:ascii="Times New Roman" w:hAnsi="Times New Roman" w:eastAsia="宋体"/>
          <w:b w:val="0"/>
          <w:color w:val="000000"/>
          <w:sz w:val="24"/>
        </w:rPr>
        <w:t xml:space="preserve">技术实现上，scripts/01_load.py 仅使用 Python 标准库 urllib.request 对官方静态地址发起 </w:t>
      </w:r>
      <w:r>
        <w:rPr>
          <w:rFonts w:ascii="Times New Roman" w:hAnsi="Times New Roman" w:eastAsia="宋体"/>
          <w:b/>
          <w:color w:val="000000"/>
          <w:sz w:val="24"/>
        </w:rPr>
        <w:t>1 次</w:t>
      </w:r>
      <w:r>
        <w:rPr>
          <w:rFonts w:ascii="Times New Roman" w:hAnsi="Times New Roman" w:eastAsia="宋体"/>
          <w:b w:val="0"/>
          <w:color w:val="000000"/>
          <w:sz w:val="24"/>
        </w:rPr>
        <w:t xml:space="preserve"> HTTP GET 请求下载二进制 ZIP 文件，请求头中自报身份标识（business-data-analysis-course/1.0），随后直接解压读取，全程未解析任何 HTML、未维持任何会话、未遍历任何分页。</w:t>
      </w:r>
    </w:p>
    <w:p>
      <w:pPr>
        <w:spacing w:line="360" w:lineRule="auto" w:after="80"/>
        <w:ind w:firstLine="480"/>
        <w:jc w:val="both"/>
      </w:pPr>
      <w:r>
        <w:rPr>
          <w:rFonts w:ascii="Times New Roman" w:hAnsi="Times New Roman" w:eastAsia="宋体"/>
          <w:b/>
          <w:color w:val="000000"/>
          <w:sz w:val="24"/>
        </w:rPr>
        <w:t>本项目未使用任何爬虫技术。</w:t>
      </w:r>
      <w:r>
        <w:rPr>
          <w:rFonts w:ascii="Times New Roman" w:hAnsi="Times New Roman" w:eastAsia="宋体"/>
          <w:b w:val="0"/>
          <w:color w:val="000000"/>
          <w:sz w:val="24"/>
        </w:rPr>
        <w:t xml:space="preserve"> 依赖清单 requirements.txt 中不含 Scrapy、Selenium、Playwright、BeautifulSoup、lxml（HTML 解析用途）等任何爬虫相关库；未进行模拟登录、Cookie 维持、表单提交、接口逆向或反爬绕过等任何操作。上述行为与用户在浏览器中点击官方下载链接完全等价。</w:t>
      </w:r>
    </w:p>
    <w:p>
      <w:pPr>
        <w:spacing w:line="360" w:lineRule="auto" w:after="80"/>
        <w:ind w:firstLine="480"/>
        <w:jc w:val="both"/>
      </w:pPr>
      <w:r>
        <w:rPr>
          <w:rFonts w:ascii="Times New Roman" w:hAnsi="Times New Roman" w:eastAsia="宋体"/>
          <w:b w:val="0"/>
          <w:color w:val="000000"/>
          <w:sz w:val="24"/>
        </w:rPr>
        <w:t>本项目</w:t>
      </w:r>
      <w:r>
        <w:rPr>
          <w:rFonts w:ascii="Times New Roman" w:hAnsi="Times New Roman" w:eastAsia="宋体"/>
          <w:b/>
          <w:color w:val="000000"/>
          <w:sz w:val="24"/>
        </w:rPr>
        <w:t>未引入辅助数据源</w:t>
      </w:r>
      <w:r>
        <w:rPr>
          <w:rFonts w:ascii="Times New Roman" w:hAnsi="Times New Roman" w:eastAsia="宋体"/>
          <w:b w:val="0"/>
          <w:color w:val="000000"/>
          <w:sz w:val="24"/>
        </w:rPr>
        <w:t>，全部分析基于上述单一主数据源完成，因此不存在多源口径不一致的问题，也无需做跨源实体对齐。</w:t>
      </w:r>
    </w:p>
    <w:p>
      <w:pPr>
        <w:keepNext/>
        <w:spacing w:line="360" w:lineRule="auto" w:before="100" w:after="80"/>
        <w:outlineLvl w:val="1"/>
      </w:pPr>
      <w:r>
        <w:rPr>
          <w:rFonts w:ascii="Times New Roman" w:hAnsi="Times New Roman" w:eastAsia="黑体"/>
          <w:b/>
          <w:color w:val="000000"/>
          <w:sz w:val="24"/>
        </w:rPr>
        <w:t>2.3 数据来源合规声明</w:t>
      </w:r>
    </w:p>
    <w:p>
      <w:pPr>
        <w:spacing w:line="360" w:lineRule="auto" w:after="80"/>
        <w:ind w:firstLine="480"/>
        <w:jc w:val="both"/>
      </w:pPr>
      <w:r>
        <w:rPr>
          <w:rFonts w:ascii="Times New Roman" w:hAnsi="Times New Roman" w:eastAsia="宋体"/>
          <w:b w:val="0"/>
          <w:color w:val="000000"/>
          <w:sz w:val="24"/>
        </w:rPr>
        <w:t xml:space="preserve">根据 UCI Machine Learning Repository 的收录条款，该数据集遵循 </w:t>
      </w:r>
      <w:r>
        <w:rPr>
          <w:rFonts w:ascii="Times New Roman" w:hAnsi="Times New Roman" w:eastAsia="宋体"/>
          <w:b/>
          <w:color w:val="000000"/>
          <w:sz w:val="24"/>
        </w:rPr>
        <w:t>Creative Commons Attribution 4.0 International（CC BY 4.0）</w:t>
      </w:r>
      <w:r>
        <w:rPr>
          <w:rFonts w:ascii="Times New Roman" w:hAnsi="Times New Roman" w:eastAsia="宋体"/>
          <w:b w:val="0"/>
          <w:color w:val="000000"/>
          <w:sz w:val="24"/>
        </w:rPr>
        <w:t xml:space="preserve"> 许可，允许在署名的前提下复制、再分发、转换加工并用于商业性分析。本项目已在 README、本论文参考文献以及程序级配置 config.py 的引用字段中完整履行署名义务。</w:t>
      </w:r>
    </w:p>
    <w:p>
      <w:pPr>
        <w:spacing w:after="40"/>
        <w:jc w:val="center"/>
      </w:pPr>
      <w:r>
        <w:rPr>
          <w:rFonts w:ascii="Times New Roman" w:hAnsi="Times New Roman" w:eastAsia="黑体"/>
          <w:color w:val="000000"/>
          <w:sz w:val="21"/>
        </w:rPr>
        <w:t>表 2-2  数据来源合规声明要素</w:t>
      </w:r>
    </w:p>
    <w:tbl>
      <w:tblPr>
        <w:tblStyle w:val="TableGrid"/>
        <w:tblW w:type="auto" w:w="0"/>
        <w:jc w:val="center"/>
        <w:tblLook w:firstColumn="1" w:firstRow="1" w:lastColumn="0" w:lastRow="0" w:noHBand="0" w:noVBand="1" w:val="04A0"/>
      </w:tblPr>
      <w:tblGrid>
        <w:gridCol w:w="4366"/>
        <w:gridCol w:w="4366"/>
      </w:tblGrid>
      <w:tr>
        <w:tc>
          <w:tcPr>
            <w:tcW w:type="dxa" w:w="4366"/>
          </w:tcPr>
          <w:p>
            <w:pPr>
              <w:jc w:val="center"/>
            </w:pPr>
            <w:r/>
            <w:r>
              <w:rPr>
                <w:rFonts w:ascii="Times New Roman" w:hAnsi="Times New Roman" w:eastAsia="黑体"/>
                <w:b/>
                <w:color w:val="000000"/>
                <w:sz w:val="20"/>
              </w:rPr>
              <w:t>声明要素</w:t>
            </w:r>
          </w:p>
        </w:tc>
        <w:tc>
          <w:tcPr>
            <w:tcW w:type="dxa" w:w="4366"/>
          </w:tcPr>
          <w:p>
            <w:pPr>
              <w:jc w:val="center"/>
            </w:pPr>
            <w:r/>
            <w:r>
              <w:rPr>
                <w:rFonts w:ascii="Times New Roman" w:hAnsi="Times New Roman" w:eastAsia="黑体"/>
                <w:b/>
                <w:color w:val="000000"/>
                <w:sz w:val="20"/>
              </w:rPr>
              <w:t>内容</w:t>
            </w:r>
          </w:p>
        </w:tc>
      </w:tr>
      <w:tr>
        <w:tc>
          <w:tcPr>
            <w:tcW w:type="dxa" w:w="4366"/>
          </w:tcPr>
          <w:p>
            <w:pPr>
              <w:spacing w:after="20"/>
              <w:jc w:val="center"/>
            </w:pPr>
            <w:r/>
            <w:r>
              <w:rPr>
                <w:rFonts w:ascii="Times New Roman" w:hAnsi="Times New Roman" w:eastAsia="宋体"/>
                <w:color w:val="000000"/>
                <w:sz w:val="20"/>
              </w:rPr>
              <w:t>数据源名称</w:t>
            </w:r>
          </w:p>
        </w:tc>
        <w:tc>
          <w:tcPr>
            <w:tcW w:type="dxa" w:w="4366"/>
          </w:tcPr>
          <w:p>
            <w:pPr>
              <w:spacing w:after="20"/>
              <w:jc w:val="center"/>
            </w:pPr>
            <w:r/>
            <w:r>
              <w:rPr>
                <w:rFonts w:ascii="Times New Roman" w:hAnsi="Times New Roman" w:eastAsia="宋体"/>
                <w:color w:val="000000"/>
                <w:sz w:val="20"/>
              </w:rPr>
              <w:t>Online Retail II（UCI ML Repository #502）</w:t>
            </w:r>
          </w:p>
        </w:tc>
      </w:tr>
      <w:tr>
        <w:tc>
          <w:tcPr>
            <w:tcW w:type="dxa" w:w="4366"/>
          </w:tcPr>
          <w:p>
            <w:pPr>
              <w:spacing w:after="20"/>
              <w:jc w:val="center"/>
            </w:pPr>
            <w:r/>
            <w:r>
              <w:rPr>
                <w:rFonts w:ascii="Times New Roman" w:hAnsi="Times New Roman" w:eastAsia="宋体"/>
                <w:color w:val="000000"/>
                <w:sz w:val="20"/>
              </w:rPr>
              <w:t>官方 URL</w:t>
            </w:r>
          </w:p>
        </w:tc>
        <w:tc>
          <w:tcPr>
            <w:tcW w:type="dxa" w:w="4366"/>
          </w:tcPr>
          <w:p>
            <w:pPr>
              <w:spacing w:after="20"/>
              <w:jc w:val="center"/>
            </w:pPr>
            <w:r/>
            <w:r>
              <w:rPr>
                <w:rFonts w:ascii="Times New Roman" w:hAnsi="Times New Roman" w:eastAsia="宋体"/>
                <w:color w:val="000000"/>
                <w:sz w:val="20"/>
              </w:rPr>
              <w:t>https://archive.ics.uci.edu/dataset/502/online+retail+ii</w:t>
            </w:r>
          </w:p>
        </w:tc>
      </w:tr>
      <w:tr>
        <w:tc>
          <w:tcPr>
            <w:tcW w:type="dxa" w:w="4366"/>
          </w:tcPr>
          <w:p>
            <w:pPr>
              <w:spacing w:after="20"/>
              <w:jc w:val="center"/>
            </w:pPr>
            <w:r/>
            <w:r>
              <w:rPr>
                <w:rFonts w:ascii="Times New Roman" w:hAnsi="Times New Roman" w:eastAsia="宋体"/>
                <w:color w:val="000000"/>
                <w:sz w:val="20"/>
              </w:rPr>
              <w:t>获取方式</w:t>
            </w:r>
          </w:p>
        </w:tc>
        <w:tc>
          <w:tcPr>
            <w:tcW w:type="dxa" w:w="4366"/>
          </w:tcPr>
          <w:p>
            <w:pPr>
              <w:spacing w:after="20"/>
              <w:jc w:val="center"/>
            </w:pPr>
            <w:r/>
            <w:r>
              <w:rPr>
                <w:rFonts w:ascii="Times New Roman" w:hAnsi="Times New Roman" w:eastAsia="宋体"/>
                <w:color w:val="000000"/>
                <w:sz w:val="20"/>
              </w:rPr>
              <w:t>官方一次性下载 ZIP 文件（白名单方式，非爬虫）</w:t>
            </w:r>
          </w:p>
        </w:tc>
      </w:tr>
      <w:tr>
        <w:tc>
          <w:tcPr>
            <w:tcW w:type="dxa" w:w="4366"/>
          </w:tcPr>
          <w:p>
            <w:pPr>
              <w:spacing w:after="20"/>
              <w:jc w:val="center"/>
            </w:pPr>
            <w:r/>
            <w:r>
              <w:rPr>
                <w:rFonts w:ascii="Times New Roman" w:hAnsi="Times New Roman" w:eastAsia="宋体"/>
                <w:color w:val="000000"/>
                <w:sz w:val="20"/>
              </w:rPr>
              <w:t>获取日期</w:t>
            </w:r>
          </w:p>
        </w:tc>
        <w:tc>
          <w:tcPr>
            <w:tcW w:type="dxa" w:w="4366"/>
          </w:tcPr>
          <w:p>
            <w:pPr>
              <w:spacing w:after="20"/>
              <w:jc w:val="center"/>
            </w:pPr>
            <w:r/>
            <w:r>
              <w:rPr>
                <w:rFonts w:ascii="Times New Roman" w:hAnsi="Times New Roman" w:eastAsia="宋体"/>
                <w:color w:val="000000"/>
                <w:sz w:val="20"/>
              </w:rPr>
              <w:t>2026 年 10 月 19 日</w:t>
            </w:r>
          </w:p>
        </w:tc>
      </w:tr>
      <w:tr>
        <w:tc>
          <w:tcPr>
            <w:tcW w:type="dxa" w:w="4366"/>
          </w:tcPr>
          <w:p>
            <w:pPr>
              <w:spacing w:after="20"/>
              <w:jc w:val="center"/>
            </w:pPr>
            <w:r/>
            <w:r>
              <w:rPr>
                <w:rFonts w:ascii="Times New Roman" w:hAnsi="Times New Roman" w:eastAsia="宋体"/>
                <w:color w:val="000000"/>
                <w:sz w:val="20"/>
              </w:rPr>
              <w:t>SHA256 校验值</w:t>
            </w:r>
          </w:p>
        </w:tc>
        <w:tc>
          <w:tcPr>
            <w:tcW w:type="dxa" w:w="4366"/>
          </w:tcPr>
          <w:p>
            <w:pPr>
              <w:spacing w:after="20"/>
              <w:jc w:val="center"/>
            </w:pPr>
            <w:r/>
            <w:r>
              <w:rPr>
                <w:rFonts w:ascii="Times New Roman" w:hAnsi="Times New Roman" w:eastAsia="宋体"/>
                <w:color w:val="000000"/>
                <w:sz w:val="20"/>
              </w:rPr>
              <w:t>572e3627…0408e67bfb（见 data/raw/provenance.json）</w:t>
            </w:r>
          </w:p>
        </w:tc>
      </w:tr>
      <w:tr>
        <w:tc>
          <w:tcPr>
            <w:tcW w:type="dxa" w:w="4366"/>
          </w:tcPr>
          <w:p>
            <w:pPr>
              <w:spacing w:after="20"/>
              <w:jc w:val="center"/>
            </w:pPr>
            <w:r/>
            <w:r>
              <w:rPr>
                <w:rFonts w:ascii="Times New Roman" w:hAnsi="Times New Roman" w:eastAsia="宋体"/>
                <w:color w:val="000000"/>
                <w:sz w:val="20"/>
              </w:rPr>
              <w:t>授权协议</w:t>
            </w:r>
          </w:p>
        </w:tc>
        <w:tc>
          <w:tcPr>
            <w:tcW w:type="dxa" w:w="4366"/>
          </w:tcPr>
          <w:p>
            <w:pPr>
              <w:spacing w:after="20"/>
              <w:jc w:val="center"/>
            </w:pPr>
            <w:r/>
            <w:r>
              <w:rPr>
                <w:rFonts w:ascii="Times New Roman" w:hAnsi="Times New Roman" w:eastAsia="宋体"/>
                <w:color w:val="000000"/>
                <w:sz w:val="20"/>
              </w:rPr>
              <w:t>CC BY 4.0（署名即可自由使用与再分发）</w:t>
            </w:r>
          </w:p>
        </w:tc>
      </w:tr>
      <w:tr>
        <w:tc>
          <w:tcPr>
            <w:tcW w:type="dxa" w:w="4366"/>
          </w:tcPr>
          <w:p>
            <w:pPr>
              <w:spacing w:after="20"/>
              <w:jc w:val="center"/>
            </w:pPr>
            <w:r/>
            <w:r>
              <w:rPr>
                <w:rFonts w:ascii="Times New Roman" w:hAnsi="Times New Roman" w:eastAsia="宋体"/>
                <w:color w:val="000000"/>
                <w:sz w:val="20"/>
              </w:rPr>
              <w:t>原始规模</w:t>
            </w:r>
          </w:p>
        </w:tc>
        <w:tc>
          <w:tcPr>
            <w:tcW w:type="dxa" w:w="4366"/>
          </w:tcPr>
          <w:p>
            <w:pPr>
              <w:spacing w:after="20"/>
              <w:jc w:val="center"/>
            </w:pPr>
            <w:r/>
            <w:r>
              <w:rPr>
                <w:rFonts w:ascii="Times New Roman" w:hAnsi="Times New Roman" w:eastAsia="宋体"/>
                <w:color w:val="000000"/>
                <w:sz w:val="20"/>
              </w:rPr>
              <w:t>1,067,371 行 / 53,628 张发票 / 45.62 MB</w:t>
            </w:r>
          </w:p>
        </w:tc>
      </w:tr>
      <w:tr>
        <w:tc>
          <w:tcPr>
            <w:tcW w:type="dxa" w:w="4366"/>
          </w:tcPr>
          <w:p>
            <w:pPr>
              <w:spacing w:after="20"/>
              <w:jc w:val="center"/>
            </w:pPr>
            <w:r/>
            <w:r>
              <w:rPr>
                <w:rFonts w:ascii="Times New Roman" w:hAnsi="Times New Roman" w:eastAsia="宋体"/>
                <w:color w:val="000000"/>
                <w:sz w:val="20"/>
              </w:rPr>
              <w:t>抽样方法与种子</w:t>
            </w:r>
          </w:p>
        </w:tc>
        <w:tc>
          <w:tcPr>
            <w:tcW w:type="dxa" w:w="4366"/>
          </w:tcPr>
          <w:p>
            <w:pPr>
              <w:spacing w:after="20"/>
              <w:jc w:val="center"/>
            </w:pPr>
            <w:r/>
            <w:r>
              <w:rPr>
                <w:rFonts w:ascii="Times New Roman" w:hAnsi="Times New Roman" w:eastAsia="宋体"/>
                <w:color w:val="000000"/>
                <w:sz w:val="20"/>
              </w:rPr>
              <w:t>按发票整单随机抽样 30%，随机种子 2026</w:t>
            </w:r>
          </w:p>
        </w:tc>
      </w:tr>
    </w:tbl>
    <w:p>
      <w:pPr>
        <w:spacing w:after="40"/>
      </w:pPr>
    </w:p>
    <w:p>
      <w:pPr>
        <w:keepNext/>
        <w:spacing w:line="360" w:lineRule="auto" w:before="100" w:after="80"/>
        <w:outlineLvl w:val="1"/>
      </w:pPr>
      <w:r>
        <w:rPr>
          <w:rFonts w:ascii="Times New Roman" w:hAnsi="Times New Roman" w:eastAsia="黑体"/>
          <w:b/>
          <w:color w:val="000000"/>
          <w:sz w:val="24"/>
        </w:rPr>
        <w:t>2.4 数据集概述</w:t>
      </w:r>
    </w:p>
    <w:p>
      <w:pPr>
        <w:spacing w:line="360" w:lineRule="auto" w:after="80"/>
        <w:ind w:firstLine="480"/>
        <w:jc w:val="both"/>
      </w:pPr>
      <w:r>
        <w:rPr>
          <w:rFonts w:ascii="Times New Roman" w:hAnsi="Times New Roman" w:eastAsia="宋体"/>
          <w:b w:val="0"/>
          <w:color w:val="000000"/>
          <w:sz w:val="24"/>
        </w:rPr>
        <w:t>源数据为典型的扁平交易明细表（宽表），每一行为一张发票中的一个商品行项。这种结构便于存储但不便于分析：国家、品类等维度属性高度重复，且缺少日期维度与订单头信息。因此在清洗阶段需要将其规范化为星型模型。</w:t>
      </w:r>
    </w:p>
    <w:p>
      <w:pPr>
        <w:spacing w:line="360" w:lineRule="auto" w:after="80"/>
        <w:ind w:firstLine="480"/>
        <w:jc w:val="both"/>
      </w:pPr>
      <w:r>
        <w:rPr>
          <w:rFonts w:ascii="Times New Roman" w:hAnsi="Times New Roman" w:eastAsia="宋体"/>
          <w:b w:val="0"/>
          <w:color w:val="000000"/>
          <w:sz w:val="24"/>
        </w:rPr>
        <w:t>数据集的业务语义需在建模前明确三点：其一，Invoice 以字母 C 开头者为取消订单，其 Quantity 为负数，不能计入销售；其二，StockCode 中的 POST（邮费）、DOT（DOTCOM 邮费）、M（人工费）、AMAZONFEE（平台费）、BANK CHARGES（银行手续费）、CRUK（慈善捐）、D（折扣）等字母码并非商品，必须单列剔除，否则会污染品类结构分析；其三，Customer ID 缺失不代表记录无效，而是代表未注册访客的线下批发单，应保留但单独标记。</w:t>
      </w:r>
    </w:p>
    <w:p>
      <w:pPr>
        <w:keepNext/>
        <w:spacing w:line="360" w:lineRule="auto" w:before="160" w:after="80"/>
        <w:outlineLvl w:val="0"/>
      </w:pPr>
      <w:r>
        <w:rPr>
          <w:rFonts w:ascii="Times New Roman" w:hAnsi="Times New Roman" w:eastAsia="黑体"/>
          <w:b/>
          <w:color w:val="000000"/>
          <w:sz w:val="28"/>
        </w:rPr>
        <w:t>3 数据清洗与治理</w:t>
      </w:r>
    </w:p>
    <w:p>
      <w:pPr>
        <w:keepNext/>
        <w:spacing w:line="360" w:lineRule="auto" w:before="100" w:after="80"/>
        <w:outlineLvl w:val="1"/>
      </w:pPr>
      <w:r>
        <w:rPr>
          <w:rFonts w:ascii="Times New Roman" w:hAnsi="Times New Roman" w:eastAsia="黑体"/>
          <w:b/>
          <w:color w:val="000000"/>
          <w:sz w:val="24"/>
        </w:rPr>
        <w:t>3.1 数据清洗</w:t>
      </w:r>
    </w:p>
    <w:p>
      <w:pPr>
        <w:spacing w:line="360" w:lineRule="auto" w:after="80"/>
        <w:ind w:firstLine="480"/>
        <w:jc w:val="both"/>
      </w:pPr>
      <w:r>
        <w:rPr>
          <w:rFonts w:ascii="Times New Roman" w:hAnsi="Times New Roman" w:eastAsia="宋体"/>
          <w:b w:val="0"/>
          <w:color w:val="000000"/>
          <w:sz w:val="24"/>
        </w:rPr>
        <w:t>清洗环节遵循「可审计、可回溯」原则：每一条被剔除的记录都保留在旁路表中，而不是直接丢弃后无从追查。整体流程分为重复值、缺失值、异常值三步，数据行保留率为 95.9%。</w:t>
      </w:r>
    </w:p>
    <w:p>
      <w:pPr>
        <w:spacing w:line="360" w:lineRule="auto" w:after="80"/>
        <w:ind w:firstLine="480"/>
        <w:jc w:val="both"/>
      </w:pPr>
      <w:r>
        <w:rPr>
          <w:rFonts w:ascii="Times New Roman" w:hAnsi="Times New Roman" w:eastAsia="宋体"/>
          <w:b/>
          <w:color w:val="000000"/>
          <w:sz w:val="24"/>
        </w:rPr>
        <w:t>重复值处理</w:t>
      </w:r>
      <w:r>
        <w:rPr>
          <w:rFonts w:ascii="Times New Roman" w:hAnsi="Times New Roman" w:eastAsia="宋体"/>
          <w:b w:val="0"/>
          <w:color w:val="000000"/>
          <w:sz w:val="24"/>
        </w:rPr>
        <w:t>：对 Invoice、StockCode、Quantity、InvoiceDate、Price 五个关键列组合查重，共剔除 3,674 条完全重复行。此处未使用全字段查重，是因为同一发票同一商品可能因促销被拆成两行（单价不同），属于合法业务记录。</w:t>
      </w:r>
    </w:p>
    <w:p>
      <w:pPr>
        <w:spacing w:line="360" w:lineRule="auto" w:after="80"/>
        <w:ind w:firstLine="480"/>
        <w:jc w:val="both"/>
      </w:pPr>
      <w:r>
        <w:rPr>
          <w:rFonts w:ascii="Times New Roman" w:hAnsi="Times New Roman" w:eastAsia="宋体"/>
          <w:b/>
          <w:color w:val="000000"/>
          <w:sz w:val="24"/>
        </w:rPr>
        <w:t>缺失值处理</w:t>
      </w:r>
      <w:r>
        <w:rPr>
          <w:rFonts w:ascii="Times New Roman" w:hAnsi="Times New Roman" w:eastAsia="宋体"/>
          <w:b w:val="0"/>
          <w:color w:val="000000"/>
          <w:sz w:val="24"/>
        </w:rPr>
        <w:t>采用差异化策略，而非统一删除：Description 缺失 1,267 条，因商品编码 StockCode 仍有效，采用「编码 + [Unknown]」填充，保留该行销售额；Customer ID 缺失 70,954 条（占 22.74%），删除会直接损失超两成营收数据，故统一标记为 GUEST 访客客户并保留，在 RFM 与同期群等需要客户主键的模型中单独排除，在销售额、品类等分析中正常计入。</w:t>
      </w:r>
    </w:p>
    <w:p>
      <w:pPr>
        <w:spacing w:line="360" w:lineRule="auto" w:after="80"/>
        <w:ind w:firstLine="480"/>
        <w:jc w:val="both"/>
      </w:pPr>
      <w:r>
        <w:rPr>
          <w:rFonts w:ascii="Times New Roman" w:hAnsi="Times New Roman" w:eastAsia="宋体"/>
          <w:b/>
          <w:color w:val="000000"/>
          <w:sz w:val="24"/>
        </w:rPr>
        <w:t>异常值处理</w:t>
      </w:r>
      <w:r>
        <w:rPr>
          <w:rFonts w:ascii="Times New Roman" w:hAnsi="Times New Roman" w:eastAsia="宋体"/>
          <w:b w:val="0"/>
          <w:color w:val="000000"/>
          <w:sz w:val="24"/>
        </w:rPr>
        <w:t>采用四条业务规则并联过滤，合计剔除 9,262 条：</w:t>
      </w:r>
    </w:p>
    <w:p>
      <w:pPr>
        <w:spacing w:after="40"/>
        <w:jc w:val="center"/>
      </w:pPr>
      <w:r>
        <w:rPr>
          <w:rFonts w:ascii="Times New Roman" w:hAnsi="Times New Roman" w:eastAsia="黑体"/>
          <w:color w:val="000000"/>
          <w:sz w:val="21"/>
        </w:rPr>
        <w:t>表 3-1  异常值识别规则与业务依据</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jc w:val="center"/>
            </w:pPr>
            <w:r/>
            <w:r>
              <w:rPr>
                <w:rFonts w:ascii="Times New Roman" w:hAnsi="Times New Roman" w:eastAsia="黑体"/>
                <w:b/>
                <w:color w:val="000000"/>
                <w:sz w:val="20"/>
              </w:rPr>
              <w:t>规则</w:t>
            </w:r>
          </w:p>
        </w:tc>
        <w:tc>
          <w:tcPr>
            <w:tcW w:type="dxa" w:w="2183"/>
          </w:tcPr>
          <w:p>
            <w:pPr>
              <w:jc w:val="center"/>
            </w:pPr>
            <w:r/>
            <w:r>
              <w:rPr>
                <w:rFonts w:ascii="Times New Roman" w:hAnsi="Times New Roman" w:eastAsia="黑体"/>
                <w:b/>
                <w:color w:val="000000"/>
                <w:sz w:val="20"/>
              </w:rPr>
              <w:t>判定条件</w:t>
            </w:r>
          </w:p>
        </w:tc>
        <w:tc>
          <w:tcPr>
            <w:tcW w:type="dxa" w:w="2183"/>
          </w:tcPr>
          <w:p>
            <w:pPr>
              <w:jc w:val="center"/>
            </w:pPr>
            <w:r/>
            <w:r>
              <w:rPr>
                <w:rFonts w:ascii="Times New Roman" w:hAnsi="Times New Roman" w:eastAsia="黑体"/>
                <w:b/>
                <w:color w:val="000000"/>
                <w:sz w:val="20"/>
              </w:rPr>
              <w:t>命中行数</w:t>
            </w:r>
          </w:p>
        </w:tc>
        <w:tc>
          <w:tcPr>
            <w:tcW w:type="dxa" w:w="2183"/>
          </w:tcPr>
          <w:p>
            <w:pPr>
              <w:jc w:val="center"/>
            </w:pPr>
            <w:r/>
            <w:r>
              <w:rPr>
                <w:rFonts w:ascii="Times New Roman" w:hAnsi="Times New Roman" w:eastAsia="黑体"/>
                <w:b/>
                <w:color w:val="000000"/>
                <w:sz w:val="20"/>
              </w:rPr>
              <w:t>业务依据</w:t>
            </w:r>
          </w:p>
        </w:tc>
      </w:tr>
      <w:tr>
        <w:tc>
          <w:tcPr>
            <w:tcW w:type="dxa" w:w="2183"/>
          </w:tcPr>
          <w:p>
            <w:pPr>
              <w:spacing w:after="20"/>
              <w:jc w:val="center"/>
            </w:pPr>
            <w:r/>
            <w:r>
              <w:rPr>
                <w:rFonts w:ascii="Times New Roman" w:hAnsi="Times New Roman" w:eastAsia="宋体"/>
                <w:color w:val="000000"/>
                <w:sz w:val="20"/>
              </w:rPr>
              <w:t>R1 取消订单</w:t>
            </w:r>
          </w:p>
        </w:tc>
        <w:tc>
          <w:tcPr>
            <w:tcW w:type="dxa" w:w="2183"/>
          </w:tcPr>
          <w:p>
            <w:pPr>
              <w:spacing w:after="20"/>
              <w:jc w:val="left"/>
            </w:pPr>
            <w:r/>
            <w:r>
              <w:rPr>
                <w:rFonts w:ascii="Times New Roman" w:hAnsi="Times New Roman" w:eastAsia="宋体"/>
                <w:color w:val="000000"/>
                <w:sz w:val="20"/>
              </w:rPr>
              <w:t>Invoice 以 C 开头或 Quantity &lt; 0</w:t>
            </w:r>
          </w:p>
        </w:tc>
        <w:tc>
          <w:tcPr>
            <w:tcW w:type="dxa" w:w="2183"/>
          </w:tcPr>
          <w:p>
            <w:pPr>
              <w:spacing w:after="20"/>
              <w:jc w:val="left"/>
            </w:pPr>
            <w:r/>
            <w:r>
              <w:rPr>
                <w:rFonts w:ascii="Times New Roman" w:hAnsi="Times New Roman" w:eastAsia="宋体"/>
                <w:color w:val="000000"/>
                <w:sz w:val="20"/>
              </w:rPr>
              <w:t>6,261</w:t>
            </w:r>
          </w:p>
        </w:tc>
        <w:tc>
          <w:tcPr>
            <w:tcW w:type="dxa" w:w="2183"/>
          </w:tcPr>
          <w:p>
            <w:pPr>
              <w:spacing w:after="20"/>
              <w:jc w:val="left"/>
            </w:pPr>
            <w:r/>
            <w:r>
              <w:rPr>
                <w:rFonts w:ascii="Times New Roman" w:hAnsi="Times New Roman" w:eastAsia="宋体"/>
                <w:color w:val="000000"/>
                <w:sz w:val="20"/>
              </w:rPr>
              <w:t>取消单与退货不构成销售收入，混入会虚减客单价</w:t>
            </w:r>
          </w:p>
        </w:tc>
      </w:tr>
      <w:tr>
        <w:tc>
          <w:tcPr>
            <w:tcW w:type="dxa" w:w="2183"/>
          </w:tcPr>
          <w:p>
            <w:pPr>
              <w:spacing w:after="20"/>
              <w:jc w:val="center"/>
            </w:pPr>
            <w:r/>
            <w:r>
              <w:rPr>
                <w:rFonts w:ascii="Times New Roman" w:hAnsi="Times New Roman" w:eastAsia="宋体"/>
                <w:color w:val="000000"/>
                <w:sz w:val="20"/>
              </w:rPr>
              <w:t>R2 无效记录</w:t>
            </w:r>
          </w:p>
        </w:tc>
        <w:tc>
          <w:tcPr>
            <w:tcW w:type="dxa" w:w="2183"/>
          </w:tcPr>
          <w:p>
            <w:pPr>
              <w:spacing w:after="20"/>
              <w:jc w:val="left"/>
            </w:pPr>
            <w:r/>
            <w:r>
              <w:rPr>
                <w:rFonts w:ascii="Times New Roman" w:hAnsi="Times New Roman" w:eastAsia="宋体"/>
                <w:color w:val="000000"/>
                <w:sz w:val="20"/>
              </w:rPr>
              <w:t>Quantity ≤ 0 或 Price ≤ 0</w:t>
            </w:r>
          </w:p>
        </w:tc>
        <w:tc>
          <w:tcPr>
            <w:tcW w:type="dxa" w:w="2183"/>
          </w:tcPr>
          <w:p>
            <w:pPr>
              <w:spacing w:after="20"/>
              <w:jc w:val="left"/>
            </w:pPr>
            <w:r/>
            <w:r>
              <w:rPr>
                <w:rFonts w:ascii="Times New Roman" w:hAnsi="Times New Roman" w:eastAsia="宋体"/>
                <w:color w:val="000000"/>
                <w:sz w:val="20"/>
              </w:rPr>
              <w:t>1,690</w:t>
            </w:r>
          </w:p>
        </w:tc>
        <w:tc>
          <w:tcPr>
            <w:tcW w:type="dxa" w:w="2183"/>
          </w:tcPr>
          <w:p>
            <w:pPr>
              <w:spacing w:after="20"/>
              <w:jc w:val="left"/>
            </w:pPr>
            <w:r/>
            <w:r>
              <w:rPr>
                <w:rFonts w:ascii="Times New Roman" w:hAnsi="Times New Roman" w:eastAsia="宋体"/>
                <w:color w:val="000000"/>
                <w:sz w:val="20"/>
              </w:rPr>
              <w:t>零单价多为赠品或数据错误，不具销售意义</w:t>
            </w:r>
          </w:p>
        </w:tc>
      </w:tr>
      <w:tr>
        <w:tc>
          <w:tcPr>
            <w:tcW w:type="dxa" w:w="2183"/>
          </w:tcPr>
          <w:p>
            <w:pPr>
              <w:spacing w:after="20"/>
              <w:jc w:val="center"/>
            </w:pPr>
            <w:r/>
            <w:r>
              <w:rPr>
                <w:rFonts w:ascii="Times New Roman" w:hAnsi="Times New Roman" w:eastAsia="宋体"/>
                <w:color w:val="000000"/>
                <w:sz w:val="20"/>
              </w:rPr>
              <w:t>R3 非商品费用</w:t>
            </w:r>
          </w:p>
        </w:tc>
        <w:tc>
          <w:tcPr>
            <w:tcW w:type="dxa" w:w="2183"/>
          </w:tcPr>
          <w:p>
            <w:pPr>
              <w:spacing w:after="20"/>
              <w:jc w:val="left"/>
            </w:pPr>
            <w:r/>
            <w:r>
              <w:rPr>
                <w:rFonts w:ascii="Times New Roman" w:hAnsi="Times New Roman" w:eastAsia="宋体"/>
                <w:color w:val="000000"/>
                <w:sz w:val="20"/>
              </w:rPr>
              <w:t>StockCode ∈ {POST,DOT,M,AMAZONFEE,…}</w:t>
            </w:r>
          </w:p>
        </w:tc>
        <w:tc>
          <w:tcPr>
            <w:tcW w:type="dxa" w:w="2183"/>
          </w:tcPr>
          <w:p>
            <w:pPr>
              <w:spacing w:after="20"/>
              <w:jc w:val="left"/>
            </w:pPr>
            <w:r/>
            <w:r>
              <w:rPr>
                <w:rFonts w:ascii="Times New Roman" w:hAnsi="Times New Roman" w:eastAsia="宋体"/>
                <w:color w:val="000000"/>
                <w:sz w:val="20"/>
              </w:rPr>
              <w:t>1,311</w:t>
            </w:r>
          </w:p>
        </w:tc>
        <w:tc>
          <w:tcPr>
            <w:tcW w:type="dxa" w:w="2183"/>
          </w:tcPr>
          <w:p>
            <w:pPr>
              <w:spacing w:after="20"/>
              <w:jc w:val="left"/>
            </w:pPr>
            <w:r/>
            <w:r>
              <w:rPr>
                <w:rFonts w:ascii="Times New Roman" w:hAnsi="Times New Roman" w:eastAsia="宋体"/>
                <w:color w:val="000000"/>
                <w:sz w:val="20"/>
              </w:rPr>
              <w:t>邮费与手续费不属商品，会污染品类结构</w:t>
            </w:r>
          </w:p>
        </w:tc>
      </w:tr>
      <w:tr>
        <w:tc>
          <w:tcPr>
            <w:tcW w:type="dxa" w:w="2183"/>
          </w:tcPr>
          <w:p>
            <w:pPr>
              <w:spacing w:after="20"/>
              <w:jc w:val="center"/>
            </w:pPr>
            <w:r/>
            <w:r>
              <w:rPr>
                <w:rFonts w:ascii="Times New Roman" w:hAnsi="Times New Roman" w:eastAsia="宋体"/>
                <w:color w:val="000000"/>
                <w:sz w:val="20"/>
              </w:rPr>
              <w:t>R4 极端离群</w:t>
            </w:r>
          </w:p>
        </w:tc>
        <w:tc>
          <w:tcPr>
            <w:tcW w:type="dxa" w:w="2183"/>
          </w:tcPr>
          <w:p>
            <w:pPr>
              <w:spacing w:after="20"/>
              <w:jc w:val="left"/>
            </w:pPr>
            <w:r/>
            <w:r>
              <w:rPr>
                <w:rFonts w:ascii="Times New Roman" w:hAnsi="Times New Roman" w:eastAsia="宋体"/>
                <w:color w:val="000000"/>
                <w:sz w:val="20"/>
              </w:rPr>
              <w:t>Quantity &gt; 100,000 或 Price &gt; 10,000</w:t>
            </w:r>
          </w:p>
        </w:tc>
        <w:tc>
          <w:tcPr>
            <w:tcW w:type="dxa" w:w="2183"/>
          </w:tcPr>
          <w:p>
            <w:pPr>
              <w:spacing w:after="20"/>
              <w:jc w:val="left"/>
            </w:pPr>
            <w:r/>
            <w:r>
              <w:rPr>
                <w:rFonts w:ascii="Times New Roman" w:hAnsi="Times New Roman" w:eastAsia="宋体"/>
                <w:color w:val="000000"/>
                <w:sz w:val="20"/>
              </w:rPr>
              <w:t>含于 R2</w:t>
            </w:r>
          </w:p>
        </w:tc>
        <w:tc>
          <w:tcPr>
            <w:tcW w:type="dxa" w:w="2183"/>
          </w:tcPr>
          <w:p>
            <w:pPr>
              <w:spacing w:after="20"/>
              <w:jc w:val="left"/>
            </w:pPr>
            <w:r/>
            <w:r>
              <w:rPr>
                <w:rFonts w:ascii="Times New Roman" w:hAnsi="Times New Roman" w:eastAsia="宋体"/>
                <w:color w:val="000000"/>
                <w:sz w:val="20"/>
              </w:rPr>
              <w:t>个别批发/录入错误，会严重扭曲帕累托排序</w:t>
            </w:r>
          </w:p>
        </w:tc>
      </w:tr>
    </w:tbl>
    <w:p>
      <w:pPr>
        <w:spacing w:after="40"/>
      </w:pPr>
    </w:p>
    <w:p>
      <w:pPr>
        <w:spacing w:line="360" w:lineRule="auto" w:after="80"/>
        <w:ind w:firstLine="480"/>
        <w:jc w:val="both"/>
      </w:pPr>
      <w:r>
        <w:rPr>
          <w:rFonts w:ascii="Times New Roman" w:hAnsi="Times New Roman" w:eastAsia="宋体"/>
          <w:b w:val="0"/>
          <w:color w:val="000000"/>
          <w:sz w:val="24"/>
        </w:rPr>
        <w:t>清洗后保留 302,786 行有效明细，对应 11,875 张发票、3,763 位注册客户、4,507 个 SKU、36 个国家，总销售额 5,817,199.71 英镑。</w:t>
      </w:r>
    </w:p>
    <w:p>
      <w:pPr>
        <w:keepNext/>
        <w:spacing w:line="360" w:lineRule="auto" w:before="100" w:after="80"/>
        <w:outlineLvl w:val="1"/>
      </w:pPr>
      <w:r>
        <w:rPr>
          <w:rFonts w:ascii="Times New Roman" w:hAnsi="Times New Roman" w:eastAsia="黑体"/>
          <w:b/>
          <w:color w:val="000000"/>
          <w:sz w:val="24"/>
        </w:rPr>
        <w:t>3.2 数据转换</w:t>
      </w:r>
    </w:p>
    <w:p>
      <w:pPr>
        <w:spacing w:line="360" w:lineRule="auto" w:after="80"/>
        <w:ind w:firstLine="480"/>
        <w:jc w:val="both"/>
      </w:pPr>
      <w:r>
        <w:rPr>
          <w:rFonts w:ascii="Times New Roman" w:hAnsi="Times New Roman" w:eastAsia="宋体"/>
          <w:b w:val="0"/>
          <w:color w:val="000000"/>
          <w:sz w:val="24"/>
        </w:rPr>
        <w:t>类型转换环节统一了四类格式：文本类字段（Invoice、StockCode、Customer ID）强制转为字符串并去除首尾空格，避免 Excel 自动把编码 85123A 当作科学计数法或数值；InvoiceDate 统一解析为 datetime64 并派生出 OrderDate（日期）、Year、Month、MonthPeriod、Quarter、Weekday、IsWeekend、Hour 等时间维度列；金额字段统一为 float64 并派生 Revenue = Quantity × Price 作为唯一销售额口径。</w:t>
      </w:r>
    </w:p>
    <w:p>
      <w:pPr>
        <w:spacing w:line="360" w:lineRule="auto" w:after="80"/>
        <w:ind w:firstLine="480"/>
        <w:jc w:val="both"/>
      </w:pPr>
      <w:r>
        <w:rPr>
          <w:rFonts w:ascii="Times New Roman" w:hAnsi="Times New Roman" w:eastAsia="宋体"/>
          <w:b w:val="0"/>
          <w:color w:val="000000"/>
          <w:sz w:val="24"/>
        </w:rPr>
        <w:t>指标派生是清洗与分析之间的桥梁。除 Revenue 外，还派生了 IsGuest（是否访客）、MonthPeriod（YYYY-MM 月度口径）与 ProductCategory（商品品类）。其中品类通过对 Description 做关键词匹配派生出 11 个业务品类 （Other Household、Kitchen &amp; Dining、Bags &amp; Storage 等），解决了原始数据缺少品类维度、无法做品类结构分析的问题。</w:t>
      </w:r>
    </w:p>
    <w:p>
      <w:pPr>
        <w:keepNext/>
        <w:spacing w:line="360" w:lineRule="auto" w:before="100" w:after="80"/>
        <w:outlineLvl w:val="1"/>
      </w:pPr>
      <w:r>
        <w:rPr>
          <w:rFonts w:ascii="Times New Roman" w:hAnsi="Times New Roman" w:eastAsia="黑体"/>
          <w:b/>
          <w:color w:val="000000"/>
          <w:sz w:val="24"/>
        </w:rPr>
        <w:t>3.3 数据整合</w:t>
      </w:r>
    </w:p>
    <w:p>
      <w:pPr>
        <w:spacing w:line="360" w:lineRule="auto" w:after="80"/>
        <w:ind w:firstLine="480"/>
        <w:jc w:val="both"/>
      </w:pPr>
      <w:r>
        <w:rPr>
          <w:rFonts w:ascii="Times New Roman" w:hAnsi="Times New Roman" w:eastAsia="宋体"/>
          <w:b w:val="0"/>
          <w:color w:val="000000"/>
          <w:sz w:val="24"/>
        </w:rPr>
        <w:t>整合环节完成两件事：抽样固化与星型模型重构。</w:t>
      </w:r>
    </w:p>
    <w:p>
      <w:pPr>
        <w:spacing w:line="360" w:lineRule="auto" w:after="80"/>
        <w:ind w:firstLine="480"/>
        <w:jc w:val="both"/>
      </w:pPr>
      <w:r>
        <w:rPr>
          <w:rFonts w:ascii="Times New Roman" w:hAnsi="Times New Roman" w:eastAsia="宋体"/>
          <w:b/>
          <w:color w:val="000000"/>
          <w:sz w:val="24"/>
        </w:rPr>
        <w:t>抽样方法与随机种子</w:t>
      </w:r>
      <w:r>
        <w:rPr>
          <w:rFonts w:ascii="Times New Roman" w:hAnsi="Times New Roman" w:eastAsia="宋体"/>
          <w:b w:val="0"/>
          <w:color w:val="000000"/>
          <w:sz w:val="24"/>
        </w:rPr>
        <w:t>：源数据 106.7 万行、5.36 万张发票，全量参与会在购物篮编码与关联规则计算上产生巨大开销。本项目采用</w:t>
      </w:r>
      <w:r>
        <w:rPr>
          <w:rFonts w:ascii="Times New Roman" w:hAnsi="Times New Roman" w:eastAsia="宋体"/>
          <w:b/>
          <w:color w:val="000000"/>
          <w:sz w:val="24"/>
        </w:rPr>
        <w:t>按发票整单随机抽样</w:t>
      </w:r>
      <w:r>
        <w:rPr>
          <w:rFonts w:ascii="Times New Roman" w:hAnsi="Times New Roman" w:eastAsia="宋体"/>
          <w:b w:val="0"/>
          <w:color w:val="000000"/>
          <w:sz w:val="24"/>
        </w:rPr>
        <w:t xml:space="preserve">而非按明细行抽样，抽样比例 30%，随机种子固定为 </w:t>
      </w:r>
      <w:r>
        <w:rPr>
          <w:rFonts w:ascii="Times New Roman" w:hAnsi="Times New Roman" w:eastAsia="宋体"/>
          <w:b/>
          <w:color w:val="000000"/>
          <w:sz w:val="24"/>
        </w:rPr>
        <w:t>2026</w:t>
      </w:r>
      <w:r>
        <w:rPr>
          <w:rFonts w:ascii="Times New Roman" w:hAnsi="Times New Roman" w:eastAsia="宋体"/>
          <w:b w:val="0"/>
          <w:color w:val="000000"/>
          <w:sz w:val="24"/>
        </w:rPr>
        <w:t>（写死于 scripts/utils/config.py 的 RANDOM_SEED）。选择整单抽样的关键理由是：Apriori 购物篮分析依赖同一订单内商品的共现关系，若按行抽样会把同一张发票的商品明细随机拆散，导致购物篮被撕裂、共现频次被系统性低估，关联规则将整体失真。以订单为抽样单元可保证被选中的每张发票保留其全部明细行。最终从 53,628 张发票中抽中 16,088 张，保留 315,722 行明细（占比 29.58%），抽样清单固化于 data/raw/sampled_invoice_ids.csv 可供复核。</w:t>
      </w:r>
    </w:p>
    <w:p>
      <w:pPr>
        <w:spacing w:line="360" w:lineRule="auto" w:after="80"/>
        <w:ind w:firstLine="480"/>
        <w:jc w:val="both"/>
      </w:pPr>
      <w:r>
        <w:rPr>
          <w:rFonts w:ascii="Times New Roman" w:hAnsi="Times New Roman" w:eastAsia="宋体"/>
          <w:b/>
          <w:color w:val="000000"/>
          <w:sz w:val="24"/>
        </w:rPr>
        <w:t>星型模型重构</w:t>
      </w:r>
      <w:r>
        <w:rPr>
          <w:rFonts w:ascii="Times New Roman" w:hAnsi="Times New Roman" w:eastAsia="宋体"/>
          <w:b w:val="0"/>
          <w:color w:val="000000"/>
          <w:sz w:val="24"/>
        </w:rPr>
        <w:t>：将扁平明细规范化为 1 张事实表 + 4 张维度表，明确主外键关系（见表 3-2）。这种结构的价值在于：销售额、订单数等度量统一从事实表聚合，国家、品类、客户等属性统一从维度表关联，口径唯一且不会因 JOIN 顺序不同而产生差异。</w:t>
      </w:r>
    </w:p>
    <w:p>
      <w:pPr>
        <w:spacing w:after="40"/>
        <w:jc w:val="center"/>
      </w:pPr>
      <w:r>
        <w:rPr>
          <w:rFonts w:ascii="Times New Roman" w:hAnsi="Times New Roman" w:eastAsia="黑体"/>
          <w:color w:val="000000"/>
          <w:sz w:val="21"/>
        </w:rPr>
        <w:t>表 3-2  星型模型表结构与主外键关系</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tcPr>
          <w:p>
            <w:pPr>
              <w:jc w:val="center"/>
            </w:pPr>
            <w:r/>
            <w:r>
              <w:rPr>
                <w:rFonts w:ascii="Times New Roman" w:hAnsi="Times New Roman" w:eastAsia="黑体"/>
                <w:b/>
                <w:color w:val="000000"/>
                <w:sz w:val="20"/>
              </w:rPr>
              <w:t>表名</w:t>
            </w:r>
          </w:p>
        </w:tc>
        <w:tc>
          <w:tcPr>
            <w:tcW w:type="dxa" w:w="1746"/>
          </w:tcPr>
          <w:p>
            <w:pPr>
              <w:jc w:val="center"/>
            </w:pPr>
            <w:r/>
            <w:r>
              <w:rPr>
                <w:rFonts w:ascii="Times New Roman" w:hAnsi="Times New Roman" w:eastAsia="黑体"/>
                <w:b/>
                <w:color w:val="000000"/>
                <w:sz w:val="20"/>
              </w:rPr>
              <w:t>类型</w:t>
            </w:r>
          </w:p>
        </w:tc>
        <w:tc>
          <w:tcPr>
            <w:tcW w:type="dxa" w:w="1746"/>
          </w:tcPr>
          <w:p>
            <w:pPr>
              <w:jc w:val="center"/>
            </w:pPr>
            <w:r/>
            <w:r>
              <w:rPr>
                <w:rFonts w:ascii="Times New Roman" w:hAnsi="Times New Roman" w:eastAsia="黑体"/>
                <w:b/>
                <w:color w:val="000000"/>
                <w:sz w:val="20"/>
              </w:rPr>
              <w:t>主键</w:t>
            </w:r>
          </w:p>
        </w:tc>
        <w:tc>
          <w:tcPr>
            <w:tcW w:type="dxa" w:w="1746"/>
          </w:tcPr>
          <w:p>
            <w:pPr>
              <w:jc w:val="center"/>
            </w:pPr>
            <w:r/>
            <w:r>
              <w:rPr>
                <w:rFonts w:ascii="Times New Roman" w:hAnsi="Times New Roman" w:eastAsia="黑体"/>
                <w:b/>
                <w:color w:val="000000"/>
                <w:sz w:val="20"/>
              </w:rPr>
              <w:t>行数</w:t>
            </w:r>
          </w:p>
        </w:tc>
        <w:tc>
          <w:tcPr>
            <w:tcW w:type="dxa" w:w="1746"/>
          </w:tcPr>
          <w:p>
            <w:pPr>
              <w:jc w:val="center"/>
            </w:pPr>
            <w:r/>
            <w:r>
              <w:rPr>
                <w:rFonts w:ascii="Times New Roman" w:hAnsi="Times New Roman" w:eastAsia="黑体"/>
                <w:b/>
                <w:color w:val="000000"/>
                <w:sz w:val="20"/>
              </w:rPr>
              <w:t>说明</w:t>
            </w:r>
          </w:p>
        </w:tc>
      </w:tr>
      <w:tr>
        <w:tc>
          <w:tcPr>
            <w:tcW w:type="dxa" w:w="1746"/>
          </w:tcPr>
          <w:p>
            <w:pPr>
              <w:spacing w:after="20"/>
              <w:jc w:val="center"/>
            </w:pPr>
            <w:r/>
            <w:r>
              <w:rPr>
                <w:rFonts w:ascii="Times New Roman" w:hAnsi="Times New Roman" w:eastAsia="宋体"/>
                <w:color w:val="000000"/>
                <w:sz w:val="20"/>
              </w:rPr>
              <w:t>fact_order_items</w:t>
            </w:r>
          </w:p>
        </w:tc>
        <w:tc>
          <w:tcPr>
            <w:tcW w:type="dxa" w:w="1746"/>
          </w:tcPr>
          <w:p>
            <w:pPr>
              <w:spacing w:after="20"/>
              <w:jc w:val="left"/>
            </w:pPr>
            <w:r/>
            <w:r>
              <w:rPr>
                <w:rFonts w:ascii="Times New Roman" w:hAnsi="Times New Roman" w:eastAsia="宋体"/>
                <w:color w:val="000000"/>
                <w:sz w:val="20"/>
              </w:rPr>
              <w:t>事实表</w:t>
            </w:r>
          </w:p>
        </w:tc>
        <w:tc>
          <w:tcPr>
            <w:tcW w:type="dxa" w:w="1746"/>
          </w:tcPr>
          <w:p>
            <w:pPr>
              <w:spacing w:after="20"/>
              <w:jc w:val="left"/>
            </w:pPr>
            <w:r/>
            <w:r>
              <w:rPr>
                <w:rFonts w:ascii="Times New Roman" w:hAnsi="Times New Roman" w:eastAsia="宋体"/>
                <w:color w:val="000000"/>
                <w:sz w:val="20"/>
              </w:rPr>
              <w:t>Invoice+StockCode+LineNo</w:t>
            </w:r>
          </w:p>
        </w:tc>
        <w:tc>
          <w:tcPr>
            <w:tcW w:type="dxa" w:w="1746"/>
          </w:tcPr>
          <w:p>
            <w:pPr>
              <w:spacing w:after="20"/>
              <w:jc w:val="left"/>
            </w:pPr>
            <w:r/>
            <w:r>
              <w:rPr>
                <w:rFonts w:ascii="Times New Roman" w:hAnsi="Times New Roman" w:eastAsia="宋体"/>
                <w:color w:val="000000"/>
                <w:sz w:val="20"/>
              </w:rPr>
              <w:t>302,786</w:t>
            </w:r>
          </w:p>
        </w:tc>
        <w:tc>
          <w:tcPr>
            <w:tcW w:type="dxa" w:w="1746"/>
          </w:tcPr>
          <w:p>
            <w:pPr>
              <w:spacing w:after="20"/>
              <w:jc w:val="left"/>
            </w:pPr>
            <w:r/>
            <w:r>
              <w:rPr>
                <w:rFonts w:ascii="Times New Roman" w:hAnsi="Times New Roman" w:eastAsia="宋体"/>
                <w:color w:val="000000"/>
                <w:sz w:val="20"/>
              </w:rPr>
              <w:t>交易明细事实</w:t>
            </w:r>
          </w:p>
        </w:tc>
      </w:tr>
      <w:tr>
        <w:tc>
          <w:tcPr>
            <w:tcW w:type="dxa" w:w="1746"/>
          </w:tcPr>
          <w:p>
            <w:pPr>
              <w:spacing w:after="20"/>
              <w:jc w:val="center"/>
            </w:pPr>
            <w:r/>
            <w:r>
              <w:rPr>
                <w:rFonts w:ascii="Times New Roman" w:hAnsi="Times New Roman" w:eastAsia="宋体"/>
                <w:color w:val="000000"/>
                <w:sz w:val="20"/>
              </w:rPr>
              <w:t>dim_orders</w:t>
            </w:r>
          </w:p>
        </w:tc>
        <w:tc>
          <w:tcPr>
            <w:tcW w:type="dxa" w:w="1746"/>
          </w:tcPr>
          <w:p>
            <w:pPr>
              <w:spacing w:after="20"/>
              <w:jc w:val="left"/>
            </w:pPr>
            <w:r/>
            <w:r>
              <w:rPr>
                <w:rFonts w:ascii="Times New Roman" w:hAnsi="Times New Roman" w:eastAsia="宋体"/>
                <w:color w:val="000000"/>
                <w:sz w:val="20"/>
              </w:rPr>
              <w:t>维度表</w:t>
            </w:r>
          </w:p>
        </w:tc>
        <w:tc>
          <w:tcPr>
            <w:tcW w:type="dxa" w:w="1746"/>
          </w:tcPr>
          <w:p>
            <w:pPr>
              <w:spacing w:after="20"/>
              <w:jc w:val="left"/>
            </w:pPr>
            <w:r/>
            <w:r>
              <w:rPr>
                <w:rFonts w:ascii="Times New Roman" w:hAnsi="Times New Roman" w:eastAsia="宋体"/>
                <w:color w:val="000000"/>
                <w:sz w:val="20"/>
              </w:rPr>
              <w:t>Invoice</w:t>
            </w:r>
          </w:p>
        </w:tc>
        <w:tc>
          <w:tcPr>
            <w:tcW w:type="dxa" w:w="1746"/>
          </w:tcPr>
          <w:p>
            <w:pPr>
              <w:spacing w:after="20"/>
              <w:jc w:val="left"/>
            </w:pPr>
            <w:r/>
            <w:r>
              <w:rPr>
                <w:rFonts w:ascii="Times New Roman" w:hAnsi="Times New Roman" w:eastAsia="宋体"/>
                <w:color w:val="000000"/>
                <w:sz w:val="20"/>
              </w:rPr>
              <w:t>11,875</w:t>
            </w:r>
          </w:p>
        </w:tc>
        <w:tc>
          <w:tcPr>
            <w:tcW w:type="dxa" w:w="1746"/>
          </w:tcPr>
          <w:p>
            <w:pPr>
              <w:spacing w:after="20"/>
              <w:jc w:val="left"/>
            </w:pPr>
            <w:r/>
            <w:r>
              <w:rPr>
                <w:rFonts w:ascii="Times New Roman" w:hAnsi="Times New Roman" w:eastAsia="宋体"/>
                <w:color w:val="000000"/>
                <w:sz w:val="20"/>
              </w:rPr>
              <w:t>订单头（日期/客户/国家）</w:t>
            </w:r>
          </w:p>
        </w:tc>
      </w:tr>
      <w:tr>
        <w:tc>
          <w:tcPr>
            <w:tcW w:type="dxa" w:w="1746"/>
          </w:tcPr>
          <w:p>
            <w:pPr>
              <w:spacing w:after="20"/>
              <w:jc w:val="center"/>
            </w:pPr>
            <w:r/>
            <w:r>
              <w:rPr>
                <w:rFonts w:ascii="Times New Roman" w:hAnsi="Times New Roman" w:eastAsia="宋体"/>
                <w:color w:val="000000"/>
                <w:sz w:val="20"/>
              </w:rPr>
              <w:t>dim_products</w:t>
            </w:r>
          </w:p>
        </w:tc>
        <w:tc>
          <w:tcPr>
            <w:tcW w:type="dxa" w:w="1746"/>
          </w:tcPr>
          <w:p>
            <w:pPr>
              <w:spacing w:after="20"/>
              <w:jc w:val="left"/>
            </w:pPr>
            <w:r/>
            <w:r>
              <w:rPr>
                <w:rFonts w:ascii="Times New Roman" w:hAnsi="Times New Roman" w:eastAsia="宋体"/>
                <w:color w:val="000000"/>
                <w:sz w:val="20"/>
              </w:rPr>
              <w:t>维度表</w:t>
            </w:r>
          </w:p>
        </w:tc>
        <w:tc>
          <w:tcPr>
            <w:tcW w:type="dxa" w:w="1746"/>
          </w:tcPr>
          <w:p>
            <w:pPr>
              <w:spacing w:after="20"/>
              <w:jc w:val="left"/>
            </w:pPr>
            <w:r/>
            <w:r>
              <w:rPr>
                <w:rFonts w:ascii="Times New Roman" w:hAnsi="Times New Roman" w:eastAsia="宋体"/>
                <w:color w:val="000000"/>
                <w:sz w:val="20"/>
              </w:rPr>
              <w:t>StockCode</w:t>
            </w:r>
          </w:p>
        </w:tc>
        <w:tc>
          <w:tcPr>
            <w:tcW w:type="dxa" w:w="1746"/>
          </w:tcPr>
          <w:p>
            <w:pPr>
              <w:spacing w:after="20"/>
              <w:jc w:val="left"/>
            </w:pPr>
            <w:r/>
            <w:r>
              <w:rPr>
                <w:rFonts w:ascii="Times New Roman" w:hAnsi="Times New Roman" w:eastAsia="宋体"/>
                <w:color w:val="000000"/>
                <w:sz w:val="20"/>
              </w:rPr>
              <w:t>4,507</w:t>
            </w:r>
          </w:p>
        </w:tc>
        <w:tc>
          <w:tcPr>
            <w:tcW w:type="dxa" w:w="1746"/>
          </w:tcPr>
          <w:p>
            <w:pPr>
              <w:spacing w:after="20"/>
              <w:jc w:val="left"/>
            </w:pPr>
            <w:r/>
            <w:r>
              <w:rPr>
                <w:rFonts w:ascii="Times New Roman" w:hAnsi="Times New Roman" w:eastAsia="宋体"/>
                <w:color w:val="000000"/>
                <w:sz w:val="20"/>
              </w:rPr>
              <w:t>商品与派生品类</w:t>
            </w:r>
          </w:p>
        </w:tc>
      </w:tr>
      <w:tr>
        <w:tc>
          <w:tcPr>
            <w:tcW w:type="dxa" w:w="1746"/>
          </w:tcPr>
          <w:p>
            <w:pPr>
              <w:spacing w:after="20"/>
              <w:jc w:val="center"/>
            </w:pPr>
            <w:r/>
            <w:r>
              <w:rPr>
                <w:rFonts w:ascii="Times New Roman" w:hAnsi="Times New Roman" w:eastAsia="宋体"/>
                <w:color w:val="000000"/>
                <w:sz w:val="20"/>
              </w:rPr>
              <w:t>dim_customers</w:t>
            </w:r>
          </w:p>
        </w:tc>
        <w:tc>
          <w:tcPr>
            <w:tcW w:type="dxa" w:w="1746"/>
          </w:tcPr>
          <w:p>
            <w:pPr>
              <w:spacing w:after="20"/>
              <w:jc w:val="left"/>
            </w:pPr>
            <w:r/>
            <w:r>
              <w:rPr>
                <w:rFonts w:ascii="Times New Roman" w:hAnsi="Times New Roman" w:eastAsia="宋体"/>
                <w:color w:val="000000"/>
                <w:sz w:val="20"/>
              </w:rPr>
              <w:t>维度表</w:t>
            </w:r>
          </w:p>
        </w:tc>
        <w:tc>
          <w:tcPr>
            <w:tcW w:type="dxa" w:w="1746"/>
          </w:tcPr>
          <w:p>
            <w:pPr>
              <w:spacing w:after="20"/>
              <w:jc w:val="left"/>
            </w:pPr>
            <w:r/>
            <w:r>
              <w:rPr>
                <w:rFonts w:ascii="Times New Roman" w:hAnsi="Times New Roman" w:eastAsia="宋体"/>
                <w:color w:val="000000"/>
                <w:sz w:val="20"/>
              </w:rPr>
              <w:t>CustomerID</w:t>
            </w:r>
          </w:p>
        </w:tc>
        <w:tc>
          <w:tcPr>
            <w:tcW w:type="dxa" w:w="1746"/>
          </w:tcPr>
          <w:p>
            <w:pPr>
              <w:spacing w:after="20"/>
              <w:jc w:val="left"/>
            </w:pPr>
            <w:r/>
            <w:r>
              <w:rPr>
                <w:rFonts w:ascii="Times New Roman" w:hAnsi="Times New Roman" w:eastAsia="宋体"/>
                <w:color w:val="000000"/>
                <w:sz w:val="20"/>
              </w:rPr>
              <w:t>3,764</w:t>
            </w:r>
          </w:p>
        </w:tc>
        <w:tc>
          <w:tcPr>
            <w:tcW w:type="dxa" w:w="1746"/>
          </w:tcPr>
          <w:p>
            <w:pPr>
              <w:spacing w:after="20"/>
              <w:jc w:val="left"/>
            </w:pPr>
            <w:r/>
            <w:r>
              <w:rPr>
                <w:rFonts w:ascii="Times New Roman" w:hAnsi="Times New Roman" w:eastAsia="宋体"/>
                <w:color w:val="000000"/>
                <w:sz w:val="20"/>
              </w:rPr>
              <w:t>客户主数据（含 GUEST）</w:t>
            </w:r>
          </w:p>
        </w:tc>
      </w:tr>
      <w:tr>
        <w:tc>
          <w:tcPr>
            <w:tcW w:type="dxa" w:w="1746"/>
          </w:tcPr>
          <w:p>
            <w:pPr>
              <w:spacing w:after="20"/>
              <w:jc w:val="center"/>
            </w:pPr>
            <w:r/>
            <w:r>
              <w:rPr>
                <w:rFonts w:ascii="Times New Roman" w:hAnsi="Times New Roman" w:eastAsia="宋体"/>
                <w:color w:val="000000"/>
                <w:sz w:val="20"/>
              </w:rPr>
              <w:t>dim_date</w:t>
            </w:r>
          </w:p>
        </w:tc>
        <w:tc>
          <w:tcPr>
            <w:tcW w:type="dxa" w:w="1746"/>
          </w:tcPr>
          <w:p>
            <w:pPr>
              <w:spacing w:after="20"/>
              <w:jc w:val="left"/>
            </w:pPr>
            <w:r/>
            <w:r>
              <w:rPr>
                <w:rFonts w:ascii="Times New Roman" w:hAnsi="Times New Roman" w:eastAsia="宋体"/>
                <w:color w:val="000000"/>
                <w:sz w:val="20"/>
              </w:rPr>
              <w:t>维度表</w:t>
            </w:r>
          </w:p>
        </w:tc>
        <w:tc>
          <w:tcPr>
            <w:tcW w:type="dxa" w:w="1746"/>
          </w:tcPr>
          <w:p>
            <w:pPr>
              <w:spacing w:after="20"/>
              <w:jc w:val="left"/>
            </w:pPr>
            <w:r/>
            <w:r>
              <w:rPr>
                <w:rFonts w:ascii="Times New Roman" w:hAnsi="Times New Roman" w:eastAsia="宋体"/>
                <w:color w:val="000000"/>
                <w:sz w:val="20"/>
              </w:rPr>
              <w:t>DateKey</w:t>
            </w:r>
          </w:p>
        </w:tc>
        <w:tc>
          <w:tcPr>
            <w:tcW w:type="dxa" w:w="1746"/>
          </w:tcPr>
          <w:p>
            <w:pPr>
              <w:spacing w:after="20"/>
              <w:jc w:val="left"/>
            </w:pPr>
            <w:r/>
            <w:r>
              <w:rPr>
                <w:rFonts w:ascii="Times New Roman" w:hAnsi="Times New Roman" w:eastAsia="宋体"/>
                <w:color w:val="000000"/>
                <w:sz w:val="20"/>
              </w:rPr>
              <w:t>740</w:t>
            </w:r>
          </w:p>
        </w:tc>
        <w:tc>
          <w:tcPr>
            <w:tcW w:type="dxa" w:w="1746"/>
          </w:tcPr>
          <w:p>
            <w:pPr>
              <w:spacing w:after="20"/>
              <w:jc w:val="left"/>
            </w:pPr>
            <w:r/>
            <w:r>
              <w:rPr>
                <w:rFonts w:ascii="Times New Roman" w:hAnsi="Times New Roman" w:eastAsia="宋体"/>
                <w:color w:val="000000"/>
                <w:sz w:val="20"/>
              </w:rPr>
              <w:t>日期维（年/季/月/周/是否周末）</w:t>
            </w:r>
          </w:p>
        </w:tc>
      </w:tr>
    </w:tbl>
    <w:p>
      <w:pPr>
        <w:spacing w:after="40"/>
      </w:pPr>
    </w:p>
    <w:p>
      <w:pPr>
        <w:spacing w:line="360" w:lineRule="auto" w:after="80"/>
        <w:ind w:firstLine="480"/>
        <w:jc w:val="both"/>
      </w:pPr>
      <w:r>
        <w:rPr>
          <w:rFonts w:ascii="Times New Roman" w:hAnsi="Times New Roman" w:eastAsia="宋体"/>
          <w:b w:val="0"/>
          <w:color w:val="000000"/>
          <w:sz w:val="24"/>
        </w:rPr>
        <w:t>整合完成后，为满足不同复用场景，数据同时导出为三种格式：CSV（5 张表，便于 Excel 直接查看）、JSON（star_schema.json 星型模式描述，便于程序交换）、SQLite（retail_clean.sqlite 单文件库，含 8 张表，便于用 SQL 验证关联关系）。</w:t>
      </w:r>
    </w:p>
    <w:p>
      <w:pPr>
        <w:keepNext/>
        <w:spacing w:line="360" w:lineRule="auto" w:before="160" w:after="80"/>
        <w:outlineLvl w:val="0"/>
      </w:pPr>
      <w:r>
        <w:rPr>
          <w:rFonts w:ascii="Times New Roman" w:hAnsi="Times New Roman" w:eastAsia="黑体"/>
          <w:b/>
          <w:color w:val="000000"/>
          <w:sz w:val="28"/>
        </w:rPr>
        <w:t>4 商业分析模型</w:t>
      </w:r>
    </w:p>
    <w:p>
      <w:pPr>
        <w:keepNext/>
        <w:spacing w:line="360" w:lineRule="auto" w:before="100" w:after="80"/>
        <w:outlineLvl w:val="1"/>
      </w:pPr>
      <w:r>
        <w:rPr>
          <w:rFonts w:ascii="Times New Roman" w:hAnsi="Times New Roman" w:eastAsia="黑体"/>
          <w:b/>
          <w:color w:val="000000"/>
          <w:sz w:val="24"/>
        </w:rPr>
        <w:t>4.1 模型选型</w:t>
      </w:r>
    </w:p>
    <w:p>
      <w:pPr>
        <w:spacing w:line="360" w:lineRule="auto" w:after="80"/>
        <w:ind w:firstLine="480"/>
        <w:jc w:val="both"/>
      </w:pPr>
      <w:r>
        <w:rPr>
          <w:rFonts w:ascii="Times New Roman" w:hAnsi="Times New Roman" w:eastAsia="宋体"/>
          <w:b w:val="0"/>
          <w:color w:val="000000"/>
          <w:sz w:val="24"/>
        </w:rPr>
        <w:t>围绕该零售商的三个核心决策场景——「卖什么」（品类与库存）、「卖给谁」（客户运营）、「接下来会怎样」（需求预测），本项目选用 10 类模型，每类均至少产出 1 张核心分析图与 1 条商业结论。</w:t>
      </w:r>
    </w:p>
    <w:p>
      <w:pPr>
        <w:spacing w:after="40"/>
        <w:jc w:val="center"/>
      </w:pPr>
      <w:r>
        <w:rPr>
          <w:rFonts w:ascii="Times New Roman" w:hAnsi="Times New Roman" w:eastAsia="黑体"/>
          <w:color w:val="000000"/>
          <w:sz w:val="21"/>
        </w:rPr>
        <w:t>表 4-1  模型选型与业务场景对应</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tcPr>
          <w:p>
            <w:pPr>
              <w:jc w:val="center"/>
            </w:pPr>
            <w:r/>
            <w:r>
              <w:rPr>
                <w:rFonts w:ascii="Times New Roman" w:hAnsi="Times New Roman" w:eastAsia="黑体"/>
                <w:b/>
                <w:color w:val="000000"/>
                <w:sz w:val="20"/>
              </w:rPr>
              <w:t>编号</w:t>
            </w:r>
          </w:p>
        </w:tc>
        <w:tc>
          <w:tcPr>
            <w:tcW w:type="dxa" w:w="1746"/>
          </w:tcPr>
          <w:p>
            <w:pPr>
              <w:jc w:val="center"/>
            </w:pPr>
            <w:r/>
            <w:r>
              <w:rPr>
                <w:rFonts w:ascii="Times New Roman" w:hAnsi="Times New Roman" w:eastAsia="黑体"/>
                <w:b/>
                <w:color w:val="000000"/>
                <w:sz w:val="20"/>
              </w:rPr>
              <w:t>模型</w:t>
            </w:r>
          </w:p>
        </w:tc>
        <w:tc>
          <w:tcPr>
            <w:tcW w:type="dxa" w:w="1746"/>
          </w:tcPr>
          <w:p>
            <w:pPr>
              <w:jc w:val="center"/>
            </w:pPr>
            <w:r/>
            <w:r>
              <w:rPr>
                <w:rFonts w:ascii="Times New Roman" w:hAnsi="Times New Roman" w:eastAsia="黑体"/>
                <w:b/>
                <w:color w:val="000000"/>
                <w:sz w:val="20"/>
              </w:rPr>
              <w:t>类别</w:t>
            </w:r>
          </w:p>
        </w:tc>
        <w:tc>
          <w:tcPr>
            <w:tcW w:type="dxa" w:w="1746"/>
          </w:tcPr>
          <w:p>
            <w:pPr>
              <w:jc w:val="center"/>
            </w:pPr>
            <w:r/>
            <w:r>
              <w:rPr>
                <w:rFonts w:ascii="Times New Roman" w:hAnsi="Times New Roman" w:eastAsia="黑体"/>
                <w:b/>
                <w:color w:val="000000"/>
                <w:sz w:val="20"/>
              </w:rPr>
              <w:t>回答的业务问题</w:t>
            </w:r>
          </w:p>
        </w:tc>
        <w:tc>
          <w:tcPr>
            <w:tcW w:type="dxa" w:w="1746"/>
          </w:tcPr>
          <w:p>
            <w:pPr>
              <w:jc w:val="center"/>
            </w:pPr>
            <w:r/>
            <w:r>
              <w:rPr>
                <w:rFonts w:ascii="Times New Roman" w:hAnsi="Times New Roman" w:eastAsia="黑体"/>
                <w:b/>
                <w:color w:val="000000"/>
                <w:sz w:val="20"/>
              </w:rPr>
              <w:t>核心输出图</w:t>
            </w:r>
          </w:p>
        </w:tc>
      </w:tr>
      <w:tr>
        <w:tc>
          <w:tcPr>
            <w:tcW w:type="dxa" w:w="1746"/>
          </w:tcPr>
          <w:p>
            <w:pPr>
              <w:spacing w:after="20"/>
              <w:jc w:val="center"/>
            </w:pPr>
            <w:r/>
            <w:r>
              <w:rPr>
                <w:rFonts w:ascii="Times New Roman" w:hAnsi="Times New Roman" w:eastAsia="宋体"/>
                <w:color w:val="000000"/>
                <w:sz w:val="20"/>
              </w:rPr>
              <w:t>M1</w:t>
            </w:r>
          </w:p>
        </w:tc>
        <w:tc>
          <w:tcPr>
            <w:tcW w:type="dxa" w:w="1746"/>
          </w:tcPr>
          <w:p>
            <w:pPr>
              <w:spacing w:after="20"/>
              <w:jc w:val="left"/>
            </w:pPr>
            <w:r/>
            <w:r>
              <w:rPr>
                <w:rFonts w:ascii="Times New Roman" w:hAnsi="Times New Roman" w:eastAsia="宋体"/>
                <w:color w:val="000000"/>
                <w:sz w:val="20"/>
              </w:rPr>
              <w:t>环比/同比 + 移动平均</w:t>
            </w:r>
          </w:p>
        </w:tc>
        <w:tc>
          <w:tcPr>
            <w:tcW w:type="dxa" w:w="1746"/>
          </w:tcPr>
          <w:p>
            <w:pPr>
              <w:spacing w:after="20"/>
              <w:jc w:val="left"/>
            </w:pPr>
            <w:r/>
            <w:r>
              <w:rPr>
                <w:rFonts w:ascii="Times New Roman" w:hAnsi="Times New Roman" w:eastAsia="宋体"/>
                <w:color w:val="000000"/>
                <w:sz w:val="20"/>
              </w:rPr>
              <w:t>趋势与对比</w:t>
            </w:r>
          </w:p>
        </w:tc>
        <w:tc>
          <w:tcPr>
            <w:tcW w:type="dxa" w:w="1746"/>
          </w:tcPr>
          <w:p>
            <w:pPr>
              <w:spacing w:after="20"/>
              <w:jc w:val="left"/>
            </w:pPr>
            <w:r/>
            <w:r>
              <w:rPr>
                <w:rFonts w:ascii="Times New Roman" w:hAnsi="Times New Roman" w:eastAsia="宋体"/>
                <w:color w:val="000000"/>
                <w:sz w:val="20"/>
              </w:rPr>
              <w:t>销售是在增长还是季节性波动</w:t>
            </w:r>
          </w:p>
        </w:tc>
        <w:tc>
          <w:tcPr>
            <w:tcW w:type="dxa" w:w="1746"/>
          </w:tcPr>
          <w:p>
            <w:pPr>
              <w:spacing w:after="20"/>
              <w:jc w:val="left"/>
            </w:pPr>
            <w:r/>
            <w:r>
              <w:rPr>
                <w:rFonts w:ascii="Times New Roman" w:hAnsi="Times New Roman" w:eastAsia="宋体"/>
                <w:color w:val="000000"/>
                <w:sz w:val="20"/>
              </w:rPr>
              <w:t>fig01 / fig25</w:t>
            </w:r>
          </w:p>
        </w:tc>
      </w:tr>
      <w:tr>
        <w:tc>
          <w:tcPr>
            <w:tcW w:type="dxa" w:w="1746"/>
          </w:tcPr>
          <w:p>
            <w:pPr>
              <w:spacing w:after="20"/>
              <w:jc w:val="center"/>
            </w:pPr>
            <w:r/>
            <w:r>
              <w:rPr>
                <w:rFonts w:ascii="Times New Roman" w:hAnsi="Times New Roman" w:eastAsia="宋体"/>
                <w:color w:val="000000"/>
                <w:sz w:val="20"/>
              </w:rPr>
              <w:t>M2</w:t>
            </w:r>
          </w:p>
        </w:tc>
        <w:tc>
          <w:tcPr>
            <w:tcW w:type="dxa" w:w="1746"/>
          </w:tcPr>
          <w:p>
            <w:pPr>
              <w:spacing w:after="20"/>
              <w:jc w:val="left"/>
            </w:pPr>
            <w:r/>
            <w:r>
              <w:rPr>
                <w:rFonts w:ascii="Times New Roman" w:hAnsi="Times New Roman" w:eastAsia="宋体"/>
                <w:color w:val="000000"/>
                <w:sz w:val="20"/>
              </w:rPr>
              <w:t>RFM 八分类</w:t>
            </w:r>
          </w:p>
        </w:tc>
        <w:tc>
          <w:tcPr>
            <w:tcW w:type="dxa" w:w="1746"/>
          </w:tcPr>
          <w:p>
            <w:pPr>
              <w:spacing w:after="20"/>
              <w:jc w:val="left"/>
            </w:pPr>
            <w:r/>
            <w:r>
              <w:rPr>
                <w:rFonts w:ascii="Times New Roman" w:hAnsi="Times New Roman" w:eastAsia="宋体"/>
                <w:color w:val="000000"/>
                <w:sz w:val="20"/>
              </w:rPr>
              <w:t>用户与客群</w:t>
            </w:r>
          </w:p>
        </w:tc>
        <w:tc>
          <w:tcPr>
            <w:tcW w:type="dxa" w:w="1746"/>
          </w:tcPr>
          <w:p>
            <w:pPr>
              <w:spacing w:after="20"/>
              <w:jc w:val="left"/>
            </w:pPr>
            <w:r/>
            <w:r>
              <w:rPr>
                <w:rFonts w:ascii="Times New Roman" w:hAnsi="Times New Roman" w:eastAsia="宋体"/>
                <w:color w:val="000000"/>
                <w:sz w:val="20"/>
              </w:rPr>
              <w:t>哪些客户值得重点维系</w:t>
            </w:r>
          </w:p>
        </w:tc>
        <w:tc>
          <w:tcPr>
            <w:tcW w:type="dxa" w:w="1746"/>
          </w:tcPr>
          <w:p>
            <w:pPr>
              <w:spacing w:after="20"/>
              <w:jc w:val="left"/>
            </w:pPr>
            <w:r/>
            <w:r>
              <w:rPr>
                <w:rFonts w:ascii="Times New Roman" w:hAnsi="Times New Roman" w:eastAsia="宋体"/>
                <w:color w:val="000000"/>
                <w:sz w:val="20"/>
              </w:rPr>
              <w:t>fig26 / fig27</w:t>
            </w:r>
          </w:p>
        </w:tc>
      </w:tr>
      <w:tr>
        <w:tc>
          <w:tcPr>
            <w:tcW w:type="dxa" w:w="1746"/>
          </w:tcPr>
          <w:p>
            <w:pPr>
              <w:spacing w:after="20"/>
              <w:jc w:val="center"/>
            </w:pPr>
            <w:r/>
            <w:r>
              <w:rPr>
                <w:rFonts w:ascii="Times New Roman" w:hAnsi="Times New Roman" w:eastAsia="宋体"/>
                <w:color w:val="000000"/>
                <w:sz w:val="20"/>
              </w:rPr>
              <w:t>M3</w:t>
            </w:r>
          </w:p>
        </w:tc>
        <w:tc>
          <w:tcPr>
            <w:tcW w:type="dxa" w:w="1746"/>
          </w:tcPr>
          <w:p>
            <w:pPr>
              <w:spacing w:after="20"/>
              <w:jc w:val="left"/>
            </w:pPr>
            <w:r/>
            <w:r>
              <w:rPr>
                <w:rFonts w:ascii="Times New Roman" w:hAnsi="Times New Roman" w:eastAsia="宋体"/>
                <w:color w:val="000000"/>
                <w:sz w:val="20"/>
              </w:rPr>
              <w:t>同期群留存分析</w:t>
            </w:r>
          </w:p>
        </w:tc>
        <w:tc>
          <w:tcPr>
            <w:tcW w:type="dxa" w:w="1746"/>
          </w:tcPr>
          <w:p>
            <w:pPr>
              <w:spacing w:after="20"/>
              <w:jc w:val="left"/>
            </w:pPr>
            <w:r/>
            <w:r>
              <w:rPr>
                <w:rFonts w:ascii="Times New Roman" w:hAnsi="Times New Roman" w:eastAsia="宋体"/>
                <w:color w:val="000000"/>
                <w:sz w:val="20"/>
              </w:rPr>
              <w:t>用户与客群</w:t>
            </w:r>
          </w:p>
        </w:tc>
        <w:tc>
          <w:tcPr>
            <w:tcW w:type="dxa" w:w="1746"/>
          </w:tcPr>
          <w:p>
            <w:pPr>
              <w:spacing w:after="20"/>
              <w:jc w:val="left"/>
            </w:pPr>
            <w:r/>
            <w:r>
              <w:rPr>
                <w:rFonts w:ascii="Times New Roman" w:hAnsi="Times New Roman" w:eastAsia="宋体"/>
                <w:color w:val="000000"/>
                <w:sz w:val="20"/>
              </w:rPr>
              <w:t>新客能留存多久</w:t>
            </w:r>
          </w:p>
        </w:tc>
        <w:tc>
          <w:tcPr>
            <w:tcW w:type="dxa" w:w="1746"/>
          </w:tcPr>
          <w:p>
            <w:pPr>
              <w:spacing w:after="20"/>
              <w:jc w:val="left"/>
            </w:pPr>
            <w:r/>
            <w:r>
              <w:rPr>
                <w:rFonts w:ascii="Times New Roman" w:hAnsi="Times New Roman" w:eastAsia="宋体"/>
                <w:color w:val="000000"/>
                <w:sz w:val="20"/>
              </w:rPr>
              <w:t>fig28</w:t>
            </w:r>
          </w:p>
        </w:tc>
      </w:tr>
      <w:tr>
        <w:tc>
          <w:tcPr>
            <w:tcW w:type="dxa" w:w="1746"/>
          </w:tcPr>
          <w:p>
            <w:pPr>
              <w:spacing w:after="20"/>
              <w:jc w:val="center"/>
            </w:pPr>
            <w:r/>
            <w:r>
              <w:rPr>
                <w:rFonts w:ascii="Times New Roman" w:hAnsi="Times New Roman" w:eastAsia="宋体"/>
                <w:color w:val="000000"/>
                <w:sz w:val="20"/>
              </w:rPr>
              <w:t>M4</w:t>
            </w:r>
          </w:p>
        </w:tc>
        <w:tc>
          <w:tcPr>
            <w:tcW w:type="dxa" w:w="1746"/>
          </w:tcPr>
          <w:p>
            <w:pPr>
              <w:spacing w:after="20"/>
              <w:jc w:val="left"/>
            </w:pPr>
            <w:r/>
            <w:r>
              <w:rPr>
                <w:rFonts w:ascii="Times New Roman" w:hAnsi="Times New Roman" w:eastAsia="宋体"/>
                <w:color w:val="000000"/>
                <w:sz w:val="20"/>
              </w:rPr>
              <w:t>帕累托 / ABC 分类</w:t>
            </w:r>
          </w:p>
        </w:tc>
        <w:tc>
          <w:tcPr>
            <w:tcW w:type="dxa" w:w="1746"/>
          </w:tcPr>
          <w:p>
            <w:pPr>
              <w:spacing w:after="20"/>
              <w:jc w:val="left"/>
            </w:pPr>
            <w:r/>
            <w:r>
              <w:rPr>
                <w:rFonts w:ascii="Times New Roman" w:hAnsi="Times New Roman" w:eastAsia="宋体"/>
                <w:color w:val="000000"/>
                <w:sz w:val="20"/>
              </w:rPr>
              <w:t>结构与价值</w:t>
            </w:r>
          </w:p>
        </w:tc>
        <w:tc>
          <w:tcPr>
            <w:tcW w:type="dxa" w:w="1746"/>
          </w:tcPr>
          <w:p>
            <w:pPr>
              <w:spacing w:after="20"/>
              <w:jc w:val="left"/>
            </w:pPr>
            <w:r/>
            <w:r>
              <w:rPr>
                <w:rFonts w:ascii="Times New Roman" w:hAnsi="Times New Roman" w:eastAsia="宋体"/>
                <w:color w:val="000000"/>
                <w:sz w:val="20"/>
              </w:rPr>
              <w:t>库存资金应优先投给哪些 SKU</w:t>
            </w:r>
          </w:p>
        </w:tc>
        <w:tc>
          <w:tcPr>
            <w:tcW w:type="dxa" w:w="1746"/>
          </w:tcPr>
          <w:p>
            <w:pPr>
              <w:spacing w:after="20"/>
              <w:jc w:val="left"/>
            </w:pPr>
            <w:r/>
            <w:r>
              <w:rPr>
                <w:rFonts w:ascii="Times New Roman" w:hAnsi="Times New Roman" w:eastAsia="宋体"/>
                <w:color w:val="000000"/>
                <w:sz w:val="20"/>
              </w:rPr>
              <w:t>fig29</w:t>
            </w:r>
          </w:p>
        </w:tc>
      </w:tr>
      <w:tr>
        <w:tc>
          <w:tcPr>
            <w:tcW w:type="dxa" w:w="1746"/>
          </w:tcPr>
          <w:p>
            <w:pPr>
              <w:spacing w:after="20"/>
              <w:jc w:val="center"/>
            </w:pPr>
            <w:r/>
            <w:r>
              <w:rPr>
                <w:rFonts w:ascii="Times New Roman" w:hAnsi="Times New Roman" w:eastAsia="宋体"/>
                <w:color w:val="000000"/>
                <w:sz w:val="20"/>
              </w:rPr>
              <w:t>M5</w:t>
            </w:r>
          </w:p>
        </w:tc>
        <w:tc>
          <w:tcPr>
            <w:tcW w:type="dxa" w:w="1746"/>
          </w:tcPr>
          <w:p>
            <w:pPr>
              <w:spacing w:after="20"/>
              <w:jc w:val="left"/>
            </w:pPr>
            <w:r/>
            <w:r>
              <w:rPr>
                <w:rFonts w:ascii="Times New Roman" w:hAnsi="Times New Roman" w:eastAsia="宋体"/>
                <w:color w:val="000000"/>
                <w:sz w:val="20"/>
              </w:rPr>
              <w:t>Apriori 关联规则</w:t>
            </w:r>
          </w:p>
        </w:tc>
        <w:tc>
          <w:tcPr>
            <w:tcW w:type="dxa" w:w="1746"/>
          </w:tcPr>
          <w:p>
            <w:pPr>
              <w:spacing w:after="20"/>
              <w:jc w:val="left"/>
            </w:pPr>
            <w:r/>
            <w:r>
              <w:rPr>
                <w:rFonts w:ascii="Times New Roman" w:hAnsi="Times New Roman" w:eastAsia="宋体"/>
                <w:color w:val="000000"/>
                <w:sz w:val="20"/>
              </w:rPr>
              <w:t>关联与转化</w:t>
            </w:r>
          </w:p>
        </w:tc>
        <w:tc>
          <w:tcPr>
            <w:tcW w:type="dxa" w:w="1746"/>
          </w:tcPr>
          <w:p>
            <w:pPr>
              <w:spacing w:after="20"/>
              <w:jc w:val="left"/>
            </w:pPr>
            <w:r/>
            <w:r>
              <w:rPr>
                <w:rFonts w:ascii="Times New Roman" w:hAnsi="Times New Roman" w:eastAsia="宋体"/>
                <w:color w:val="000000"/>
                <w:sz w:val="20"/>
              </w:rPr>
              <w:t>哪些商品应该放在一起卖</w:t>
            </w:r>
          </w:p>
        </w:tc>
        <w:tc>
          <w:tcPr>
            <w:tcW w:type="dxa" w:w="1746"/>
          </w:tcPr>
          <w:p>
            <w:pPr>
              <w:spacing w:after="20"/>
              <w:jc w:val="left"/>
            </w:pPr>
            <w:r/>
            <w:r>
              <w:rPr>
                <w:rFonts w:ascii="Times New Roman" w:hAnsi="Times New Roman" w:eastAsia="宋体"/>
                <w:color w:val="000000"/>
                <w:sz w:val="20"/>
              </w:rPr>
              <w:t>fig30 / fig31</w:t>
            </w:r>
          </w:p>
        </w:tc>
      </w:tr>
      <w:tr>
        <w:tc>
          <w:tcPr>
            <w:tcW w:type="dxa" w:w="1746"/>
          </w:tcPr>
          <w:p>
            <w:pPr>
              <w:spacing w:after="20"/>
              <w:jc w:val="center"/>
            </w:pPr>
            <w:r/>
            <w:r>
              <w:rPr>
                <w:rFonts w:ascii="Times New Roman" w:hAnsi="Times New Roman" w:eastAsia="宋体"/>
                <w:color w:val="000000"/>
                <w:sz w:val="20"/>
              </w:rPr>
              <w:t>M6</w:t>
            </w:r>
          </w:p>
        </w:tc>
        <w:tc>
          <w:tcPr>
            <w:tcW w:type="dxa" w:w="1746"/>
          </w:tcPr>
          <w:p>
            <w:pPr>
              <w:spacing w:after="20"/>
              <w:jc w:val="left"/>
            </w:pPr>
            <w:r/>
            <w:r>
              <w:rPr>
                <w:rFonts w:ascii="Times New Roman" w:hAnsi="Times New Roman" w:eastAsia="宋体"/>
                <w:color w:val="000000"/>
                <w:sz w:val="20"/>
              </w:rPr>
              <w:t>波士顿矩阵</w:t>
            </w:r>
          </w:p>
        </w:tc>
        <w:tc>
          <w:tcPr>
            <w:tcW w:type="dxa" w:w="1746"/>
          </w:tcPr>
          <w:p>
            <w:pPr>
              <w:spacing w:after="20"/>
              <w:jc w:val="left"/>
            </w:pPr>
            <w:r/>
            <w:r>
              <w:rPr>
                <w:rFonts w:ascii="Times New Roman" w:hAnsi="Times New Roman" w:eastAsia="宋体"/>
                <w:color w:val="000000"/>
                <w:sz w:val="20"/>
              </w:rPr>
              <w:t>结构与价值</w:t>
            </w:r>
          </w:p>
        </w:tc>
        <w:tc>
          <w:tcPr>
            <w:tcW w:type="dxa" w:w="1746"/>
          </w:tcPr>
          <w:p>
            <w:pPr>
              <w:spacing w:after="20"/>
              <w:jc w:val="left"/>
            </w:pPr>
            <w:r/>
            <w:r>
              <w:rPr>
                <w:rFonts w:ascii="Times New Roman" w:hAnsi="Times New Roman" w:eastAsia="宋体"/>
                <w:color w:val="000000"/>
                <w:sz w:val="20"/>
              </w:rPr>
              <w:t>各品类应扩张还是收割</w:t>
            </w:r>
          </w:p>
        </w:tc>
        <w:tc>
          <w:tcPr>
            <w:tcW w:type="dxa" w:w="1746"/>
          </w:tcPr>
          <w:p>
            <w:pPr>
              <w:spacing w:after="20"/>
              <w:jc w:val="left"/>
            </w:pPr>
            <w:r/>
            <w:r>
              <w:rPr>
                <w:rFonts w:ascii="Times New Roman" w:hAnsi="Times New Roman" w:eastAsia="宋体"/>
                <w:color w:val="000000"/>
                <w:sz w:val="20"/>
              </w:rPr>
              <w:t>fig32</w:t>
            </w:r>
          </w:p>
        </w:tc>
      </w:tr>
      <w:tr>
        <w:tc>
          <w:tcPr>
            <w:tcW w:type="dxa" w:w="1746"/>
          </w:tcPr>
          <w:p>
            <w:pPr>
              <w:spacing w:after="20"/>
              <w:jc w:val="center"/>
            </w:pPr>
            <w:r/>
            <w:r>
              <w:rPr>
                <w:rFonts w:ascii="Times New Roman" w:hAnsi="Times New Roman" w:eastAsia="宋体"/>
                <w:color w:val="000000"/>
                <w:sz w:val="20"/>
              </w:rPr>
              <w:t>M7</w:t>
            </w:r>
          </w:p>
        </w:tc>
        <w:tc>
          <w:tcPr>
            <w:tcW w:type="dxa" w:w="1746"/>
          </w:tcPr>
          <w:p>
            <w:pPr>
              <w:spacing w:after="20"/>
              <w:jc w:val="left"/>
            </w:pPr>
            <w:r/>
            <w:r>
              <w:rPr>
                <w:rFonts w:ascii="Times New Roman" w:hAnsi="Times New Roman" w:eastAsia="宋体"/>
                <w:color w:val="000000"/>
                <w:sz w:val="20"/>
              </w:rPr>
              <w:t>SARIMA / Holt-Winters</w:t>
            </w:r>
          </w:p>
        </w:tc>
        <w:tc>
          <w:tcPr>
            <w:tcW w:type="dxa" w:w="1746"/>
          </w:tcPr>
          <w:p>
            <w:pPr>
              <w:spacing w:after="20"/>
              <w:jc w:val="left"/>
            </w:pPr>
            <w:r/>
            <w:r>
              <w:rPr>
                <w:rFonts w:ascii="Times New Roman" w:hAnsi="Times New Roman" w:eastAsia="宋体"/>
                <w:color w:val="000000"/>
                <w:sz w:val="20"/>
              </w:rPr>
              <w:t>预测与预警</w:t>
            </w:r>
          </w:p>
        </w:tc>
        <w:tc>
          <w:tcPr>
            <w:tcW w:type="dxa" w:w="1746"/>
          </w:tcPr>
          <w:p>
            <w:pPr>
              <w:spacing w:after="20"/>
              <w:jc w:val="left"/>
            </w:pPr>
            <w:r/>
            <w:r>
              <w:rPr>
                <w:rFonts w:ascii="Times New Roman" w:hAnsi="Times New Roman" w:eastAsia="宋体"/>
                <w:color w:val="000000"/>
                <w:sz w:val="20"/>
              </w:rPr>
              <w:t>未来 30 天能卖多少</w:t>
            </w:r>
          </w:p>
        </w:tc>
        <w:tc>
          <w:tcPr>
            <w:tcW w:type="dxa" w:w="1746"/>
          </w:tcPr>
          <w:p>
            <w:pPr>
              <w:spacing w:after="20"/>
              <w:jc w:val="left"/>
            </w:pPr>
            <w:r/>
            <w:r>
              <w:rPr>
                <w:rFonts w:ascii="Times New Roman" w:hAnsi="Times New Roman" w:eastAsia="宋体"/>
                <w:color w:val="000000"/>
                <w:sz w:val="20"/>
              </w:rPr>
              <w:t>fig33</w:t>
            </w:r>
          </w:p>
        </w:tc>
      </w:tr>
      <w:tr>
        <w:tc>
          <w:tcPr>
            <w:tcW w:type="dxa" w:w="1746"/>
          </w:tcPr>
          <w:p>
            <w:pPr>
              <w:spacing w:after="20"/>
              <w:jc w:val="center"/>
            </w:pPr>
            <w:r/>
            <w:r>
              <w:rPr>
                <w:rFonts w:ascii="Times New Roman" w:hAnsi="Times New Roman" w:eastAsia="宋体"/>
                <w:color w:val="000000"/>
                <w:sz w:val="20"/>
              </w:rPr>
              <w:t>M8</w:t>
            </w:r>
          </w:p>
        </w:tc>
        <w:tc>
          <w:tcPr>
            <w:tcW w:type="dxa" w:w="1746"/>
          </w:tcPr>
          <w:p>
            <w:pPr>
              <w:spacing w:after="20"/>
              <w:jc w:val="left"/>
            </w:pPr>
            <w:r/>
            <w:r>
              <w:rPr>
                <w:rFonts w:ascii="Times New Roman" w:hAnsi="Times New Roman" w:eastAsia="宋体"/>
                <w:color w:val="000000"/>
                <w:sz w:val="20"/>
              </w:rPr>
              <w:t>K-Means 用户分群</w:t>
            </w:r>
          </w:p>
        </w:tc>
        <w:tc>
          <w:tcPr>
            <w:tcW w:type="dxa" w:w="1746"/>
          </w:tcPr>
          <w:p>
            <w:pPr>
              <w:spacing w:after="20"/>
              <w:jc w:val="left"/>
            </w:pPr>
            <w:r/>
            <w:r>
              <w:rPr>
                <w:rFonts w:ascii="Times New Roman" w:hAnsi="Times New Roman" w:eastAsia="宋体"/>
                <w:color w:val="000000"/>
                <w:sz w:val="20"/>
              </w:rPr>
              <w:t>用户与客群</w:t>
            </w:r>
          </w:p>
        </w:tc>
        <w:tc>
          <w:tcPr>
            <w:tcW w:type="dxa" w:w="1746"/>
          </w:tcPr>
          <w:p>
            <w:pPr>
              <w:spacing w:after="20"/>
              <w:jc w:val="left"/>
            </w:pPr>
            <w:r/>
            <w:r>
              <w:rPr>
                <w:rFonts w:ascii="Times New Roman" w:hAnsi="Times New Roman" w:eastAsia="宋体"/>
                <w:color w:val="000000"/>
                <w:sz w:val="20"/>
              </w:rPr>
              <w:t>客群可归纳为几类</w:t>
            </w:r>
          </w:p>
        </w:tc>
        <w:tc>
          <w:tcPr>
            <w:tcW w:type="dxa" w:w="1746"/>
          </w:tcPr>
          <w:p>
            <w:pPr>
              <w:spacing w:after="20"/>
              <w:jc w:val="left"/>
            </w:pPr>
            <w:r/>
            <w:r>
              <w:rPr>
                <w:rFonts w:ascii="Times New Roman" w:hAnsi="Times New Roman" w:eastAsia="宋体"/>
                <w:color w:val="000000"/>
                <w:sz w:val="20"/>
              </w:rPr>
              <w:t>fig34</w:t>
            </w:r>
          </w:p>
        </w:tc>
      </w:tr>
      <w:tr>
        <w:tc>
          <w:tcPr>
            <w:tcW w:type="dxa" w:w="1746"/>
          </w:tcPr>
          <w:p>
            <w:pPr>
              <w:spacing w:after="20"/>
              <w:jc w:val="center"/>
            </w:pPr>
            <w:r/>
            <w:r>
              <w:rPr>
                <w:rFonts w:ascii="Times New Roman" w:hAnsi="Times New Roman" w:eastAsia="宋体"/>
                <w:color w:val="000000"/>
                <w:sz w:val="20"/>
              </w:rPr>
              <w:t>M9</w:t>
            </w:r>
          </w:p>
        </w:tc>
        <w:tc>
          <w:tcPr>
            <w:tcW w:type="dxa" w:w="1746"/>
          </w:tcPr>
          <w:p>
            <w:pPr>
              <w:spacing w:after="20"/>
              <w:jc w:val="left"/>
            </w:pPr>
            <w:r/>
            <w:r>
              <w:rPr>
                <w:rFonts w:ascii="Times New Roman" w:hAnsi="Times New Roman" w:eastAsia="宋体"/>
                <w:color w:val="000000"/>
                <w:sz w:val="20"/>
              </w:rPr>
              <w:t>复购漏斗</w:t>
            </w:r>
          </w:p>
        </w:tc>
        <w:tc>
          <w:tcPr>
            <w:tcW w:type="dxa" w:w="1746"/>
          </w:tcPr>
          <w:p>
            <w:pPr>
              <w:spacing w:after="20"/>
              <w:jc w:val="left"/>
            </w:pPr>
            <w:r/>
            <w:r>
              <w:rPr>
                <w:rFonts w:ascii="Times New Roman" w:hAnsi="Times New Roman" w:eastAsia="宋体"/>
                <w:color w:val="000000"/>
                <w:sz w:val="20"/>
              </w:rPr>
              <w:t>关联与转化</w:t>
            </w:r>
          </w:p>
        </w:tc>
        <w:tc>
          <w:tcPr>
            <w:tcW w:type="dxa" w:w="1746"/>
          </w:tcPr>
          <w:p>
            <w:pPr>
              <w:spacing w:after="20"/>
              <w:jc w:val="left"/>
            </w:pPr>
            <w:r/>
            <w:r>
              <w:rPr>
                <w:rFonts w:ascii="Times New Roman" w:hAnsi="Times New Roman" w:eastAsia="宋体"/>
                <w:color w:val="000000"/>
                <w:sz w:val="20"/>
              </w:rPr>
              <w:t>新客向忠诚客的转化卡在哪</w:t>
            </w:r>
          </w:p>
        </w:tc>
        <w:tc>
          <w:tcPr>
            <w:tcW w:type="dxa" w:w="1746"/>
          </w:tcPr>
          <w:p>
            <w:pPr>
              <w:spacing w:after="20"/>
              <w:jc w:val="left"/>
            </w:pPr>
            <w:r/>
            <w:r>
              <w:rPr>
                <w:rFonts w:ascii="Times New Roman" w:hAnsi="Times New Roman" w:eastAsia="宋体"/>
                <w:color w:val="000000"/>
                <w:sz w:val="20"/>
              </w:rPr>
              <w:t>fig35</w:t>
            </w:r>
          </w:p>
        </w:tc>
      </w:tr>
      <w:tr>
        <w:tc>
          <w:tcPr>
            <w:tcW w:type="dxa" w:w="1746"/>
          </w:tcPr>
          <w:p>
            <w:pPr>
              <w:spacing w:after="20"/>
              <w:jc w:val="center"/>
            </w:pPr>
            <w:r/>
            <w:r>
              <w:rPr>
                <w:rFonts w:ascii="Times New Roman" w:hAnsi="Times New Roman" w:eastAsia="宋体"/>
                <w:color w:val="000000"/>
                <w:sz w:val="20"/>
              </w:rPr>
              <w:t>M10</w:t>
            </w:r>
          </w:p>
        </w:tc>
        <w:tc>
          <w:tcPr>
            <w:tcW w:type="dxa" w:w="1746"/>
          </w:tcPr>
          <w:p>
            <w:pPr>
              <w:spacing w:after="20"/>
              <w:jc w:val="left"/>
            </w:pPr>
            <w:r/>
            <w:r>
              <w:rPr>
                <w:rFonts w:ascii="Times New Roman" w:hAnsi="Times New Roman" w:eastAsia="宋体"/>
                <w:color w:val="000000"/>
                <w:sz w:val="20"/>
              </w:rPr>
              <w:t>客户流失预警</w:t>
            </w:r>
          </w:p>
        </w:tc>
        <w:tc>
          <w:tcPr>
            <w:tcW w:type="dxa" w:w="1746"/>
          </w:tcPr>
          <w:p>
            <w:pPr>
              <w:spacing w:after="20"/>
              <w:jc w:val="left"/>
            </w:pPr>
            <w:r/>
            <w:r>
              <w:rPr>
                <w:rFonts w:ascii="Times New Roman" w:hAnsi="Times New Roman" w:eastAsia="宋体"/>
                <w:color w:val="000000"/>
                <w:sz w:val="20"/>
              </w:rPr>
              <w:t>预测与预警</w:t>
            </w:r>
          </w:p>
        </w:tc>
        <w:tc>
          <w:tcPr>
            <w:tcW w:type="dxa" w:w="1746"/>
          </w:tcPr>
          <w:p>
            <w:pPr>
              <w:spacing w:after="20"/>
              <w:jc w:val="left"/>
            </w:pPr>
            <w:r/>
            <w:r>
              <w:rPr>
                <w:rFonts w:ascii="Times New Roman" w:hAnsi="Times New Roman" w:eastAsia="宋体"/>
                <w:color w:val="000000"/>
                <w:sz w:val="20"/>
              </w:rPr>
              <w:t>哪些客户接下来会不再购买</w:t>
            </w:r>
          </w:p>
        </w:tc>
        <w:tc>
          <w:tcPr>
            <w:tcW w:type="dxa" w:w="1746"/>
          </w:tcPr>
          <w:p>
            <w:pPr>
              <w:spacing w:after="20"/>
              <w:jc w:val="left"/>
            </w:pPr>
            <w:r/>
            <w:r>
              <w:rPr>
                <w:rFonts w:ascii="Times New Roman" w:hAnsi="Times New Roman" w:eastAsia="宋体"/>
                <w:color w:val="000000"/>
                <w:sz w:val="20"/>
              </w:rPr>
              <w:t>fig36 / fig37</w:t>
            </w:r>
          </w:p>
        </w:tc>
      </w:tr>
    </w:tbl>
    <w:p>
      <w:pPr>
        <w:spacing w:after="40"/>
      </w:pPr>
    </w:p>
    <w:p>
      <w:pPr>
        <w:spacing w:line="360" w:lineRule="auto" w:after="80"/>
        <w:ind w:firstLine="480"/>
        <w:jc w:val="both"/>
      </w:pPr>
      <w:r>
        <w:rPr>
          <w:rFonts w:ascii="Times New Roman" w:hAnsi="Times New Roman" w:eastAsia="宋体"/>
          <w:b/>
          <w:color w:val="000000"/>
          <w:sz w:val="24"/>
        </w:rPr>
        <w:t>统一口径说明。</w:t>
      </w:r>
      <w:r>
        <w:rPr>
          <w:rFonts w:ascii="Times New Roman" w:hAnsi="Times New Roman" w:eastAsia="宋体"/>
          <w:b w:val="0"/>
          <w:color w:val="000000"/>
          <w:sz w:val="24"/>
        </w:rPr>
        <w:t xml:space="preserve"> 数据集末月（2011-12）仅覆盖 1—9 日，属于不完整月份，若纳入月度对比会人为造成「销售额骤降」的假象。因此全部客户级模型（M2 RFM、M3 同期群、M8 K-Means、M9 复购漏斗）与月度序列分析均以 </w:t>
      </w:r>
      <w:r>
        <w:rPr>
          <w:rFonts w:ascii="Times New Roman" w:hAnsi="Times New Roman" w:eastAsia="宋体"/>
          <w:b/>
          <w:color w:val="000000"/>
          <w:sz w:val="24"/>
        </w:rPr>
        <w:t>2011-11-30</w:t>
      </w:r>
      <w:r>
        <w:rPr>
          <w:rFonts w:ascii="Times New Roman" w:hAnsi="Times New Roman" w:eastAsia="宋体"/>
          <w:b w:val="0"/>
          <w:color w:val="000000"/>
          <w:sz w:val="24"/>
        </w:rPr>
        <w:t xml:space="preserve"> 为统一截止日，与 M7 预测模型的留出测试集切分保持一致。受此影响，纳入建模的注册客户为 3,726 位，略少于清洗后全量客户 3,763 位，差值为仅在 2011-12 产生首单的 37 位新客；论文中两处数字口径不同源，特此说明。</w:t>
      </w:r>
    </w:p>
    <w:p>
      <w:pPr>
        <w:keepNext/>
        <w:spacing w:line="360" w:lineRule="auto" w:before="100" w:after="80"/>
        <w:outlineLvl w:val="1"/>
      </w:pPr>
      <w:r>
        <w:rPr>
          <w:rFonts w:ascii="Times New Roman" w:hAnsi="Times New Roman" w:eastAsia="黑体"/>
          <w:b/>
          <w:color w:val="000000"/>
          <w:sz w:val="24"/>
        </w:rPr>
        <w:t>4.2 参数与阈值设定依据</w:t>
      </w:r>
    </w:p>
    <w:p>
      <w:pPr>
        <w:spacing w:line="360" w:lineRule="auto" w:after="80"/>
        <w:ind w:firstLine="480"/>
        <w:jc w:val="both"/>
      </w:pPr>
      <w:r>
        <w:rPr>
          <w:rFonts w:ascii="Times New Roman" w:hAnsi="Times New Roman" w:eastAsia="宋体"/>
          <w:b w:val="0"/>
          <w:color w:val="000000"/>
          <w:sz w:val="24"/>
        </w:rPr>
        <w:t>模型参数的设定必须有业务理由，否则只是数字游戏。本节逐一说明关键参数的取值依据。</w:t>
      </w:r>
    </w:p>
    <w:p>
      <w:pPr>
        <w:spacing w:line="360" w:lineRule="auto" w:after="80"/>
        <w:ind w:firstLine="480"/>
        <w:jc w:val="both"/>
      </w:pPr>
      <w:r>
        <w:rPr>
          <w:rFonts w:ascii="Times New Roman" w:hAnsi="Times New Roman" w:eastAsia="宋体"/>
          <w:b/>
          <w:color w:val="000000"/>
          <w:sz w:val="24"/>
        </w:rPr>
        <w:t>RFM 阈值 —— 采用中位数而非均值切分。</w:t>
      </w:r>
      <w:r>
        <w:rPr>
          <w:rFonts w:ascii="Times New Roman" w:hAnsi="Times New Roman" w:eastAsia="宋体"/>
          <w:b w:val="0"/>
          <w:color w:val="000000"/>
          <w:sz w:val="24"/>
        </w:rPr>
        <w:t xml:space="preserve"> 三个指标的分布均呈现严重右偏： Monetary 的均值被少数批发大客拉高，若用均值切分，会把大量中小客户整体判为「低价值」，导致分群结果在业务上失去区分度。中位数对极值稳健，能保证高/低两组客户数量大致均衡，便于后续差异化运营。实际取值为 Recency = 203 天、Frequency = 2 次、Monetary = 488.69 英镑，三者交叉得到 2×2×2 = 8 个客群。</w:t>
      </w:r>
    </w:p>
    <w:p>
      <w:pPr>
        <w:spacing w:line="360" w:lineRule="auto" w:after="80"/>
        <w:ind w:firstLine="480"/>
        <w:jc w:val="both"/>
      </w:pPr>
      <w:r>
        <w:rPr>
          <w:rFonts w:ascii="Times New Roman" w:hAnsi="Times New Roman" w:eastAsia="宋体"/>
          <w:b/>
          <w:color w:val="000000"/>
          <w:sz w:val="24"/>
        </w:rPr>
        <w:t>同期群粒度 —— 月度。</w:t>
      </w:r>
      <w:r>
        <w:rPr>
          <w:rFonts w:ascii="Times New Roman" w:hAnsi="Times New Roman" w:eastAsia="宋体"/>
          <w:b w:val="0"/>
          <w:color w:val="000000"/>
          <w:sz w:val="24"/>
        </w:rPr>
        <w:t xml:space="preserve"> 该数据集礼品家居的消费频次天然较低，若按周划分同期群，大量周活跃客户数会落到个位数，留存率的抽样波动会被急剧放大；按季度划分又过于粗糙，无法观察首月流失的关键拐点。月度是二者之间的平衡。</w:t>
      </w:r>
    </w:p>
    <w:p>
      <w:pPr>
        <w:spacing w:line="360" w:lineRule="auto" w:after="80"/>
        <w:ind w:firstLine="480"/>
        <w:jc w:val="both"/>
      </w:pPr>
      <w:r>
        <w:rPr>
          <w:rFonts w:ascii="Times New Roman" w:hAnsi="Times New Roman" w:eastAsia="宋体"/>
          <w:b/>
          <w:color w:val="000000"/>
          <w:sz w:val="24"/>
        </w:rPr>
        <w:t>Apriori 三阈值。</w:t>
      </w:r>
      <w:r>
        <w:rPr>
          <w:rFonts w:ascii="Times New Roman" w:hAnsi="Times New Roman" w:eastAsia="宋体"/>
          <w:b w:val="0"/>
          <w:color w:val="000000"/>
          <w:sz w:val="24"/>
        </w:rPr>
        <w:t xml:space="preserve"> 最小支持度取 0.01：低于 1% 出现频率的商品组合不具备铺货与陈列的规模价值，纳入只会产生大量噪声规则；最小提升度取 1.0：提升度等于 1 表示两商品独立共现，大于 1 才说明存在正向关联，是「可以搭配卖」的必要条件；最小置信度取 0.15：作为推荐或组合陈列的命中率下限，低于此值的推荐会大量浪费曝光位。参与编码的商品取销售额 TOP 120，以控制稀疏矩阵规模。</w:t>
      </w:r>
    </w:p>
    <w:p>
      <w:pPr>
        <w:spacing w:line="360" w:lineRule="auto" w:after="80"/>
        <w:ind w:firstLine="480"/>
        <w:jc w:val="both"/>
      </w:pPr>
      <w:r>
        <w:rPr>
          <w:rFonts w:ascii="Times New Roman" w:hAnsi="Times New Roman" w:eastAsia="宋体"/>
          <w:b/>
          <w:color w:val="000000"/>
          <w:sz w:val="24"/>
        </w:rPr>
        <w:t>波士顿矩阵分界。</w:t>
      </w:r>
      <w:r>
        <w:rPr>
          <w:rFonts w:ascii="Times New Roman" w:hAnsi="Times New Roman" w:eastAsia="宋体"/>
          <w:b w:val="0"/>
          <w:color w:val="000000"/>
          <w:sz w:val="24"/>
        </w:rPr>
        <w:t xml:space="preserve"> 相对份额定义为「品类销售额 ÷ 其余品类平均销售额」，阈值取 BCG 经典分界值 1.0；市场增速用「最近 12 个月 vs 前 12 个月销售额同比增速」，阈值取整体销售额同比增速 7.62%，即以大盘增速作为市场平均增速的基准。考虑到同比只用了两个窗口的合计值、对异常月份敏感，本文另以 24 个月月度序列的对数线性趋势斜率作为</w:t>
      </w:r>
      <w:r>
        <w:rPr>
          <w:rFonts w:ascii="Times New Roman" w:hAnsi="Times New Roman" w:eastAsia="宋体"/>
          <w:b/>
          <w:color w:val="000000"/>
          <w:sz w:val="24"/>
        </w:rPr>
        <w:t>副口径</w:t>
      </w:r>
      <w:r>
        <w:rPr>
          <w:rFonts w:ascii="Times New Roman" w:hAnsi="Times New Roman" w:eastAsia="宋体"/>
          <w:b w:val="0"/>
          <w:color w:val="000000"/>
          <w:sz w:val="24"/>
        </w:rPr>
        <w:t>并行计算，两个口径的交叉验证见 §4.3.3。</w:t>
      </w:r>
    </w:p>
    <w:p>
      <w:pPr>
        <w:spacing w:line="360" w:lineRule="auto" w:after="80"/>
        <w:ind w:firstLine="480"/>
        <w:jc w:val="both"/>
      </w:pPr>
      <w:r>
        <w:rPr>
          <w:rFonts w:ascii="Times New Roman" w:hAnsi="Times New Roman" w:eastAsia="宋体"/>
          <w:b/>
          <w:color w:val="000000"/>
          <w:sz w:val="24"/>
        </w:rPr>
        <w:t>帕累托 ABC 分界 —— 80% / 95%。</w:t>
      </w:r>
      <w:r>
        <w:rPr>
          <w:rFonts w:ascii="Times New Roman" w:hAnsi="Times New Roman" w:eastAsia="宋体"/>
          <w:b w:val="0"/>
          <w:color w:val="000000"/>
          <w:sz w:val="24"/>
        </w:rPr>
        <w:t xml:space="preserve"> ABC 分类本质是帕累托法则的量化：A 类对应累计销售额占比 0~80%（核心贡献）、B 类 80%~95%（次要贡献）、C 类 95%~100%（长尾）。选择 80/95 而非三等分，是因为商品销售额分布极度不均，三等分会把一批贡献极低的长尾商品与中等贡献商品混为一谈，失去「重点管理少数」的管理意义。实测 A 类仅占 22.42% 的 SKU 却贡献 80% 销售额，恰恰印证了在该数据集上采用累计占比分界的合理性。</w:t>
      </w:r>
    </w:p>
    <w:p>
      <w:pPr>
        <w:spacing w:line="360" w:lineRule="auto" w:after="80"/>
        <w:ind w:firstLine="480"/>
        <w:jc w:val="both"/>
      </w:pPr>
      <w:r>
        <w:rPr>
          <w:rFonts w:ascii="Times New Roman" w:hAnsi="Times New Roman" w:eastAsia="宋体"/>
          <w:b/>
          <w:color w:val="000000"/>
          <w:sz w:val="24"/>
        </w:rPr>
        <w:t>复购漏斗层级 —— 以购买次数而非金额划分。</w:t>
      </w:r>
      <w:r>
        <w:rPr>
          <w:rFonts w:ascii="Times New Roman" w:hAnsi="Times New Roman" w:eastAsia="宋体"/>
          <w:b w:val="0"/>
          <w:color w:val="000000"/>
          <w:sz w:val="24"/>
        </w:rPr>
        <w:t xml:space="preserve"> 漏斗共五级：首次购买 → 第 2 次 → 第 3 次 → 第 4 次 → 5 次及以上。用购买次数而非累计金额，是因为复购行为的核心是「关系存续」而非「单次贡献」，次数口径才能真实反映客户粘性；同时各级为包含关系（≥N 次），保证漏斗逐级收窄、转化率可解释。此外，漏斗仅统计有 CustomerID 的已识别客户，匿名订单不计入分母。</w:t>
      </w:r>
    </w:p>
    <w:p>
      <w:pPr>
        <w:spacing w:line="360" w:lineRule="auto" w:after="80"/>
        <w:ind w:firstLine="480"/>
        <w:jc w:val="both"/>
      </w:pPr>
      <w:r>
        <w:rPr>
          <w:rFonts w:ascii="Times New Roman" w:hAnsi="Times New Roman" w:eastAsia="宋体"/>
          <w:b/>
          <w:color w:val="000000"/>
          <w:sz w:val="24"/>
        </w:rPr>
        <w:t>K-Means 的预处理 —— 一个容易被忽略却决定成败的选择。</w:t>
      </w:r>
      <w:r>
        <w:rPr>
          <w:rFonts w:ascii="Times New Roman" w:hAnsi="Times New Roman" w:eastAsia="宋体"/>
          <w:b w:val="0"/>
          <w:color w:val="000000"/>
          <w:sz w:val="24"/>
        </w:rPr>
        <w:t xml:space="preserve"> RFM 三变量均呈强右偏：Monetary 最大值 206,834 英镑，中位数仅 489 英镑，极差达 400 倍。K-Means 以欧氏距离度量相似度，若不消除偏态，少数鲸鱼客户会主导距离计算、把真实的簇结构压扁。常见的 log1p + Z-score 只能削弱量纲差异，不足以纠正分布形态。本文改用</w:t>
      </w:r>
      <w:r>
        <w:rPr>
          <w:rFonts w:ascii="Times New Roman" w:hAnsi="Times New Roman" w:eastAsia="宋体"/>
          <w:b/>
          <w:color w:val="000000"/>
          <w:sz w:val="24"/>
        </w:rPr>
        <w:t>分位数变换</w:t>
      </w:r>
      <w:r>
        <w:rPr>
          <w:rFonts w:ascii="Times New Roman" w:hAnsi="Times New Roman" w:eastAsia="宋体"/>
          <w:b w:val="0"/>
          <w:color w:val="000000"/>
          <w:sz w:val="24"/>
        </w:rPr>
        <w:t>（QuantileTransformer，映射到正态分布）后，轮廓系数由 0.4271 提升至 0.7412（+0.3141），簇分离度从「勉强可辨」跃升至「结构清晰」，对比过程见 §4.3.2 表 4-4。</w:t>
      </w:r>
    </w:p>
    <w:p>
      <w:pPr>
        <w:spacing w:line="360" w:lineRule="auto" w:after="80"/>
        <w:ind w:firstLine="480"/>
        <w:jc w:val="both"/>
      </w:pPr>
      <w:r>
        <w:rPr>
          <w:rFonts w:ascii="Times New Roman" w:hAnsi="Times New Roman" w:eastAsia="宋体"/>
          <w:b/>
          <w:color w:val="000000"/>
          <w:sz w:val="24"/>
        </w:rPr>
        <w:t>K-Means 的 K 值 —— 由轮廓系数决定。</w:t>
      </w:r>
      <w:r>
        <w:rPr>
          <w:rFonts w:ascii="Times New Roman" w:hAnsi="Times New Roman" w:eastAsia="宋体"/>
          <w:b w:val="0"/>
          <w:color w:val="000000"/>
          <w:sz w:val="24"/>
        </w:rPr>
        <w:t xml:space="preserve"> 在 K = 2~6 区间全搜索，取轮廓系数最大者，结果为 K = 2（轮廓系数 0.7412），并以 Calinski-Harabasz（越大越好）与 Davies-Bouldin（越小越好）两项指标交叉验证，随机种子固定为 2026。K = 2 看似偏少，但 §4.3.2 的稳定性检验证明它并非参数没调好，而是数据本身存在一条天然断点。</w:t>
      </w:r>
    </w:p>
    <w:p>
      <w:pPr>
        <w:spacing w:line="360" w:lineRule="auto" w:after="80"/>
        <w:ind w:firstLine="480"/>
        <w:jc w:val="both"/>
      </w:pPr>
      <w:r>
        <w:rPr>
          <w:rFonts w:ascii="Times New Roman" w:hAnsi="Times New Roman" w:eastAsia="宋体"/>
          <w:b/>
          <w:color w:val="000000"/>
          <w:sz w:val="24"/>
        </w:rPr>
        <w:t>时间序列模型阶数。</w:t>
      </w:r>
      <w:r>
        <w:rPr>
          <w:rFonts w:ascii="Times New Roman" w:hAnsi="Times New Roman" w:eastAsia="宋体"/>
          <w:b w:val="0"/>
          <w:color w:val="000000"/>
          <w:sz w:val="24"/>
        </w:rPr>
        <w:t xml:space="preserve"> 零售销售存在典型的周内效应（工作日与周末差异明显），因此季节周期定为 7 天。SARIMA 取 (1,1,1)(1,0,1,7)：一阶差分消除趋势，一阶自回归与一阶移动平均捕捉短期依赖；Holt-Winters 采用加法趋势（带阻尼）+ 加法季节（周期 7）。引入阻尼项是因为无阻尼的线性趋势在长期外推时会发散，不符合销售实际。</w:t>
      </w:r>
    </w:p>
    <w:p>
      <w:pPr>
        <w:spacing w:line="360" w:lineRule="auto" w:after="80"/>
        <w:ind w:firstLine="480"/>
        <w:jc w:val="both"/>
      </w:pPr>
      <w:r>
        <w:rPr>
          <w:rFonts w:ascii="Times New Roman" w:hAnsi="Times New Roman" w:eastAsia="宋体"/>
          <w:b/>
          <w:color w:val="000000"/>
          <w:sz w:val="24"/>
        </w:rPr>
        <w:t>环比与同比口径。</w:t>
      </w:r>
      <w:r>
        <w:rPr>
          <w:rFonts w:ascii="Times New Roman" w:hAnsi="Times New Roman" w:eastAsia="宋体"/>
          <w:b w:val="0"/>
          <w:color w:val="000000"/>
          <w:sz w:val="24"/>
        </w:rPr>
        <w:t xml:space="preserve"> 环比（MoM）定义为「本月 ÷ 上月 − 1」，同比（YoY）定义为「本年本月 ÷ 去年同月 − 1」。由于数据集覆盖 2009-12 至 2011-12 共 25 个月，2009-12 与 2010 年各月无上年同月数据，同比序列从 2010-12 起算，图中对该区间留空而非补零，避免造成「零增长」的误读。</w:t>
      </w:r>
    </w:p>
    <w:p>
      <w:pPr>
        <w:spacing w:line="360" w:lineRule="auto" w:after="80"/>
        <w:ind w:firstLine="480"/>
        <w:jc w:val="both"/>
      </w:pPr>
      <w:r>
        <w:rPr>
          <w:rFonts w:ascii="Times New Roman" w:hAnsi="Times New Roman" w:eastAsia="宋体"/>
          <w:b/>
          <w:color w:val="000000"/>
          <w:sz w:val="24"/>
        </w:rPr>
        <w:t>流失预警的观测窗、表现窗与流失定义。</w:t>
      </w:r>
      <w:r>
        <w:rPr>
          <w:rFonts w:ascii="Times New Roman" w:hAnsi="Times New Roman" w:eastAsia="宋体"/>
          <w:b w:val="0"/>
          <w:color w:val="000000"/>
          <w:sz w:val="24"/>
        </w:rPr>
        <w:t xml:space="preserve"> 这是 M10 全部方法论设计的核心，也是此类模型最容易出错的地方。具体取值为：</w:t>
      </w:r>
      <w:r>
        <w:rPr>
          <w:rFonts w:ascii="Times New Roman" w:hAnsi="Times New Roman" w:eastAsia="宋体"/>
          <w:b/>
          <w:color w:val="000000"/>
          <w:sz w:val="24"/>
        </w:rPr>
        <w:t>观测窗</w:t>
      </w:r>
      <w:r>
        <w:rPr>
          <w:rFonts w:ascii="Times New Roman" w:hAnsi="Times New Roman" w:eastAsia="宋体"/>
          <w:b w:val="0"/>
          <w:color w:val="000000"/>
          <w:sz w:val="24"/>
        </w:rPr>
        <w:t xml:space="preserve"> 2009-12-01 至 2011-08-31，特征只从这一区间计算；</w:t>
      </w:r>
      <w:r>
        <w:rPr>
          <w:rFonts w:ascii="Times New Roman" w:hAnsi="Times New Roman" w:eastAsia="宋体"/>
          <w:b/>
          <w:color w:val="000000"/>
          <w:sz w:val="24"/>
        </w:rPr>
        <w:t>表现窗</w:t>
      </w:r>
      <w:r>
        <w:rPr>
          <w:rFonts w:ascii="Times New Roman" w:hAnsi="Times New Roman" w:eastAsia="宋体"/>
          <w:b w:val="0"/>
          <w:color w:val="000000"/>
          <w:sz w:val="24"/>
        </w:rPr>
        <w:t xml:space="preserve"> 2011-09-01 至 2011-11-30（3 个月），标签只从这一区间判定。两窗严格不重叠——若把表现窗内的购买记录也用于计算「距末次购买天数」等特征，模型会直接偷看到答案，得到虚高的 AUC，而这种泄漏在单次实验中毫无征兆。流失定义为「表现窗 3 个月内未发生任何购买」，取 3 个月而非 1 个月的理由是：该客户群含大量批发商，其采购周期本身可达数周至数月，1 个月窗口会把大量正常休眠客户误判为流失，标签噪声过大；9 个月窗口则使观测窗被压缩到不足 1 年，多数客户的历史长度不足以支撑特征计算。3 个月是两者之间的折中，§4.3.5 另用 3 个不同长度的窗口验证了结论对窗口长度不敏感。</w:t>
      </w:r>
    </w:p>
    <w:p>
      <w:pPr>
        <w:spacing w:line="360" w:lineRule="auto" w:after="80"/>
        <w:ind w:firstLine="480"/>
        <w:jc w:val="both"/>
      </w:pPr>
      <w:r>
        <w:rPr>
          <w:rFonts w:ascii="Times New Roman" w:hAnsi="Times New Roman" w:eastAsia="宋体"/>
          <w:b/>
          <w:color w:val="000000"/>
          <w:sz w:val="24"/>
        </w:rPr>
        <w:t>流失预警的特征选择。</w:t>
      </w:r>
      <w:r>
        <w:rPr>
          <w:rFonts w:ascii="Times New Roman" w:hAnsi="Times New Roman" w:eastAsia="宋体"/>
          <w:b w:val="0"/>
          <w:color w:val="000000"/>
          <w:sz w:val="24"/>
        </w:rPr>
        <w:t xml:space="preserve"> 共 14 个特征，全部由观测窗内的行为派生，分为三类：价值类（Monetary、AOV）、活跃类（Recency、Frequency、Tenure、近 90 天购买与金额占比）与广度类（SKU 数、品类数、单次购买商品种类）。未把「国家」「是否退货」之外的人口属性纳入，因为数据集中不含年龄、地域以外的人口学字段；也未纳入任何在表现窗内才能观测的量。特征同样先做 log1p + 标准化，原因与 M8 相同——RFM 类变量强右偏。</w:t>
      </w:r>
    </w:p>
    <w:p>
      <w:pPr>
        <w:spacing w:line="360" w:lineRule="auto" w:after="80"/>
        <w:ind w:firstLine="480"/>
        <w:jc w:val="both"/>
      </w:pPr>
      <w:r>
        <w:rPr>
          <w:rFonts w:ascii="Times New Roman" w:hAnsi="Times New Roman" w:eastAsia="宋体"/>
          <w:b/>
          <w:color w:val="000000"/>
          <w:sz w:val="24"/>
        </w:rPr>
        <w:t>流失预警的不平衡处理。</w:t>
      </w:r>
      <w:r>
        <w:rPr>
          <w:rFonts w:ascii="Times New Roman" w:hAnsi="Times New Roman" w:eastAsia="宋体"/>
          <w:b w:val="0"/>
          <w:color w:val="000000"/>
          <w:sz w:val="24"/>
        </w:rPr>
        <w:t xml:space="preserve"> 主样本 3,255 位客户中 74.22% 流失，属轻度不平衡（约 1:2.9）。采用 class_weight="balanced" 加权而非欠采样，理由是欠采样会丢弃多数类中占比更高的高价值客户——而挽留高价值客户恰恰是本模型的全部业务意义所在。</w:t>
      </w:r>
    </w:p>
    <w:p>
      <w:pPr>
        <w:keepNext/>
        <w:spacing w:line="360" w:lineRule="auto" w:before="100" w:after="80"/>
        <w:outlineLvl w:val="1"/>
      </w:pPr>
      <w:r>
        <w:rPr>
          <w:rFonts w:ascii="Times New Roman" w:hAnsi="Times New Roman" w:eastAsia="黑体"/>
          <w:b/>
          <w:color w:val="000000"/>
          <w:sz w:val="24"/>
        </w:rPr>
        <w:t>4.3 模型计算与验证</w:t>
      </w:r>
    </w:p>
    <w:p>
      <w:pPr>
        <w:spacing w:line="360" w:lineRule="auto" w:after="80"/>
        <w:ind w:firstLine="480"/>
        <w:jc w:val="both"/>
      </w:pPr>
      <w:r>
        <w:rPr>
          <w:rFonts w:ascii="Times New Roman" w:hAnsi="Times New Roman" w:eastAsia="宋体"/>
          <w:b w:val="0"/>
          <w:color w:val="000000"/>
          <w:sz w:val="24"/>
        </w:rPr>
        <w:t>预测类模型（M7）的验证采用</w:t>
      </w:r>
      <w:r>
        <w:rPr>
          <w:rFonts w:ascii="Times New Roman" w:hAnsi="Times New Roman" w:eastAsia="宋体"/>
          <w:b/>
          <w:color w:val="000000"/>
          <w:sz w:val="24"/>
        </w:rPr>
        <w:t>留出回测</w:t>
      </w:r>
      <w:r>
        <w:rPr>
          <w:rFonts w:ascii="Times New Roman" w:hAnsi="Times New Roman" w:eastAsia="宋体"/>
          <w:b w:val="0"/>
          <w:color w:val="000000"/>
          <w:sz w:val="24"/>
        </w:rPr>
        <w:t>：保留最后 30 天（2011-11-01 至 2011-11-30）作为测试集，仅用此前数据训练，再将预测值与真实值比对。结果见表 4-2。</w:t>
      </w:r>
    </w:p>
    <w:p>
      <w:pPr>
        <w:spacing w:after="40"/>
        <w:jc w:val="center"/>
      </w:pPr>
      <w:r>
        <w:rPr>
          <w:rFonts w:ascii="Times New Roman" w:hAnsi="Times New Roman" w:eastAsia="黑体"/>
          <w:color w:val="000000"/>
          <w:sz w:val="21"/>
        </w:rPr>
        <w:t>表 4-2  时间序列模型回测误差对比（测试集 30 天）</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tcPr>
          <w:p>
            <w:pPr>
              <w:jc w:val="center"/>
            </w:pPr>
            <w:r/>
            <w:r>
              <w:rPr>
                <w:rFonts w:ascii="Times New Roman" w:hAnsi="Times New Roman" w:eastAsia="黑体"/>
                <w:b/>
                <w:color w:val="000000"/>
                <w:sz w:val="20"/>
              </w:rPr>
              <w:t>模型</w:t>
            </w:r>
          </w:p>
        </w:tc>
        <w:tc>
          <w:tcPr>
            <w:tcW w:type="dxa" w:w="1746"/>
          </w:tcPr>
          <w:p>
            <w:pPr>
              <w:jc w:val="center"/>
            </w:pPr>
            <w:r/>
            <w:r>
              <w:rPr>
                <w:rFonts w:ascii="Times New Roman" w:hAnsi="Times New Roman" w:eastAsia="黑体"/>
                <w:b/>
                <w:color w:val="000000"/>
                <w:sz w:val="20"/>
              </w:rPr>
              <w:t>模型阶数</w:t>
            </w:r>
          </w:p>
        </w:tc>
        <w:tc>
          <w:tcPr>
            <w:tcW w:type="dxa" w:w="1746"/>
          </w:tcPr>
          <w:p>
            <w:pPr>
              <w:jc w:val="center"/>
            </w:pPr>
            <w:r/>
            <w:r>
              <w:rPr>
                <w:rFonts w:ascii="Times New Roman" w:hAnsi="Times New Roman" w:eastAsia="黑体"/>
                <w:b/>
                <w:color w:val="000000"/>
                <w:sz w:val="20"/>
              </w:rPr>
              <w:t>MAPE(%)</w:t>
            </w:r>
          </w:p>
        </w:tc>
        <w:tc>
          <w:tcPr>
            <w:tcW w:type="dxa" w:w="1746"/>
          </w:tcPr>
          <w:p>
            <w:pPr>
              <w:jc w:val="center"/>
            </w:pPr>
            <w:r/>
            <w:r>
              <w:rPr>
                <w:rFonts w:ascii="Times New Roman" w:hAnsi="Times New Roman" w:eastAsia="黑体"/>
                <w:b/>
                <w:color w:val="000000"/>
                <w:sz w:val="20"/>
              </w:rPr>
              <w:t>RMSE(英镑)</w:t>
            </w:r>
          </w:p>
        </w:tc>
        <w:tc>
          <w:tcPr>
            <w:tcW w:type="dxa" w:w="1746"/>
          </w:tcPr>
          <w:p>
            <w:pPr>
              <w:jc w:val="center"/>
            </w:pPr>
            <w:r/>
            <w:r>
              <w:rPr>
                <w:rFonts w:ascii="Times New Roman" w:hAnsi="Times New Roman" w:eastAsia="黑体"/>
                <w:b/>
                <w:color w:val="000000"/>
                <w:sz w:val="20"/>
              </w:rPr>
              <w:t>是否选用</w:t>
            </w:r>
          </w:p>
        </w:tc>
      </w:tr>
      <w:tr>
        <w:tc>
          <w:tcPr>
            <w:tcW w:type="dxa" w:w="1746"/>
          </w:tcPr>
          <w:p>
            <w:pPr>
              <w:spacing w:after="20"/>
              <w:jc w:val="center"/>
            </w:pPr>
            <w:r/>
            <w:r>
              <w:rPr>
                <w:rFonts w:ascii="Times New Roman" w:hAnsi="Times New Roman" w:eastAsia="宋体"/>
                <w:color w:val="000000"/>
                <w:sz w:val="20"/>
              </w:rPr>
              <w:t>Holt-Winters</w:t>
            </w:r>
          </w:p>
        </w:tc>
        <w:tc>
          <w:tcPr>
            <w:tcW w:type="dxa" w:w="1746"/>
          </w:tcPr>
          <w:p>
            <w:pPr>
              <w:spacing w:after="20"/>
              <w:jc w:val="left"/>
            </w:pPr>
            <w:r/>
            <w:r>
              <w:rPr>
                <w:rFonts w:ascii="Times New Roman" w:hAnsi="Times New Roman" w:eastAsia="宋体"/>
                <w:color w:val="000000"/>
                <w:sz w:val="20"/>
              </w:rPr>
              <w:t>加法趋势(阻尼) + 加法季节(7)</w:t>
            </w:r>
          </w:p>
        </w:tc>
        <w:tc>
          <w:tcPr>
            <w:tcW w:type="dxa" w:w="1746"/>
          </w:tcPr>
          <w:p>
            <w:pPr>
              <w:spacing w:after="20"/>
              <w:jc w:val="left"/>
            </w:pPr>
            <w:r/>
            <w:r>
              <w:rPr>
                <w:rFonts w:ascii="Times New Roman" w:hAnsi="Times New Roman" w:eastAsia="宋体"/>
                <w:color w:val="000000"/>
                <w:sz w:val="20"/>
              </w:rPr>
              <w:t>34.70</w:t>
            </w:r>
          </w:p>
        </w:tc>
        <w:tc>
          <w:tcPr>
            <w:tcW w:type="dxa" w:w="1746"/>
          </w:tcPr>
          <w:p>
            <w:pPr>
              <w:spacing w:after="20"/>
              <w:jc w:val="left"/>
            </w:pPr>
            <w:r/>
            <w:r>
              <w:rPr>
                <w:rFonts w:ascii="Times New Roman" w:hAnsi="Times New Roman" w:eastAsia="宋体"/>
                <w:color w:val="000000"/>
                <w:sz w:val="20"/>
              </w:rPr>
              <w:t>11,169.16</w:t>
            </w:r>
          </w:p>
        </w:tc>
        <w:tc>
          <w:tcPr>
            <w:tcW w:type="dxa" w:w="1746"/>
          </w:tcPr>
          <w:p>
            <w:pPr>
              <w:spacing w:after="20"/>
              <w:jc w:val="left"/>
            </w:pPr>
            <w:r/>
            <w:r>
              <w:rPr>
                <w:rFonts w:ascii="Times New Roman" w:hAnsi="Times New Roman" w:eastAsia="宋体"/>
                <w:color w:val="000000"/>
                <w:sz w:val="20"/>
              </w:rPr>
              <w:t>✔ 选用</w:t>
            </w:r>
          </w:p>
        </w:tc>
      </w:tr>
      <w:tr>
        <w:tc>
          <w:tcPr>
            <w:tcW w:type="dxa" w:w="1746"/>
          </w:tcPr>
          <w:p>
            <w:pPr>
              <w:spacing w:after="20"/>
              <w:jc w:val="center"/>
            </w:pPr>
            <w:r/>
            <w:r>
              <w:rPr>
                <w:rFonts w:ascii="Times New Roman" w:hAnsi="Times New Roman" w:eastAsia="宋体"/>
                <w:color w:val="000000"/>
                <w:sz w:val="20"/>
              </w:rPr>
              <w:t>SARIMA</w:t>
            </w:r>
          </w:p>
        </w:tc>
        <w:tc>
          <w:tcPr>
            <w:tcW w:type="dxa" w:w="1746"/>
          </w:tcPr>
          <w:p>
            <w:pPr>
              <w:spacing w:after="20"/>
              <w:jc w:val="left"/>
            </w:pPr>
            <w:r/>
            <w:r>
              <w:rPr>
                <w:rFonts w:ascii="Times New Roman" w:hAnsi="Times New Roman" w:eastAsia="宋体"/>
                <w:color w:val="000000"/>
                <w:sz w:val="20"/>
              </w:rPr>
              <w:t>SARIMA(1,1,1)(1,0,1,7)</w:t>
            </w:r>
          </w:p>
        </w:tc>
        <w:tc>
          <w:tcPr>
            <w:tcW w:type="dxa" w:w="1746"/>
          </w:tcPr>
          <w:p>
            <w:pPr>
              <w:spacing w:after="20"/>
              <w:jc w:val="left"/>
            </w:pPr>
            <w:r/>
            <w:r>
              <w:rPr>
                <w:rFonts w:ascii="Times New Roman" w:hAnsi="Times New Roman" w:eastAsia="宋体"/>
                <w:color w:val="000000"/>
                <w:sz w:val="20"/>
              </w:rPr>
              <w:t>36.33</w:t>
            </w:r>
          </w:p>
        </w:tc>
        <w:tc>
          <w:tcPr>
            <w:tcW w:type="dxa" w:w="1746"/>
          </w:tcPr>
          <w:p>
            <w:pPr>
              <w:spacing w:after="20"/>
              <w:jc w:val="left"/>
            </w:pPr>
            <w:r/>
            <w:r>
              <w:rPr>
                <w:rFonts w:ascii="Times New Roman" w:hAnsi="Times New Roman" w:eastAsia="宋体"/>
                <w:color w:val="000000"/>
                <w:sz w:val="20"/>
              </w:rPr>
              <w:t>11,022.61</w:t>
            </w:r>
          </w:p>
        </w:tc>
        <w:tc>
          <w:tcPr>
            <w:tcW w:type="dxa" w:w="1746"/>
          </w:tcPr>
          <w:p>
            <w:pPr>
              <w:spacing w:after="20"/>
              <w:jc w:val="left"/>
            </w:pPr>
            <w:r/>
            <w:r>
              <w:rPr>
                <w:rFonts w:ascii="Times New Roman" w:hAnsi="Times New Roman" w:eastAsia="宋体"/>
                <w:color w:val="000000"/>
                <w:sz w:val="20"/>
              </w:rPr>
              <w:t>AIC = 13,879.53</w:t>
            </w:r>
          </w:p>
        </w:tc>
      </w:tr>
    </w:tbl>
    <w:p>
      <w:pPr>
        <w:spacing w:after="40"/>
      </w:pPr>
    </w:p>
    <w:p>
      <w:pPr>
        <w:spacing w:line="360" w:lineRule="auto" w:after="80"/>
        <w:ind w:firstLine="480"/>
        <w:jc w:val="both"/>
      </w:pPr>
      <w:r>
        <w:rPr>
          <w:rFonts w:ascii="Times New Roman" w:hAnsi="Times New Roman" w:eastAsia="宋体"/>
          <w:b w:val="0"/>
          <w:color w:val="000000"/>
          <w:sz w:val="24"/>
        </w:rPr>
        <w:t>两模型的 RMSE 极为接近（SARIMA 略低 1.3%），但 Holt-Winters 的 MAPE 更低，说明其在相对误差意义上更稳，最终选为预测主模型。MAPE 约 34.7% 这一水平需要客观看待：日频零售销售额本身波动剧烈，且本数据集在 2011 年 12 月初存在月末结账效应，日间序列的信噪比天然偏低；若将序列聚合到周频或月频，平滑后误差会显著下降。这一局限已在第 7 章中如实说明，不因指标不漂亮而回避。</w:t>
      </w:r>
    </w:p>
    <w:p>
      <w:pPr>
        <w:spacing w:line="360" w:lineRule="auto" w:after="80"/>
        <w:ind w:firstLine="480"/>
        <w:jc w:val="both"/>
      </w:pPr>
      <w:r>
        <w:rPr>
          <w:rFonts w:ascii="Times New Roman" w:hAnsi="Times New Roman" w:eastAsia="宋体"/>
          <w:b w:val="0"/>
          <w:color w:val="000000"/>
          <w:sz w:val="24"/>
        </w:rPr>
        <w:t>选出的 Holt-Winters 模型外推未来 30 天，输出</w:t>
      </w:r>
      <w:r>
        <w:rPr>
          <w:rFonts w:ascii="Times New Roman" w:hAnsi="Times New Roman" w:eastAsia="宋体"/>
          <w:b/>
          <w:color w:val="000000"/>
          <w:sz w:val="24"/>
        </w:rPr>
        <w:t>点预测 + 95% 置信区间</w:t>
      </w:r>
      <w:r>
        <w:rPr>
          <w:rFonts w:ascii="Times New Roman" w:hAnsi="Times New Roman" w:eastAsia="宋体"/>
          <w:b w:val="0"/>
          <w:color w:val="000000"/>
          <w:sz w:val="24"/>
        </w:rPr>
        <w:t>（区间下界按 0 截断，因销售额非负）。图 5-6 同时展示了历史序列、回测区间与未来预测带，可以直观看到预测带随时间推移逐步变宽，符合不确定性累积的统计直觉。</w:t>
      </w:r>
    </w:p>
    <w:p>
      <w:pPr>
        <w:keepNext/>
        <w:spacing w:line="360" w:lineRule="auto" w:before="100" w:after="80"/>
        <w:outlineLvl w:val="2"/>
      </w:pPr>
      <w:r>
        <w:rPr>
          <w:rFonts w:ascii="Times New Roman" w:hAnsi="Times New Roman" w:eastAsia="黑体"/>
          <w:b/>
          <w:color w:val="000000"/>
          <w:sz w:val="24"/>
        </w:rPr>
        <w:t>4.3.1 稳健性检验：RFM 切分方式是否影响结论</w:t>
      </w:r>
    </w:p>
    <w:p>
      <w:pPr>
        <w:spacing w:line="360" w:lineRule="auto" w:after="80"/>
        <w:ind w:firstLine="480"/>
        <w:jc w:val="both"/>
      </w:pPr>
      <w:r>
        <w:rPr>
          <w:rFonts w:ascii="Times New Roman" w:hAnsi="Times New Roman" w:eastAsia="宋体"/>
          <w:b w:val="0"/>
          <w:color w:val="000000"/>
          <w:sz w:val="24"/>
        </w:rPr>
        <w:t>参数敏感性是模型可信度的关键。既然 §4.2 以「分布右偏」为由选择中位数切分，就必须回答一个反事实问题：若换成别的主流切分方式，「少数高价值客户贡献大部分营收」这一核心结论还成立吗？本节以 RFM 为例做稳健性检验，对比中位数、均值与 60 分位三种切分，结果见表 4-3（由 scripts/03_analysis.py 自动计算并随流水线重跑，结果表：outputs/tables/03_rfm_threshold_sensitivity.csv）。</w:t>
      </w:r>
    </w:p>
    <w:p>
      <w:pPr>
        <w:spacing w:after="40"/>
        <w:jc w:val="center"/>
      </w:pPr>
      <w:r>
        <w:rPr>
          <w:rFonts w:ascii="Times New Roman" w:hAnsi="Times New Roman" w:eastAsia="黑体"/>
          <w:color w:val="000000"/>
          <w:sz w:val="21"/>
        </w:rPr>
        <w:t>表 4-3  RFM 切分方式稳健性检验（三种阈值方案对比）</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tcPr>
          <w:p>
            <w:pPr>
              <w:jc w:val="center"/>
            </w:pPr>
            <w:r/>
            <w:r>
              <w:rPr>
                <w:rFonts w:ascii="Times New Roman" w:hAnsi="Times New Roman" w:eastAsia="黑体"/>
                <w:b/>
                <w:color w:val="000000"/>
                <w:sz w:val="20"/>
              </w:rPr>
              <w:t>切分方式</w:t>
            </w:r>
          </w:p>
        </w:tc>
        <w:tc>
          <w:tcPr>
            <w:tcW w:type="dxa" w:w="1746"/>
          </w:tcPr>
          <w:p>
            <w:pPr>
              <w:jc w:val="center"/>
            </w:pPr>
            <w:r/>
            <w:r>
              <w:rPr>
                <w:rFonts w:ascii="Times New Roman" w:hAnsi="Times New Roman" w:eastAsia="黑体"/>
                <w:b/>
                <w:color w:val="000000"/>
                <w:sz w:val="20"/>
              </w:rPr>
              <w:t>阈值 R/F/M</w:t>
            </w:r>
          </w:p>
        </w:tc>
        <w:tc>
          <w:tcPr>
            <w:tcW w:type="dxa" w:w="1746"/>
          </w:tcPr>
          <w:p>
            <w:pPr>
              <w:jc w:val="center"/>
            </w:pPr>
            <w:r/>
            <w:r>
              <w:rPr>
                <w:rFonts w:ascii="Times New Roman" w:hAnsi="Times New Roman" w:eastAsia="黑体"/>
                <w:b/>
                <w:color w:val="000000"/>
                <w:sz w:val="20"/>
              </w:rPr>
              <w:t>核心高价值客户数</w:t>
            </w:r>
          </w:p>
        </w:tc>
        <w:tc>
          <w:tcPr>
            <w:tcW w:type="dxa" w:w="1746"/>
          </w:tcPr>
          <w:p>
            <w:pPr>
              <w:jc w:val="center"/>
            </w:pPr>
            <w:r/>
            <w:r>
              <w:rPr>
                <w:rFonts w:ascii="Times New Roman" w:hAnsi="Times New Roman" w:eastAsia="黑体"/>
                <w:b/>
                <w:color w:val="000000"/>
                <w:sz w:val="20"/>
              </w:rPr>
              <w:t>人数占比(%)</w:t>
            </w:r>
          </w:p>
        </w:tc>
        <w:tc>
          <w:tcPr>
            <w:tcW w:type="dxa" w:w="1746"/>
          </w:tcPr>
          <w:p>
            <w:pPr>
              <w:jc w:val="center"/>
            </w:pPr>
            <w:r/>
            <w:r>
              <w:rPr>
                <w:rFonts w:ascii="Times New Roman" w:hAnsi="Times New Roman" w:eastAsia="黑体"/>
                <w:b/>
                <w:color w:val="000000"/>
                <w:sz w:val="20"/>
              </w:rPr>
              <w:t>营收占比(%)</w:t>
            </w:r>
          </w:p>
        </w:tc>
      </w:tr>
      <w:tr>
        <w:tc>
          <w:tcPr>
            <w:tcW w:type="dxa" w:w="1746"/>
          </w:tcPr>
          <w:p>
            <w:pPr>
              <w:spacing w:after="20"/>
              <w:jc w:val="center"/>
            </w:pPr>
            <w:r/>
            <w:r>
              <w:rPr>
                <w:rFonts w:ascii="Times New Roman" w:hAnsi="Times New Roman" w:eastAsia="宋体"/>
                <w:color w:val="000000"/>
                <w:sz w:val="20"/>
              </w:rPr>
              <w:t>中位数（本文采用）</w:t>
            </w:r>
          </w:p>
        </w:tc>
        <w:tc>
          <w:tcPr>
            <w:tcW w:type="dxa" w:w="1746"/>
          </w:tcPr>
          <w:p>
            <w:pPr>
              <w:spacing w:after="20"/>
              <w:jc w:val="left"/>
            </w:pPr>
            <w:r/>
            <w:r>
              <w:rPr>
                <w:rFonts w:ascii="Times New Roman" w:hAnsi="Times New Roman" w:eastAsia="宋体"/>
                <w:color w:val="000000"/>
                <w:sz w:val="20"/>
              </w:rPr>
              <w:t>203 天 / 2.00 次 / £488.69</w:t>
            </w:r>
          </w:p>
        </w:tc>
        <w:tc>
          <w:tcPr>
            <w:tcW w:type="dxa" w:w="1746"/>
          </w:tcPr>
          <w:p>
            <w:pPr>
              <w:spacing w:after="20"/>
              <w:jc w:val="left"/>
            </w:pPr>
            <w:r/>
            <w:r>
              <w:rPr>
                <w:rFonts w:ascii="Times New Roman" w:hAnsi="Times New Roman" w:eastAsia="宋体"/>
                <w:color w:val="000000"/>
                <w:sz w:val="20"/>
              </w:rPr>
              <w:t>1,069</w:t>
            </w:r>
          </w:p>
        </w:tc>
        <w:tc>
          <w:tcPr>
            <w:tcW w:type="dxa" w:w="1746"/>
          </w:tcPr>
          <w:p>
            <w:pPr>
              <w:spacing w:after="20"/>
              <w:jc w:val="left"/>
            </w:pPr>
            <w:r/>
            <w:r>
              <w:rPr>
                <w:rFonts w:ascii="Times New Roman" w:hAnsi="Times New Roman" w:eastAsia="宋体"/>
                <w:color w:val="000000"/>
                <w:sz w:val="20"/>
              </w:rPr>
              <w:t>28.69</w:t>
            </w:r>
          </w:p>
        </w:tc>
        <w:tc>
          <w:tcPr>
            <w:tcW w:type="dxa" w:w="1746"/>
          </w:tcPr>
          <w:p>
            <w:pPr>
              <w:spacing w:after="20"/>
              <w:jc w:val="left"/>
            </w:pPr>
            <w:r/>
            <w:r>
              <w:rPr>
                <w:rFonts w:ascii="Times New Roman" w:hAnsi="Times New Roman" w:eastAsia="宋体"/>
                <w:color w:val="000000"/>
                <w:sz w:val="20"/>
              </w:rPr>
              <w:t>69.99</w:t>
            </w:r>
          </w:p>
        </w:tc>
      </w:tr>
      <w:tr>
        <w:tc>
          <w:tcPr>
            <w:tcW w:type="dxa" w:w="1746"/>
          </w:tcPr>
          <w:p>
            <w:pPr>
              <w:spacing w:after="20"/>
              <w:jc w:val="center"/>
            </w:pPr>
            <w:r/>
            <w:r>
              <w:rPr>
                <w:rFonts w:ascii="Times New Roman" w:hAnsi="Times New Roman" w:eastAsia="宋体"/>
                <w:color w:val="000000"/>
                <w:sz w:val="20"/>
              </w:rPr>
              <w:t>均值</w:t>
            </w:r>
          </w:p>
        </w:tc>
        <w:tc>
          <w:tcPr>
            <w:tcW w:type="dxa" w:w="1746"/>
          </w:tcPr>
          <w:p>
            <w:pPr>
              <w:spacing w:after="20"/>
              <w:jc w:val="left"/>
            </w:pPr>
            <w:r/>
            <w:r>
              <w:rPr>
                <w:rFonts w:ascii="Times New Roman" w:hAnsi="Times New Roman" w:eastAsia="宋体"/>
                <w:color w:val="000000"/>
                <w:sz w:val="20"/>
              </w:rPr>
              <w:t>249 天 / 2.89 次 / £1,329.56</w:t>
            </w:r>
          </w:p>
        </w:tc>
        <w:tc>
          <w:tcPr>
            <w:tcW w:type="dxa" w:w="1746"/>
          </w:tcPr>
          <w:p>
            <w:pPr>
              <w:spacing w:after="20"/>
              <w:jc w:val="left"/>
            </w:pPr>
            <w:r/>
            <w:r>
              <w:rPr>
                <w:rFonts w:ascii="Times New Roman" w:hAnsi="Times New Roman" w:eastAsia="宋体"/>
                <w:color w:val="000000"/>
                <w:sz w:val="20"/>
              </w:rPr>
              <w:t>572</w:t>
            </w:r>
          </w:p>
        </w:tc>
        <w:tc>
          <w:tcPr>
            <w:tcW w:type="dxa" w:w="1746"/>
          </w:tcPr>
          <w:p>
            <w:pPr>
              <w:spacing w:after="20"/>
              <w:jc w:val="left"/>
            </w:pPr>
            <w:r/>
            <w:r>
              <w:rPr>
                <w:rFonts w:ascii="Times New Roman" w:hAnsi="Times New Roman" w:eastAsia="宋体"/>
                <w:color w:val="000000"/>
                <w:sz w:val="20"/>
              </w:rPr>
              <w:t>15.35</w:t>
            </w:r>
          </w:p>
        </w:tc>
        <w:tc>
          <w:tcPr>
            <w:tcW w:type="dxa" w:w="1746"/>
          </w:tcPr>
          <w:p>
            <w:pPr>
              <w:spacing w:after="20"/>
              <w:jc w:val="left"/>
            </w:pPr>
            <w:r/>
            <w:r>
              <w:rPr>
                <w:rFonts w:ascii="Times New Roman" w:hAnsi="Times New Roman" w:eastAsia="宋体"/>
                <w:color w:val="000000"/>
                <w:sz w:val="20"/>
              </w:rPr>
              <w:t>61.43</w:t>
            </w:r>
          </w:p>
        </w:tc>
      </w:tr>
      <w:tr>
        <w:tc>
          <w:tcPr>
            <w:tcW w:type="dxa" w:w="1746"/>
          </w:tcPr>
          <w:p>
            <w:pPr>
              <w:spacing w:after="20"/>
              <w:jc w:val="center"/>
            </w:pPr>
            <w:r/>
            <w:r>
              <w:rPr>
                <w:rFonts w:ascii="Times New Roman" w:hAnsi="Times New Roman" w:eastAsia="宋体"/>
                <w:color w:val="000000"/>
                <w:sz w:val="20"/>
              </w:rPr>
              <w:t>60 分位</w:t>
            </w:r>
          </w:p>
        </w:tc>
        <w:tc>
          <w:tcPr>
            <w:tcW w:type="dxa" w:w="1746"/>
          </w:tcPr>
          <w:p>
            <w:pPr>
              <w:spacing w:after="20"/>
              <w:jc w:val="left"/>
            </w:pPr>
            <w:r/>
            <w:r>
              <w:rPr>
                <w:rFonts w:ascii="Times New Roman" w:hAnsi="Times New Roman" w:eastAsia="宋体"/>
                <w:color w:val="000000"/>
                <w:sz w:val="20"/>
              </w:rPr>
              <w:t>126 天 / 2.00 次 / £671.73</w:t>
            </w:r>
          </w:p>
        </w:tc>
        <w:tc>
          <w:tcPr>
            <w:tcW w:type="dxa" w:w="1746"/>
          </w:tcPr>
          <w:p>
            <w:pPr>
              <w:spacing w:after="20"/>
              <w:jc w:val="left"/>
            </w:pPr>
            <w:r/>
            <w:r>
              <w:rPr>
                <w:rFonts w:ascii="Times New Roman" w:hAnsi="Times New Roman" w:eastAsia="宋体"/>
                <w:color w:val="000000"/>
                <w:sz w:val="20"/>
              </w:rPr>
              <w:t>784</w:t>
            </w:r>
          </w:p>
        </w:tc>
        <w:tc>
          <w:tcPr>
            <w:tcW w:type="dxa" w:w="1746"/>
          </w:tcPr>
          <w:p>
            <w:pPr>
              <w:spacing w:after="20"/>
              <w:jc w:val="left"/>
            </w:pPr>
            <w:r/>
            <w:r>
              <w:rPr>
                <w:rFonts w:ascii="Times New Roman" w:hAnsi="Times New Roman" w:eastAsia="宋体"/>
                <w:color w:val="000000"/>
                <w:sz w:val="20"/>
              </w:rPr>
              <w:t>21.04</w:t>
            </w:r>
          </w:p>
        </w:tc>
        <w:tc>
          <w:tcPr>
            <w:tcW w:type="dxa" w:w="1746"/>
          </w:tcPr>
          <w:p>
            <w:pPr>
              <w:spacing w:after="20"/>
              <w:jc w:val="left"/>
            </w:pPr>
            <w:r/>
            <w:r>
              <w:rPr>
                <w:rFonts w:ascii="Times New Roman" w:hAnsi="Times New Roman" w:eastAsia="宋体"/>
                <w:color w:val="000000"/>
                <w:sz w:val="20"/>
              </w:rPr>
              <w:t>62.84</w:t>
            </w:r>
          </w:p>
        </w:tc>
      </w:tr>
    </w:tbl>
    <w:p>
      <w:pPr>
        <w:spacing w:after="40"/>
      </w:pPr>
    </w:p>
    <w:p>
      <w:pPr>
        <w:spacing w:line="360" w:lineRule="auto" w:after="80"/>
        <w:ind w:firstLine="480"/>
        <w:jc w:val="both"/>
      </w:pPr>
      <w:r>
        <w:rPr>
          <w:rFonts w:ascii="Times New Roman" w:hAnsi="Times New Roman" w:eastAsia="宋体"/>
          <w:b w:val="0"/>
          <w:color w:val="000000"/>
          <w:sz w:val="24"/>
        </w:rPr>
        <w:t>三种方案下的核心客群规模在 572—1,069 人之间变动，营收占比在 61.43%—69.99% 之间变动，</w:t>
      </w:r>
      <w:r>
        <w:rPr>
          <w:rFonts w:ascii="Times New Roman" w:hAnsi="Times New Roman" w:eastAsia="宋体"/>
          <w:b/>
          <w:color w:val="000000"/>
          <w:sz w:val="24"/>
        </w:rPr>
        <w:t>结论的方向始终一致</w:t>
      </w:r>
      <w:r>
        <w:rPr>
          <w:rFonts w:ascii="Times New Roman" w:hAnsi="Times New Roman" w:eastAsia="宋体"/>
          <w:b w:val="0"/>
          <w:color w:val="000000"/>
          <w:sz w:val="24"/>
        </w:rPr>
        <w:t>：不足三成的客户贡献了六成以上的营收，客户价值高度集中这一结构性判断并不依赖于特定的阈值选择，因而可以放心用于商业决策。</w:t>
      </w:r>
    </w:p>
    <w:p>
      <w:pPr>
        <w:spacing w:line="360" w:lineRule="auto" w:after="80"/>
        <w:ind w:firstLine="480"/>
        <w:jc w:val="both"/>
      </w:pPr>
      <w:r>
        <w:rPr>
          <w:rFonts w:ascii="Times New Roman" w:hAnsi="Times New Roman" w:eastAsia="宋体"/>
          <w:b w:val="0"/>
          <w:color w:val="000000"/>
          <w:sz w:val="24"/>
        </w:rPr>
        <w:t>同时也应看到差异本身的信息量：均值切分下核心客群骤降至 572 人（15.35%），正是因为 Monetary 均值（£1,329.56）被少数批发大客拉高到中位数（£488.69）的 2.7 倍，大量中等消费客户被误判为「低价值」。这恰恰反向印证了 §4.2 选择中位数的理由——若采用均值，运营上会白白损失约 500 人的可运营高潜客群。本文在正文结论中采用中位数方案，但同时报告敏感性区间，以避免读者把单一阈值下的点估计当作精确事实。</w:t>
      </w:r>
    </w:p>
    <w:p>
      <w:pPr>
        <w:keepNext/>
        <w:spacing w:line="360" w:lineRule="auto" w:before="100" w:after="80"/>
        <w:outlineLvl w:val="2"/>
      </w:pPr>
      <w:r>
        <w:rPr>
          <w:rFonts w:ascii="Times New Roman" w:hAnsi="Times New Roman" w:eastAsia="黑体"/>
          <w:b/>
          <w:color w:val="000000"/>
          <w:sz w:val="24"/>
        </w:rPr>
        <w:t>4.3.2 稳健性检验：K = 2 是数据本身的断点，而非参数没调好</w:t>
      </w:r>
    </w:p>
    <w:p>
      <w:pPr>
        <w:spacing w:line="360" w:lineRule="auto" w:after="80"/>
        <w:ind w:firstLine="480"/>
        <w:jc w:val="both"/>
      </w:pPr>
      <w:r>
        <w:rPr>
          <w:rFonts w:ascii="Times New Roman" w:hAnsi="Times New Roman" w:eastAsia="宋体"/>
          <w:b w:val="0"/>
          <w:color w:val="000000"/>
          <w:sz w:val="24"/>
        </w:rPr>
        <w:t>K-Means 最终只分出两个簇，容易被质疑「分得太粗、洞察不足」。本节用三组独立证据说明：K = 2 是数据结构给出的答案，不是调参偷懒的结果。</w:t>
      </w:r>
    </w:p>
    <w:p>
      <w:pPr>
        <w:spacing w:line="360" w:lineRule="auto" w:after="80"/>
        <w:ind w:firstLine="480"/>
        <w:jc w:val="both"/>
      </w:pPr>
      <w:r>
        <w:rPr>
          <w:rFonts w:ascii="Times New Roman" w:hAnsi="Times New Roman" w:eastAsia="宋体"/>
          <w:b/>
          <w:color w:val="000000"/>
          <w:sz w:val="24"/>
        </w:rPr>
        <w:t>证据一：预处理方式的影响（表 4-4）。</w:t>
      </w:r>
      <w:r>
        <w:rPr>
          <w:rFonts w:ascii="Times New Roman" w:hAnsi="Times New Roman" w:eastAsia="宋体"/>
          <w:b w:val="0"/>
          <w:color w:val="000000"/>
          <w:sz w:val="24"/>
        </w:rPr>
        <w:t xml:space="preserve"> 同一份 R/F/M 数据、同一个 K = 2、同一随机种子，仅改变特征预处理方式，轮廓系数就从 0.4271 变为 0.7412。这说明此前的低分并非「客户本就分不开」，而是未纠正偏态导致簇结构被极端值压扁。</w:t>
      </w:r>
    </w:p>
    <w:p>
      <w:pPr>
        <w:spacing w:after="40"/>
        <w:jc w:val="center"/>
      </w:pPr>
      <w:r>
        <w:rPr>
          <w:rFonts w:ascii="Times New Roman" w:hAnsi="Times New Roman" w:eastAsia="黑体"/>
          <w:color w:val="000000"/>
          <w:sz w:val="21"/>
        </w:rPr>
        <w:t>表 4-4  特征预处理方式对簇分离度的影响（K=2，同一随机种子）</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jc w:val="center"/>
            </w:pPr>
            <w:r/>
            <w:r>
              <w:rPr>
                <w:rFonts w:ascii="Times New Roman" w:hAnsi="Times New Roman" w:eastAsia="黑体"/>
                <w:b/>
                <w:color w:val="000000"/>
                <w:sz w:val="20"/>
              </w:rPr>
              <w:t>预处理方式</w:t>
            </w:r>
          </w:p>
        </w:tc>
        <w:tc>
          <w:tcPr>
            <w:tcW w:type="dxa" w:w="2183"/>
          </w:tcPr>
          <w:p>
            <w:pPr>
              <w:jc w:val="center"/>
            </w:pPr>
            <w:r/>
            <w:r>
              <w:rPr>
                <w:rFonts w:ascii="Times New Roman" w:hAnsi="Times New Roman" w:eastAsia="黑体"/>
                <w:b/>
                <w:color w:val="000000"/>
                <w:sz w:val="20"/>
              </w:rPr>
              <w:t>对偏态的处理</w:t>
            </w:r>
          </w:p>
        </w:tc>
        <w:tc>
          <w:tcPr>
            <w:tcW w:type="dxa" w:w="2183"/>
          </w:tcPr>
          <w:p>
            <w:pPr>
              <w:jc w:val="center"/>
            </w:pPr>
            <w:r/>
            <w:r>
              <w:rPr>
                <w:rFonts w:ascii="Times New Roman" w:hAnsi="Times New Roman" w:eastAsia="黑体"/>
                <w:b/>
                <w:color w:val="000000"/>
                <w:sz w:val="20"/>
              </w:rPr>
              <w:t>轮廓系数</w:t>
            </w:r>
          </w:p>
        </w:tc>
        <w:tc>
          <w:tcPr>
            <w:tcW w:type="dxa" w:w="2183"/>
          </w:tcPr>
          <w:p>
            <w:pPr>
              <w:jc w:val="center"/>
            </w:pPr>
            <w:r/>
            <w:r>
              <w:rPr>
                <w:rFonts w:ascii="Times New Roman" w:hAnsi="Times New Roman" w:eastAsia="黑体"/>
                <w:b/>
                <w:color w:val="000000"/>
                <w:sz w:val="20"/>
              </w:rPr>
              <w:t>结论</w:t>
            </w:r>
          </w:p>
        </w:tc>
      </w:tr>
      <w:tr>
        <w:tc>
          <w:tcPr>
            <w:tcW w:type="dxa" w:w="2183"/>
          </w:tcPr>
          <w:p>
            <w:pPr>
              <w:spacing w:after="20"/>
              <w:jc w:val="center"/>
            </w:pPr>
            <w:r/>
            <w:r>
              <w:rPr>
                <w:rFonts w:ascii="Times New Roman" w:hAnsi="Times New Roman" w:eastAsia="宋体"/>
                <w:color w:val="000000"/>
                <w:sz w:val="20"/>
              </w:rPr>
              <w:t>log1p + Z-score</w:t>
            </w:r>
          </w:p>
        </w:tc>
        <w:tc>
          <w:tcPr>
            <w:tcW w:type="dxa" w:w="2183"/>
          </w:tcPr>
          <w:p>
            <w:pPr>
              <w:spacing w:after="20"/>
              <w:jc w:val="left"/>
            </w:pPr>
            <w:r/>
            <w:r>
              <w:rPr>
                <w:rFonts w:ascii="Times New Roman" w:hAnsi="Times New Roman" w:eastAsia="宋体"/>
                <w:color w:val="000000"/>
                <w:sz w:val="20"/>
              </w:rPr>
              <w:t>仅压缩量级，分布形态仍右偏</w:t>
            </w:r>
          </w:p>
        </w:tc>
        <w:tc>
          <w:tcPr>
            <w:tcW w:type="dxa" w:w="2183"/>
          </w:tcPr>
          <w:p>
            <w:pPr>
              <w:spacing w:after="20"/>
              <w:jc w:val="left"/>
            </w:pPr>
            <w:r/>
            <w:r>
              <w:rPr>
                <w:rFonts w:ascii="Times New Roman" w:hAnsi="Times New Roman" w:eastAsia="宋体"/>
                <w:color w:val="000000"/>
                <w:sz w:val="20"/>
              </w:rPr>
              <w:t>0.4271</w:t>
            </w:r>
          </w:p>
        </w:tc>
        <w:tc>
          <w:tcPr>
            <w:tcW w:type="dxa" w:w="2183"/>
          </w:tcPr>
          <w:p>
            <w:pPr>
              <w:spacing w:after="20"/>
              <w:jc w:val="left"/>
            </w:pPr>
            <w:r/>
            <w:r>
              <w:rPr>
                <w:rFonts w:ascii="Times New Roman" w:hAnsi="Times New Roman" w:eastAsia="宋体"/>
                <w:color w:val="000000"/>
                <w:sz w:val="20"/>
              </w:rPr>
              <w:t>簇分离勉强，不采用</w:t>
            </w:r>
          </w:p>
        </w:tc>
      </w:tr>
      <w:tr>
        <w:tc>
          <w:tcPr>
            <w:tcW w:type="dxa" w:w="2183"/>
          </w:tcPr>
          <w:p>
            <w:pPr>
              <w:spacing w:after="20"/>
              <w:jc w:val="center"/>
            </w:pPr>
            <w:r/>
            <w:r>
              <w:rPr>
                <w:rFonts w:ascii="Times New Roman" w:hAnsi="Times New Roman" w:eastAsia="宋体"/>
                <w:color w:val="000000"/>
                <w:sz w:val="20"/>
              </w:rPr>
              <w:t>99% 缩尾 + log1p + Z-score</w:t>
            </w:r>
          </w:p>
        </w:tc>
        <w:tc>
          <w:tcPr>
            <w:tcW w:type="dxa" w:w="2183"/>
          </w:tcPr>
          <w:p>
            <w:pPr>
              <w:spacing w:after="20"/>
              <w:jc w:val="left"/>
            </w:pPr>
            <w:r/>
            <w:r>
              <w:rPr>
                <w:rFonts w:ascii="Times New Roman" w:hAnsi="Times New Roman" w:eastAsia="宋体"/>
                <w:color w:val="000000"/>
                <w:sz w:val="20"/>
              </w:rPr>
              <w:t>截断极值，中段分布仍偏</w:t>
            </w:r>
          </w:p>
        </w:tc>
        <w:tc>
          <w:tcPr>
            <w:tcW w:type="dxa" w:w="2183"/>
          </w:tcPr>
          <w:p>
            <w:pPr>
              <w:spacing w:after="20"/>
              <w:jc w:val="left"/>
            </w:pPr>
            <w:r/>
            <w:r>
              <w:rPr>
                <w:rFonts w:ascii="Times New Roman" w:hAnsi="Times New Roman" w:eastAsia="宋体"/>
                <w:color w:val="000000"/>
                <w:sz w:val="20"/>
              </w:rPr>
              <w:t>0.4269</w:t>
            </w:r>
          </w:p>
        </w:tc>
        <w:tc>
          <w:tcPr>
            <w:tcW w:type="dxa" w:w="2183"/>
          </w:tcPr>
          <w:p>
            <w:pPr>
              <w:spacing w:after="20"/>
              <w:jc w:val="left"/>
            </w:pPr>
            <w:r/>
            <w:r>
              <w:rPr>
                <w:rFonts w:ascii="Times New Roman" w:hAnsi="Times New Roman" w:eastAsia="宋体"/>
                <w:color w:val="000000"/>
                <w:sz w:val="20"/>
              </w:rPr>
              <w:t>几乎无改善，不采用</w:t>
            </w:r>
          </w:p>
        </w:tc>
      </w:tr>
      <w:tr>
        <w:tc>
          <w:tcPr>
            <w:tcW w:type="dxa" w:w="2183"/>
          </w:tcPr>
          <w:p>
            <w:pPr>
              <w:spacing w:after="20"/>
              <w:jc w:val="center"/>
            </w:pPr>
            <w:r/>
            <w:r>
              <w:rPr>
                <w:rFonts w:ascii="Times New Roman" w:hAnsi="Times New Roman" w:eastAsia="宋体"/>
                <w:color w:val="000000"/>
                <w:sz w:val="20"/>
              </w:rPr>
              <w:t>分位数变换 → 正态分布</w:t>
            </w:r>
          </w:p>
        </w:tc>
        <w:tc>
          <w:tcPr>
            <w:tcW w:type="dxa" w:w="2183"/>
          </w:tcPr>
          <w:p>
            <w:pPr>
              <w:spacing w:after="20"/>
              <w:jc w:val="left"/>
            </w:pPr>
            <w:r/>
            <w:r>
              <w:rPr>
                <w:rFonts w:ascii="Times New Roman" w:hAnsi="Times New Roman" w:eastAsia="宋体"/>
                <w:color w:val="000000"/>
                <w:sz w:val="20"/>
              </w:rPr>
              <w:t>整体映射为正态，彻底消除偏态</w:t>
            </w:r>
          </w:p>
        </w:tc>
        <w:tc>
          <w:tcPr>
            <w:tcW w:type="dxa" w:w="2183"/>
          </w:tcPr>
          <w:p>
            <w:pPr>
              <w:spacing w:after="20"/>
              <w:jc w:val="left"/>
            </w:pPr>
            <w:r/>
            <w:r>
              <w:rPr>
                <w:rFonts w:ascii="Times New Roman" w:hAnsi="Times New Roman" w:eastAsia="宋体"/>
                <w:color w:val="000000"/>
                <w:sz w:val="20"/>
              </w:rPr>
              <w:t>0.7412</w:t>
            </w:r>
          </w:p>
        </w:tc>
        <w:tc>
          <w:tcPr>
            <w:tcW w:type="dxa" w:w="2183"/>
          </w:tcPr>
          <w:p>
            <w:pPr>
              <w:spacing w:after="20"/>
              <w:jc w:val="left"/>
            </w:pPr>
            <w:r/>
            <w:r>
              <w:rPr>
                <w:rFonts w:ascii="Times New Roman" w:hAnsi="Times New Roman" w:eastAsia="宋体"/>
                <w:color w:val="000000"/>
                <w:sz w:val="20"/>
              </w:rPr>
              <w:t>结构清晰，本文采用</w:t>
            </w:r>
          </w:p>
        </w:tc>
      </w:tr>
    </w:tbl>
    <w:p>
      <w:pPr>
        <w:spacing w:after="40"/>
      </w:pPr>
    </w:p>
    <w:p>
      <w:pPr>
        <w:spacing w:line="360" w:lineRule="auto" w:after="80"/>
        <w:ind w:firstLine="480"/>
        <w:jc w:val="both"/>
      </w:pPr>
      <w:r>
        <w:rPr>
          <w:rFonts w:ascii="Times New Roman" w:hAnsi="Times New Roman" w:eastAsia="宋体"/>
          <w:b/>
          <w:color w:val="000000"/>
          <w:sz w:val="24"/>
        </w:rPr>
        <w:t>证据二：特征集与算法的消融对比（表 4-5）。</w:t>
      </w:r>
      <w:r>
        <w:rPr>
          <w:rFonts w:ascii="Times New Roman" w:hAnsi="Times New Roman" w:eastAsia="宋体"/>
          <w:b w:val="0"/>
          <w:color w:val="000000"/>
          <w:sz w:val="24"/>
        </w:rPr>
        <w:t xml:space="preserve"> 直觉上「多加几个特征应该分得更好」，实测结论相反：追加客单价（AOV）后轮廓系数降至 0.6808——因为 AOV 本就是 Monetary 除以 Frequency，与既有两维高度共线，等于给同一信息加了重复权重；再追加客户生命周期（Tenure）后进一步降至 0.6364，该变量刻画的是「入会多久」而非「价值高低」，引入的是噪声。换用 Ward 层次聚类或高斯混合模型，在 K = 2 时三种算法给出</w:t>
      </w:r>
      <w:r>
        <w:rPr>
          <w:rFonts w:ascii="Times New Roman" w:hAnsi="Times New Roman" w:eastAsia="宋体"/>
          <w:b/>
          <w:color w:val="000000"/>
          <w:sz w:val="24"/>
        </w:rPr>
        <w:t>完全相同</w:t>
      </w:r>
      <w:r>
        <w:rPr>
          <w:rFonts w:ascii="Times New Roman" w:hAnsi="Times New Roman" w:eastAsia="宋体"/>
          <w:b w:val="0"/>
          <w:color w:val="000000"/>
          <w:sz w:val="24"/>
        </w:rPr>
        <w:t>的划分，说明该解与算法无关；而在 K ≥ 3 时三种算法开始出现分歧（如 K = 3：K-Means 0.5261、Ward 0.5510、GMM 0.5480），说明更大的 K 切出的是算法特定的划分，而非数据中稳定存在的结构。因此最终采用 R/F/M 三维 + K-Means + K = 2。</w:t>
      </w:r>
    </w:p>
    <w:p>
      <w:pPr>
        <w:spacing w:after="40"/>
        <w:jc w:val="center"/>
      </w:pPr>
      <w:r>
        <w:rPr>
          <w:rFonts w:ascii="Times New Roman" w:hAnsi="Times New Roman" w:eastAsia="黑体"/>
          <w:color w:val="000000"/>
          <w:sz w:val="21"/>
        </w:rPr>
        <w:t>表 4-5  特征集 × 算法选型对比（K=2，轮廓系数）</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tcPr>
          <w:p>
            <w:pPr>
              <w:jc w:val="center"/>
            </w:pPr>
            <w:r/>
            <w:r>
              <w:rPr>
                <w:rFonts w:ascii="Times New Roman" w:hAnsi="Times New Roman" w:eastAsia="黑体"/>
                <w:b/>
                <w:color w:val="000000"/>
                <w:sz w:val="20"/>
              </w:rPr>
              <w:t>特征集</w:t>
            </w:r>
          </w:p>
        </w:tc>
        <w:tc>
          <w:tcPr>
            <w:tcW w:type="dxa" w:w="1746"/>
          </w:tcPr>
          <w:p>
            <w:pPr>
              <w:jc w:val="center"/>
            </w:pPr>
            <w:r/>
            <w:r>
              <w:rPr>
                <w:rFonts w:ascii="Times New Roman" w:hAnsi="Times New Roman" w:eastAsia="黑体"/>
                <w:b/>
                <w:color w:val="000000"/>
                <w:sz w:val="20"/>
              </w:rPr>
              <w:t>K-Means</w:t>
            </w:r>
          </w:p>
        </w:tc>
        <w:tc>
          <w:tcPr>
            <w:tcW w:type="dxa" w:w="1746"/>
          </w:tcPr>
          <w:p>
            <w:pPr>
              <w:jc w:val="center"/>
            </w:pPr>
            <w:r/>
            <w:r>
              <w:rPr>
                <w:rFonts w:ascii="Times New Roman" w:hAnsi="Times New Roman" w:eastAsia="黑体"/>
                <w:b/>
                <w:color w:val="000000"/>
                <w:sz w:val="20"/>
              </w:rPr>
              <w:t>Ward 层次聚类</w:t>
            </w:r>
          </w:p>
        </w:tc>
        <w:tc>
          <w:tcPr>
            <w:tcW w:type="dxa" w:w="1746"/>
          </w:tcPr>
          <w:p>
            <w:pPr>
              <w:jc w:val="center"/>
            </w:pPr>
            <w:r/>
            <w:r>
              <w:rPr>
                <w:rFonts w:ascii="Times New Roman" w:hAnsi="Times New Roman" w:eastAsia="黑体"/>
                <w:b/>
                <w:color w:val="000000"/>
                <w:sz w:val="20"/>
              </w:rPr>
              <w:t>高斯混合 GMM</w:t>
            </w:r>
          </w:p>
        </w:tc>
        <w:tc>
          <w:tcPr>
            <w:tcW w:type="dxa" w:w="1746"/>
          </w:tcPr>
          <w:p>
            <w:pPr>
              <w:jc w:val="center"/>
            </w:pPr>
            <w:r/>
            <w:r>
              <w:rPr>
                <w:rFonts w:ascii="Times New Roman" w:hAnsi="Times New Roman" w:eastAsia="黑体"/>
                <w:b/>
                <w:color w:val="000000"/>
                <w:sz w:val="20"/>
              </w:rPr>
              <w:t>最小簇规模</w:t>
            </w:r>
          </w:p>
        </w:tc>
      </w:tr>
      <w:tr>
        <w:tc>
          <w:tcPr>
            <w:tcW w:type="dxa" w:w="1746"/>
          </w:tcPr>
          <w:p>
            <w:pPr>
              <w:spacing w:after="20"/>
              <w:jc w:val="center"/>
            </w:pPr>
            <w:r/>
            <w:r>
              <w:rPr>
                <w:rFonts w:ascii="Times New Roman" w:hAnsi="Times New Roman" w:eastAsia="宋体"/>
                <w:color w:val="000000"/>
                <w:sz w:val="20"/>
              </w:rPr>
              <w:t>A：R/F/M 三维（采用）</w:t>
            </w:r>
          </w:p>
        </w:tc>
        <w:tc>
          <w:tcPr>
            <w:tcW w:type="dxa" w:w="1746"/>
          </w:tcPr>
          <w:p>
            <w:pPr>
              <w:spacing w:after="20"/>
              <w:jc w:val="left"/>
            </w:pPr>
            <w:r/>
            <w:r>
              <w:rPr>
                <w:rFonts w:ascii="Times New Roman" w:hAnsi="Times New Roman" w:eastAsia="宋体"/>
                <w:color w:val="000000"/>
                <w:sz w:val="20"/>
              </w:rPr>
              <w:t>0.7412</w:t>
            </w:r>
          </w:p>
        </w:tc>
        <w:tc>
          <w:tcPr>
            <w:tcW w:type="dxa" w:w="1746"/>
          </w:tcPr>
          <w:p>
            <w:pPr>
              <w:spacing w:after="20"/>
              <w:jc w:val="left"/>
            </w:pPr>
            <w:r/>
            <w:r>
              <w:rPr>
                <w:rFonts w:ascii="Times New Roman" w:hAnsi="Times New Roman" w:eastAsia="宋体"/>
                <w:color w:val="000000"/>
                <w:sz w:val="20"/>
              </w:rPr>
              <w:t>0.7412</w:t>
            </w:r>
          </w:p>
        </w:tc>
        <w:tc>
          <w:tcPr>
            <w:tcW w:type="dxa" w:w="1746"/>
          </w:tcPr>
          <w:p>
            <w:pPr>
              <w:spacing w:after="20"/>
              <w:jc w:val="left"/>
            </w:pPr>
            <w:r/>
            <w:r>
              <w:rPr>
                <w:rFonts w:ascii="Times New Roman" w:hAnsi="Times New Roman" w:eastAsia="宋体"/>
                <w:color w:val="000000"/>
                <w:sz w:val="20"/>
              </w:rPr>
              <w:t>0.7412</w:t>
            </w:r>
          </w:p>
        </w:tc>
        <w:tc>
          <w:tcPr>
            <w:tcW w:type="dxa" w:w="1746"/>
          </w:tcPr>
          <w:p>
            <w:pPr>
              <w:spacing w:after="20"/>
              <w:jc w:val="left"/>
            </w:pPr>
            <w:r/>
            <w:r>
              <w:rPr>
                <w:rFonts w:ascii="Times New Roman" w:hAnsi="Times New Roman" w:eastAsia="宋体"/>
                <w:color w:val="000000"/>
                <w:sz w:val="20"/>
              </w:rPr>
              <w:t>1,761</w:t>
            </w:r>
          </w:p>
        </w:tc>
      </w:tr>
      <w:tr>
        <w:tc>
          <w:tcPr>
            <w:tcW w:type="dxa" w:w="1746"/>
          </w:tcPr>
          <w:p>
            <w:pPr>
              <w:spacing w:after="20"/>
              <w:jc w:val="center"/>
            </w:pPr>
            <w:r/>
            <w:r>
              <w:rPr>
                <w:rFonts w:ascii="Times New Roman" w:hAnsi="Times New Roman" w:eastAsia="宋体"/>
                <w:color w:val="000000"/>
                <w:sz w:val="20"/>
              </w:rPr>
              <w:t>B：A + 客单价 AOV</w:t>
            </w:r>
          </w:p>
        </w:tc>
        <w:tc>
          <w:tcPr>
            <w:tcW w:type="dxa" w:w="1746"/>
          </w:tcPr>
          <w:p>
            <w:pPr>
              <w:spacing w:after="20"/>
              <w:jc w:val="left"/>
            </w:pPr>
            <w:r/>
            <w:r>
              <w:rPr>
                <w:rFonts w:ascii="Times New Roman" w:hAnsi="Times New Roman" w:eastAsia="宋体"/>
                <w:color w:val="000000"/>
                <w:sz w:val="20"/>
              </w:rPr>
              <w:t>0.6808</w:t>
            </w:r>
          </w:p>
        </w:tc>
        <w:tc>
          <w:tcPr>
            <w:tcW w:type="dxa" w:w="1746"/>
          </w:tcPr>
          <w:p>
            <w:pPr>
              <w:spacing w:after="20"/>
              <w:jc w:val="left"/>
            </w:pPr>
            <w:r/>
            <w:r>
              <w:rPr>
                <w:rFonts w:ascii="Times New Roman" w:hAnsi="Times New Roman" w:eastAsia="宋体"/>
                <w:color w:val="000000"/>
                <w:sz w:val="20"/>
              </w:rPr>
              <w:t>0.6808</w:t>
            </w:r>
          </w:p>
        </w:tc>
        <w:tc>
          <w:tcPr>
            <w:tcW w:type="dxa" w:w="1746"/>
          </w:tcPr>
          <w:p>
            <w:pPr>
              <w:spacing w:after="20"/>
              <w:jc w:val="left"/>
            </w:pPr>
            <w:r/>
            <w:r>
              <w:rPr>
                <w:rFonts w:ascii="Times New Roman" w:hAnsi="Times New Roman" w:eastAsia="宋体"/>
                <w:color w:val="000000"/>
                <w:sz w:val="20"/>
              </w:rPr>
              <w:t>0.6808</w:t>
            </w:r>
          </w:p>
        </w:tc>
        <w:tc>
          <w:tcPr>
            <w:tcW w:type="dxa" w:w="1746"/>
          </w:tcPr>
          <w:p>
            <w:pPr>
              <w:spacing w:after="20"/>
              <w:jc w:val="left"/>
            </w:pPr>
            <w:r/>
            <w:r>
              <w:rPr>
                <w:rFonts w:ascii="Times New Roman" w:hAnsi="Times New Roman" w:eastAsia="宋体"/>
                <w:color w:val="000000"/>
                <w:sz w:val="20"/>
              </w:rPr>
              <w:t>1,761</w:t>
            </w:r>
          </w:p>
        </w:tc>
      </w:tr>
      <w:tr>
        <w:tc>
          <w:tcPr>
            <w:tcW w:type="dxa" w:w="1746"/>
          </w:tcPr>
          <w:p>
            <w:pPr>
              <w:spacing w:after="20"/>
              <w:jc w:val="center"/>
            </w:pPr>
            <w:r/>
            <w:r>
              <w:rPr>
                <w:rFonts w:ascii="Times New Roman" w:hAnsi="Times New Roman" w:eastAsia="宋体"/>
                <w:color w:val="000000"/>
                <w:sz w:val="20"/>
              </w:rPr>
              <w:t>C：B + 生命周期 Tenure</w:t>
            </w:r>
          </w:p>
        </w:tc>
        <w:tc>
          <w:tcPr>
            <w:tcW w:type="dxa" w:w="1746"/>
          </w:tcPr>
          <w:p>
            <w:pPr>
              <w:spacing w:after="20"/>
              <w:jc w:val="left"/>
            </w:pPr>
            <w:r/>
            <w:r>
              <w:rPr>
                <w:rFonts w:ascii="Times New Roman" w:hAnsi="Times New Roman" w:eastAsia="宋体"/>
                <w:color w:val="000000"/>
                <w:sz w:val="20"/>
              </w:rPr>
              <w:t>0.6364</w:t>
            </w:r>
          </w:p>
        </w:tc>
        <w:tc>
          <w:tcPr>
            <w:tcW w:type="dxa" w:w="1746"/>
          </w:tcPr>
          <w:p>
            <w:pPr>
              <w:spacing w:after="20"/>
              <w:jc w:val="left"/>
            </w:pPr>
            <w:r/>
            <w:r>
              <w:rPr>
                <w:rFonts w:ascii="Times New Roman" w:hAnsi="Times New Roman" w:eastAsia="宋体"/>
                <w:color w:val="000000"/>
                <w:sz w:val="20"/>
              </w:rPr>
              <w:t>0.6364</w:t>
            </w:r>
          </w:p>
        </w:tc>
        <w:tc>
          <w:tcPr>
            <w:tcW w:type="dxa" w:w="1746"/>
          </w:tcPr>
          <w:p>
            <w:pPr>
              <w:spacing w:after="20"/>
              <w:jc w:val="left"/>
            </w:pPr>
            <w:r/>
            <w:r>
              <w:rPr>
                <w:rFonts w:ascii="Times New Roman" w:hAnsi="Times New Roman" w:eastAsia="宋体"/>
                <w:color w:val="000000"/>
                <w:sz w:val="20"/>
              </w:rPr>
              <w:t>0.6364</w:t>
            </w:r>
          </w:p>
        </w:tc>
        <w:tc>
          <w:tcPr>
            <w:tcW w:type="dxa" w:w="1746"/>
          </w:tcPr>
          <w:p>
            <w:pPr>
              <w:spacing w:after="20"/>
              <w:jc w:val="left"/>
            </w:pPr>
            <w:r/>
            <w:r>
              <w:rPr>
                <w:rFonts w:ascii="Times New Roman" w:hAnsi="Times New Roman" w:eastAsia="宋体"/>
                <w:color w:val="000000"/>
                <w:sz w:val="20"/>
              </w:rPr>
              <w:t>1,761</w:t>
            </w:r>
          </w:p>
        </w:tc>
      </w:tr>
    </w:tbl>
    <w:p>
      <w:pPr>
        <w:spacing w:after="40"/>
      </w:pPr>
    </w:p>
    <w:p>
      <w:pPr>
        <w:spacing w:line="360" w:lineRule="auto" w:after="80"/>
        <w:ind w:firstLine="480"/>
        <w:jc w:val="both"/>
      </w:pPr>
      <w:r>
        <w:rPr>
          <w:rFonts w:ascii="Times New Roman" w:hAnsi="Times New Roman" w:eastAsia="宋体"/>
          <w:b/>
          <w:color w:val="000000"/>
          <w:sz w:val="24"/>
        </w:rPr>
        <w:t>证据三：簇划分的样本稳定性（表 4-6）。</w:t>
      </w:r>
      <w:r>
        <w:rPr>
          <w:rFonts w:ascii="Times New Roman" w:hAnsi="Times New Roman" w:eastAsia="宋体"/>
          <w:b w:val="0"/>
          <w:color w:val="000000"/>
          <w:sz w:val="24"/>
        </w:rPr>
        <w:t xml:space="preserve"> 对 3,726 名客户做有放回重采样 100 次，每次重新聚类，用调整兰德指数（ARI，取值 −1~1，1 表示两次划分完全相同）衡量重采样结果与全量结果的一致程度。K = 2 时 ARI 均值达到 </w:t>
      </w:r>
      <w:r>
        <w:rPr>
          <w:rFonts w:ascii="Times New Roman" w:hAnsi="Times New Roman" w:eastAsia="宋体"/>
          <w:b/>
          <w:color w:val="000000"/>
          <w:sz w:val="24"/>
        </w:rPr>
        <w:t>1.0000</w:t>
      </w:r>
      <w:r>
        <w:rPr>
          <w:rFonts w:ascii="Times New Roman" w:hAnsi="Times New Roman" w:eastAsia="宋体"/>
          <w:b w:val="0"/>
          <w:color w:val="000000"/>
          <w:sz w:val="24"/>
        </w:rPr>
        <w:t>，即无论怎么扰动样本，划分结果纹丝不动；而 K 增大后稳定性单调下降，K = 6 时仅 0.7770。这既证明 K = 2 的解极其稳定，也说明更大的 K 是在噪声上强行切分。</w:t>
      </w:r>
    </w:p>
    <w:p>
      <w:pPr>
        <w:spacing w:after="40"/>
        <w:jc w:val="center"/>
      </w:pPr>
      <w:r>
        <w:rPr>
          <w:rFonts w:ascii="Times New Roman" w:hAnsi="Times New Roman" w:eastAsia="黑体"/>
          <w:color w:val="000000"/>
          <w:sz w:val="21"/>
        </w:rPr>
        <w:t>表 4-6  聚类结果的 bootstrap 稳定性（重采样 100 次，ARI）</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455"/>
          </w:tcPr>
          <w:p>
            <w:pPr>
              <w:jc w:val="center"/>
            </w:pPr>
            <w:r/>
            <w:r>
              <w:rPr>
                <w:rFonts w:ascii="Times New Roman" w:hAnsi="Times New Roman" w:eastAsia="黑体"/>
                <w:b/>
                <w:color w:val="000000"/>
                <w:sz w:val="20"/>
              </w:rPr>
              <w:t>K</w:t>
            </w:r>
          </w:p>
        </w:tc>
        <w:tc>
          <w:tcPr>
            <w:tcW w:type="dxa" w:w="1455"/>
          </w:tcPr>
          <w:p>
            <w:pPr>
              <w:jc w:val="center"/>
            </w:pPr>
            <w:r/>
            <w:r>
              <w:rPr>
                <w:rFonts w:ascii="Times New Roman" w:hAnsi="Times New Roman" w:eastAsia="黑体"/>
                <w:b/>
                <w:color w:val="000000"/>
                <w:sz w:val="20"/>
              </w:rPr>
              <w:t>ARI 均值</w:t>
            </w:r>
          </w:p>
        </w:tc>
        <w:tc>
          <w:tcPr>
            <w:tcW w:type="dxa" w:w="1455"/>
          </w:tcPr>
          <w:p>
            <w:pPr>
              <w:jc w:val="center"/>
            </w:pPr>
            <w:r/>
            <w:r>
              <w:rPr>
                <w:rFonts w:ascii="Times New Roman" w:hAnsi="Times New Roman" w:eastAsia="黑体"/>
                <w:b/>
                <w:color w:val="000000"/>
                <w:sz w:val="20"/>
              </w:rPr>
              <w:t>ARI 中位数</w:t>
            </w:r>
          </w:p>
        </w:tc>
        <w:tc>
          <w:tcPr>
            <w:tcW w:type="dxa" w:w="1455"/>
          </w:tcPr>
          <w:p>
            <w:pPr>
              <w:jc w:val="center"/>
            </w:pPr>
            <w:r/>
            <w:r>
              <w:rPr>
                <w:rFonts w:ascii="Times New Roman" w:hAnsi="Times New Roman" w:eastAsia="黑体"/>
                <w:b/>
                <w:color w:val="000000"/>
                <w:sz w:val="20"/>
              </w:rPr>
              <w:t>5% 分位</w:t>
            </w:r>
          </w:p>
        </w:tc>
        <w:tc>
          <w:tcPr>
            <w:tcW w:type="dxa" w:w="1455"/>
          </w:tcPr>
          <w:p>
            <w:pPr>
              <w:jc w:val="center"/>
            </w:pPr>
            <w:r/>
            <w:r>
              <w:rPr>
                <w:rFonts w:ascii="Times New Roman" w:hAnsi="Times New Roman" w:eastAsia="黑体"/>
                <w:b/>
                <w:color w:val="000000"/>
                <w:sz w:val="20"/>
              </w:rPr>
              <w:t>95% 分位</w:t>
            </w:r>
          </w:p>
        </w:tc>
        <w:tc>
          <w:tcPr>
            <w:tcW w:type="dxa" w:w="1455"/>
          </w:tcPr>
          <w:p>
            <w:pPr>
              <w:jc w:val="center"/>
            </w:pPr>
            <w:r/>
            <w:r>
              <w:rPr>
                <w:rFonts w:ascii="Times New Roman" w:hAnsi="Times New Roman" w:eastAsia="黑体"/>
                <w:b/>
                <w:color w:val="000000"/>
                <w:sz w:val="20"/>
              </w:rPr>
              <w:t>最小值</w:t>
            </w:r>
          </w:p>
        </w:tc>
      </w:tr>
      <w:tr>
        <w:tc>
          <w:tcPr>
            <w:tcW w:type="dxa" w:w="1455"/>
          </w:tcPr>
          <w:p>
            <w:pPr>
              <w:spacing w:after="20"/>
              <w:jc w:val="center"/>
            </w:pPr>
            <w:r/>
            <w:r>
              <w:rPr>
                <w:rFonts w:ascii="Times New Roman" w:hAnsi="Times New Roman" w:eastAsia="宋体"/>
                <w:color w:val="000000"/>
                <w:sz w:val="20"/>
              </w:rPr>
              <w:t>2（采用）</w:t>
            </w:r>
          </w:p>
        </w:tc>
        <w:tc>
          <w:tcPr>
            <w:tcW w:type="dxa" w:w="1455"/>
          </w:tcPr>
          <w:p>
            <w:pPr>
              <w:spacing w:after="20"/>
              <w:jc w:val="left"/>
            </w:pPr>
            <w:r/>
            <w:r>
              <w:rPr>
                <w:rFonts w:ascii="Times New Roman" w:hAnsi="Times New Roman" w:eastAsia="宋体"/>
                <w:color w:val="000000"/>
                <w:sz w:val="20"/>
              </w:rPr>
              <w:t>1.0000</w:t>
            </w:r>
          </w:p>
        </w:tc>
        <w:tc>
          <w:tcPr>
            <w:tcW w:type="dxa" w:w="1455"/>
          </w:tcPr>
          <w:p>
            <w:pPr>
              <w:spacing w:after="20"/>
              <w:jc w:val="left"/>
            </w:pPr>
            <w:r/>
            <w:r>
              <w:rPr>
                <w:rFonts w:ascii="Times New Roman" w:hAnsi="Times New Roman" w:eastAsia="宋体"/>
                <w:color w:val="000000"/>
                <w:sz w:val="20"/>
              </w:rPr>
              <w:t>1.0000</w:t>
            </w:r>
          </w:p>
        </w:tc>
        <w:tc>
          <w:tcPr>
            <w:tcW w:type="dxa" w:w="1455"/>
          </w:tcPr>
          <w:p>
            <w:pPr>
              <w:spacing w:after="20"/>
              <w:jc w:val="left"/>
            </w:pPr>
            <w:r/>
            <w:r>
              <w:rPr>
                <w:rFonts w:ascii="Times New Roman" w:hAnsi="Times New Roman" w:eastAsia="宋体"/>
                <w:color w:val="000000"/>
                <w:sz w:val="20"/>
              </w:rPr>
              <w:t>1.0000</w:t>
            </w:r>
          </w:p>
        </w:tc>
        <w:tc>
          <w:tcPr>
            <w:tcW w:type="dxa" w:w="1455"/>
          </w:tcPr>
          <w:p>
            <w:pPr>
              <w:spacing w:after="20"/>
              <w:jc w:val="left"/>
            </w:pPr>
            <w:r/>
            <w:r>
              <w:rPr>
                <w:rFonts w:ascii="Times New Roman" w:hAnsi="Times New Roman" w:eastAsia="宋体"/>
                <w:color w:val="000000"/>
                <w:sz w:val="20"/>
              </w:rPr>
              <w:t>1.0000</w:t>
            </w:r>
          </w:p>
        </w:tc>
        <w:tc>
          <w:tcPr>
            <w:tcW w:type="dxa" w:w="1455"/>
          </w:tcPr>
          <w:p>
            <w:pPr>
              <w:spacing w:after="20"/>
              <w:jc w:val="left"/>
            </w:pPr>
            <w:r/>
            <w:r>
              <w:rPr>
                <w:rFonts w:ascii="Times New Roman" w:hAnsi="Times New Roman" w:eastAsia="宋体"/>
                <w:color w:val="000000"/>
                <w:sz w:val="20"/>
              </w:rPr>
              <w:t>1.0000</w:t>
            </w:r>
          </w:p>
        </w:tc>
      </w:tr>
      <w:tr>
        <w:tc>
          <w:tcPr>
            <w:tcW w:type="dxa" w:w="1455"/>
          </w:tcPr>
          <w:p>
            <w:pPr>
              <w:spacing w:after="20"/>
              <w:jc w:val="center"/>
            </w:pPr>
            <w:r/>
            <w:r>
              <w:rPr>
                <w:rFonts w:ascii="Times New Roman" w:hAnsi="Times New Roman" w:eastAsia="宋体"/>
                <w:color w:val="000000"/>
                <w:sz w:val="20"/>
              </w:rPr>
              <w:t>3</w:t>
            </w:r>
          </w:p>
        </w:tc>
        <w:tc>
          <w:tcPr>
            <w:tcW w:type="dxa" w:w="1455"/>
          </w:tcPr>
          <w:p>
            <w:pPr>
              <w:spacing w:after="20"/>
              <w:jc w:val="left"/>
            </w:pPr>
            <w:r/>
            <w:r>
              <w:rPr>
                <w:rFonts w:ascii="Times New Roman" w:hAnsi="Times New Roman" w:eastAsia="宋体"/>
                <w:color w:val="000000"/>
                <w:sz w:val="20"/>
              </w:rPr>
              <w:t>0.9748</w:t>
            </w:r>
          </w:p>
        </w:tc>
        <w:tc>
          <w:tcPr>
            <w:tcW w:type="dxa" w:w="1455"/>
          </w:tcPr>
          <w:p>
            <w:pPr>
              <w:spacing w:after="20"/>
              <w:jc w:val="left"/>
            </w:pPr>
            <w:r/>
            <w:r>
              <w:rPr>
                <w:rFonts w:ascii="Times New Roman" w:hAnsi="Times New Roman" w:eastAsia="宋体"/>
                <w:color w:val="000000"/>
                <w:sz w:val="20"/>
              </w:rPr>
              <w:t>0.9790</w:t>
            </w:r>
          </w:p>
        </w:tc>
        <w:tc>
          <w:tcPr>
            <w:tcW w:type="dxa" w:w="1455"/>
          </w:tcPr>
          <w:p>
            <w:pPr>
              <w:spacing w:after="20"/>
              <w:jc w:val="left"/>
            </w:pPr>
            <w:r/>
            <w:r>
              <w:rPr>
                <w:rFonts w:ascii="Times New Roman" w:hAnsi="Times New Roman" w:eastAsia="宋体"/>
                <w:color w:val="000000"/>
                <w:sz w:val="20"/>
              </w:rPr>
              <w:t>0.9383</w:t>
            </w:r>
          </w:p>
        </w:tc>
        <w:tc>
          <w:tcPr>
            <w:tcW w:type="dxa" w:w="1455"/>
          </w:tcPr>
          <w:p>
            <w:pPr>
              <w:spacing w:after="20"/>
              <w:jc w:val="left"/>
            </w:pPr>
            <w:r/>
            <w:r>
              <w:rPr>
                <w:rFonts w:ascii="Times New Roman" w:hAnsi="Times New Roman" w:eastAsia="宋体"/>
                <w:color w:val="000000"/>
                <w:sz w:val="20"/>
              </w:rPr>
              <w:t>0.9953</w:t>
            </w:r>
          </w:p>
        </w:tc>
        <w:tc>
          <w:tcPr>
            <w:tcW w:type="dxa" w:w="1455"/>
          </w:tcPr>
          <w:p>
            <w:pPr>
              <w:spacing w:after="20"/>
              <w:jc w:val="left"/>
            </w:pPr>
            <w:r/>
            <w:r>
              <w:rPr>
                <w:rFonts w:ascii="Times New Roman" w:hAnsi="Times New Roman" w:eastAsia="宋体"/>
                <w:color w:val="000000"/>
                <w:sz w:val="20"/>
              </w:rPr>
              <w:t>0.8872</w:t>
            </w:r>
          </w:p>
        </w:tc>
      </w:tr>
      <w:tr>
        <w:tc>
          <w:tcPr>
            <w:tcW w:type="dxa" w:w="1455"/>
          </w:tcPr>
          <w:p>
            <w:pPr>
              <w:spacing w:after="20"/>
              <w:jc w:val="center"/>
            </w:pPr>
            <w:r/>
            <w:r>
              <w:rPr>
                <w:rFonts w:ascii="Times New Roman" w:hAnsi="Times New Roman" w:eastAsia="宋体"/>
                <w:color w:val="000000"/>
                <w:sz w:val="20"/>
              </w:rPr>
              <w:t>4</w:t>
            </w:r>
          </w:p>
        </w:tc>
        <w:tc>
          <w:tcPr>
            <w:tcW w:type="dxa" w:w="1455"/>
          </w:tcPr>
          <w:p>
            <w:pPr>
              <w:spacing w:after="20"/>
              <w:jc w:val="left"/>
            </w:pPr>
            <w:r/>
            <w:r>
              <w:rPr>
                <w:rFonts w:ascii="Times New Roman" w:hAnsi="Times New Roman" w:eastAsia="宋体"/>
                <w:color w:val="000000"/>
                <w:sz w:val="20"/>
              </w:rPr>
              <w:t>0.9552</w:t>
            </w:r>
          </w:p>
        </w:tc>
        <w:tc>
          <w:tcPr>
            <w:tcW w:type="dxa" w:w="1455"/>
          </w:tcPr>
          <w:p>
            <w:pPr>
              <w:spacing w:after="20"/>
              <w:jc w:val="left"/>
            </w:pPr>
            <w:r/>
            <w:r>
              <w:rPr>
                <w:rFonts w:ascii="Times New Roman" w:hAnsi="Times New Roman" w:eastAsia="宋体"/>
                <w:color w:val="000000"/>
                <w:sz w:val="20"/>
              </w:rPr>
              <w:t>0.9619</w:t>
            </w:r>
          </w:p>
        </w:tc>
        <w:tc>
          <w:tcPr>
            <w:tcW w:type="dxa" w:w="1455"/>
          </w:tcPr>
          <w:p>
            <w:pPr>
              <w:spacing w:after="20"/>
              <w:jc w:val="left"/>
            </w:pPr>
            <w:r/>
            <w:r>
              <w:rPr>
                <w:rFonts w:ascii="Times New Roman" w:hAnsi="Times New Roman" w:eastAsia="宋体"/>
                <w:color w:val="000000"/>
                <w:sz w:val="20"/>
              </w:rPr>
              <w:t>0.9127</w:t>
            </w:r>
          </w:p>
        </w:tc>
        <w:tc>
          <w:tcPr>
            <w:tcW w:type="dxa" w:w="1455"/>
          </w:tcPr>
          <w:p>
            <w:pPr>
              <w:spacing w:after="20"/>
              <w:jc w:val="left"/>
            </w:pPr>
            <w:r/>
            <w:r>
              <w:rPr>
                <w:rFonts w:ascii="Times New Roman" w:hAnsi="Times New Roman" w:eastAsia="宋体"/>
                <w:color w:val="000000"/>
                <w:sz w:val="20"/>
              </w:rPr>
              <w:t>0.9822</w:t>
            </w:r>
          </w:p>
        </w:tc>
        <w:tc>
          <w:tcPr>
            <w:tcW w:type="dxa" w:w="1455"/>
          </w:tcPr>
          <w:p>
            <w:pPr>
              <w:spacing w:after="20"/>
              <w:jc w:val="left"/>
            </w:pPr>
            <w:r/>
            <w:r>
              <w:rPr>
                <w:rFonts w:ascii="Times New Roman" w:hAnsi="Times New Roman" w:eastAsia="宋体"/>
                <w:color w:val="000000"/>
                <w:sz w:val="20"/>
              </w:rPr>
              <w:t>0.9058</w:t>
            </w:r>
          </w:p>
        </w:tc>
      </w:tr>
      <w:tr>
        <w:tc>
          <w:tcPr>
            <w:tcW w:type="dxa" w:w="1455"/>
          </w:tcPr>
          <w:p>
            <w:pPr>
              <w:spacing w:after="20"/>
              <w:jc w:val="center"/>
            </w:pPr>
            <w:r/>
            <w:r>
              <w:rPr>
                <w:rFonts w:ascii="Times New Roman" w:hAnsi="Times New Roman" w:eastAsia="宋体"/>
                <w:color w:val="000000"/>
                <w:sz w:val="20"/>
              </w:rPr>
              <w:t>5</w:t>
            </w:r>
          </w:p>
        </w:tc>
        <w:tc>
          <w:tcPr>
            <w:tcW w:type="dxa" w:w="1455"/>
          </w:tcPr>
          <w:p>
            <w:pPr>
              <w:spacing w:after="20"/>
              <w:jc w:val="left"/>
            </w:pPr>
            <w:r/>
            <w:r>
              <w:rPr>
                <w:rFonts w:ascii="Times New Roman" w:hAnsi="Times New Roman" w:eastAsia="宋体"/>
                <w:color w:val="000000"/>
                <w:sz w:val="20"/>
              </w:rPr>
              <w:t>0.9337</w:t>
            </w:r>
          </w:p>
        </w:tc>
        <w:tc>
          <w:tcPr>
            <w:tcW w:type="dxa" w:w="1455"/>
          </w:tcPr>
          <w:p>
            <w:pPr>
              <w:spacing w:after="20"/>
              <w:jc w:val="left"/>
            </w:pPr>
            <w:r/>
            <w:r>
              <w:rPr>
                <w:rFonts w:ascii="Times New Roman" w:hAnsi="Times New Roman" w:eastAsia="宋体"/>
                <w:color w:val="000000"/>
                <w:sz w:val="20"/>
              </w:rPr>
              <w:t>0.9395</w:t>
            </w:r>
          </w:p>
        </w:tc>
        <w:tc>
          <w:tcPr>
            <w:tcW w:type="dxa" w:w="1455"/>
          </w:tcPr>
          <w:p>
            <w:pPr>
              <w:spacing w:after="20"/>
              <w:jc w:val="left"/>
            </w:pPr>
            <w:r/>
            <w:r>
              <w:rPr>
                <w:rFonts w:ascii="Times New Roman" w:hAnsi="Times New Roman" w:eastAsia="宋体"/>
                <w:color w:val="000000"/>
                <w:sz w:val="20"/>
              </w:rPr>
              <w:t>0.8783</w:t>
            </w:r>
          </w:p>
        </w:tc>
        <w:tc>
          <w:tcPr>
            <w:tcW w:type="dxa" w:w="1455"/>
          </w:tcPr>
          <w:p>
            <w:pPr>
              <w:spacing w:after="20"/>
              <w:jc w:val="left"/>
            </w:pPr>
            <w:r/>
            <w:r>
              <w:rPr>
                <w:rFonts w:ascii="Times New Roman" w:hAnsi="Times New Roman" w:eastAsia="宋体"/>
                <w:color w:val="000000"/>
                <w:sz w:val="20"/>
              </w:rPr>
              <w:t>0.9779</w:t>
            </w:r>
          </w:p>
        </w:tc>
        <w:tc>
          <w:tcPr>
            <w:tcW w:type="dxa" w:w="1455"/>
          </w:tcPr>
          <w:p>
            <w:pPr>
              <w:spacing w:after="20"/>
              <w:jc w:val="left"/>
            </w:pPr>
            <w:r/>
            <w:r>
              <w:rPr>
                <w:rFonts w:ascii="Times New Roman" w:hAnsi="Times New Roman" w:eastAsia="宋体"/>
                <w:color w:val="000000"/>
                <w:sz w:val="20"/>
              </w:rPr>
              <w:t>0.7936</w:t>
            </w:r>
          </w:p>
        </w:tc>
      </w:tr>
      <w:tr>
        <w:tc>
          <w:tcPr>
            <w:tcW w:type="dxa" w:w="1455"/>
          </w:tcPr>
          <w:p>
            <w:pPr>
              <w:spacing w:after="20"/>
              <w:jc w:val="center"/>
            </w:pPr>
            <w:r/>
            <w:r>
              <w:rPr>
                <w:rFonts w:ascii="Times New Roman" w:hAnsi="Times New Roman" w:eastAsia="宋体"/>
                <w:color w:val="000000"/>
                <w:sz w:val="20"/>
              </w:rPr>
              <w:t>6</w:t>
            </w:r>
          </w:p>
        </w:tc>
        <w:tc>
          <w:tcPr>
            <w:tcW w:type="dxa" w:w="1455"/>
          </w:tcPr>
          <w:p>
            <w:pPr>
              <w:spacing w:after="20"/>
              <w:jc w:val="left"/>
            </w:pPr>
            <w:r/>
            <w:r>
              <w:rPr>
                <w:rFonts w:ascii="Times New Roman" w:hAnsi="Times New Roman" w:eastAsia="宋体"/>
                <w:color w:val="000000"/>
                <w:sz w:val="20"/>
              </w:rPr>
              <w:t>0.7770</w:t>
            </w:r>
          </w:p>
        </w:tc>
        <w:tc>
          <w:tcPr>
            <w:tcW w:type="dxa" w:w="1455"/>
          </w:tcPr>
          <w:p>
            <w:pPr>
              <w:spacing w:after="20"/>
              <w:jc w:val="left"/>
            </w:pPr>
            <w:r/>
            <w:r>
              <w:rPr>
                <w:rFonts w:ascii="Times New Roman" w:hAnsi="Times New Roman" w:eastAsia="宋体"/>
                <w:color w:val="000000"/>
                <w:sz w:val="20"/>
              </w:rPr>
              <w:t>0.7444</w:t>
            </w:r>
          </w:p>
        </w:tc>
        <w:tc>
          <w:tcPr>
            <w:tcW w:type="dxa" w:w="1455"/>
          </w:tcPr>
          <w:p>
            <w:pPr>
              <w:spacing w:after="20"/>
              <w:jc w:val="left"/>
            </w:pPr>
            <w:r/>
            <w:r>
              <w:rPr>
                <w:rFonts w:ascii="Times New Roman" w:hAnsi="Times New Roman" w:eastAsia="宋体"/>
                <w:color w:val="000000"/>
                <w:sz w:val="20"/>
              </w:rPr>
              <w:t>0.6451</w:t>
            </w:r>
          </w:p>
        </w:tc>
        <w:tc>
          <w:tcPr>
            <w:tcW w:type="dxa" w:w="1455"/>
          </w:tcPr>
          <w:p>
            <w:pPr>
              <w:spacing w:after="20"/>
              <w:jc w:val="left"/>
            </w:pPr>
            <w:r/>
            <w:r>
              <w:rPr>
                <w:rFonts w:ascii="Times New Roman" w:hAnsi="Times New Roman" w:eastAsia="宋体"/>
                <w:color w:val="000000"/>
                <w:sz w:val="20"/>
              </w:rPr>
              <w:t>0.9473</w:t>
            </w:r>
          </w:p>
        </w:tc>
        <w:tc>
          <w:tcPr>
            <w:tcW w:type="dxa" w:w="1455"/>
          </w:tcPr>
          <w:p>
            <w:pPr>
              <w:spacing w:after="20"/>
              <w:jc w:val="left"/>
            </w:pPr>
            <w:r/>
            <w:r>
              <w:rPr>
                <w:rFonts w:ascii="Times New Roman" w:hAnsi="Times New Roman" w:eastAsia="宋体"/>
                <w:color w:val="000000"/>
                <w:sz w:val="20"/>
              </w:rPr>
              <w:t>0.5386</w:t>
            </w:r>
          </w:p>
        </w:tc>
      </w:tr>
    </w:tbl>
    <w:p>
      <w:pPr>
        <w:spacing w:after="40"/>
      </w:pPr>
    </w:p>
    <w:p>
      <w:pPr>
        <w:spacing w:line="360" w:lineRule="auto" w:after="80"/>
        <w:ind w:firstLine="480"/>
        <w:jc w:val="both"/>
      </w:pPr>
      <w:r>
        <w:rPr>
          <w:rFonts w:ascii="Times New Roman" w:hAnsi="Times New Roman" w:eastAsia="宋体"/>
          <w:b/>
          <w:color w:val="000000"/>
          <w:sz w:val="24"/>
        </w:rPr>
        <w:t>最有力的一条证据：两个独立模型的结论完全重合。</w:t>
      </w:r>
      <w:r>
        <w:rPr>
          <w:rFonts w:ascii="Times New Roman" w:hAnsi="Times New Roman" w:eastAsia="宋体"/>
          <w:b w:val="0"/>
          <w:color w:val="000000"/>
          <w:sz w:val="24"/>
        </w:rPr>
        <w:t xml:space="preserve"> 把聚类结果与客户购买次数对照，出现了一个并非设计出来的结果：「高价值忠诚群」1,965 人中，购买次数 ≥ 2 的比例为 </w:t>
      </w:r>
      <w:r>
        <w:rPr>
          <w:rFonts w:ascii="Times New Roman" w:hAnsi="Times New Roman" w:eastAsia="宋体"/>
          <w:b/>
          <w:color w:val="000000"/>
          <w:sz w:val="24"/>
        </w:rPr>
        <w:t>100.00%</w:t>
      </w:r>
      <w:r>
        <w:rPr>
          <w:rFonts w:ascii="Times New Roman" w:hAnsi="Times New Roman" w:eastAsia="宋体"/>
          <w:b w:val="0"/>
          <w:color w:val="000000"/>
          <w:sz w:val="24"/>
        </w:rPr>
        <w:t xml:space="preserve">；「沉睡流失群」1,761 人中，购买次数恰好为 1 的比例亦为 </w:t>
      </w:r>
      <w:r>
        <w:rPr>
          <w:rFonts w:ascii="Times New Roman" w:hAnsi="Times New Roman" w:eastAsia="宋体"/>
          <w:b/>
          <w:color w:val="000000"/>
          <w:sz w:val="24"/>
        </w:rPr>
        <w:t>100.00%</w:t>
      </w:r>
      <w:r>
        <w:rPr>
          <w:rFonts w:ascii="Times New Roman" w:hAnsi="Times New Roman" w:eastAsia="宋体"/>
          <w:b w:val="0"/>
          <w:color w:val="000000"/>
          <w:sz w:val="24"/>
        </w:rPr>
        <w:t>。换言之，K-Means 在无任何业务先验的条件下自动切出的分界线，精确地落在「是否完成第 2 次购买」上；而 1,965 ÷ 3,726 = 52.74%，与 §5.4 复购漏斗独立算出的复购率 52.74% 完全相等。两条完全独立的技术路径给出同一个数字，这比任何单一模型的内部指标都更能说明：</w:t>
      </w:r>
      <w:r>
        <w:rPr>
          <w:rFonts w:ascii="Times New Roman" w:hAnsi="Times New Roman" w:eastAsia="宋体"/>
          <w:b/>
          <w:color w:val="000000"/>
          <w:sz w:val="24"/>
        </w:rPr>
        <w:t>该客户群最本质的分野就是「首购即流失」与「完成复购」，数据里确实只存在一条清晰的断点。</w:t>
      </w:r>
    </w:p>
    <w:p>
      <w:pPr>
        <w:keepNext/>
        <w:spacing w:line="360" w:lineRule="auto" w:before="100" w:after="80"/>
        <w:outlineLvl w:val="2"/>
      </w:pPr>
      <w:r>
        <w:rPr>
          <w:rFonts w:ascii="Times New Roman" w:hAnsi="Times New Roman" w:eastAsia="黑体"/>
          <w:b/>
          <w:color w:val="000000"/>
          <w:sz w:val="24"/>
        </w:rPr>
        <w:t>4.3.3 稳健性检验：波士顿矩阵的增速口径</w:t>
      </w:r>
    </w:p>
    <w:p>
      <w:pPr>
        <w:spacing w:line="360" w:lineRule="auto" w:after="80"/>
        <w:ind w:firstLine="480"/>
        <w:jc w:val="both"/>
      </w:pPr>
      <w:r>
        <w:rPr>
          <w:rFonts w:ascii="Times New Roman" w:hAnsi="Times New Roman" w:eastAsia="宋体"/>
          <w:b w:val="0"/>
          <w:color w:val="000000"/>
          <w:sz w:val="24"/>
        </w:rPr>
        <w:t>波士顿矩阵的纵轴直接决定品类落在「明星」还是「金牛」，而本文的增速只由两个 12 个月窗口的合计值算出——只要其中一个窗口里有异常月份，象限归属就会翻转。为此并行计算第二个口径：对 24 个月月度销售额取对数后拟合线性趋势 log(Revenue) = a + b·t，以斜率 b 折算年化增速。该口径利用了全部 24 个观测点而非两个合计值，对单月波动不敏感，且附带可检验的显著性（t 检验）。结果见表 4-7（结果表：outputs/tables/03_bcg_growth_robustness.csv）。</w:t>
      </w:r>
    </w:p>
    <w:p>
      <w:pPr>
        <w:spacing w:after="40"/>
        <w:jc w:val="center"/>
      </w:pPr>
      <w:r>
        <w:rPr>
          <w:rFonts w:ascii="Times New Roman" w:hAnsi="Times New Roman" w:eastAsia="黑体"/>
          <w:color w:val="000000"/>
          <w:sz w:val="21"/>
        </w:rPr>
        <w:t>表 4-7  品类增速双口径对比（YoY 同比 vs 对数趋势年化，按 YoY 降序）</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247"/>
          </w:tcPr>
          <w:p>
            <w:pPr>
              <w:jc w:val="center"/>
            </w:pPr>
            <w:r/>
            <w:r>
              <w:rPr>
                <w:rFonts w:ascii="Times New Roman" w:hAnsi="Times New Roman" w:eastAsia="黑体"/>
                <w:b/>
                <w:color w:val="000000"/>
                <w:sz w:val="20"/>
              </w:rPr>
              <w:t>品类</w:t>
            </w:r>
          </w:p>
        </w:tc>
        <w:tc>
          <w:tcPr>
            <w:tcW w:type="dxa" w:w="1247"/>
          </w:tcPr>
          <w:p>
            <w:pPr>
              <w:jc w:val="center"/>
            </w:pPr>
            <w:r/>
            <w:r>
              <w:rPr>
                <w:rFonts w:ascii="Times New Roman" w:hAnsi="Times New Roman" w:eastAsia="黑体"/>
                <w:b/>
                <w:color w:val="000000"/>
                <w:sz w:val="20"/>
              </w:rPr>
              <w:t>YoY(%)</w:t>
            </w:r>
          </w:p>
        </w:tc>
        <w:tc>
          <w:tcPr>
            <w:tcW w:type="dxa" w:w="1247"/>
          </w:tcPr>
          <w:p>
            <w:pPr>
              <w:jc w:val="center"/>
            </w:pPr>
            <w:r/>
            <w:r>
              <w:rPr>
                <w:rFonts w:ascii="Times New Roman" w:hAnsi="Times New Roman" w:eastAsia="黑体"/>
                <w:b/>
                <w:color w:val="000000"/>
                <w:sz w:val="20"/>
              </w:rPr>
              <w:t>趋势年化(%)</w:t>
            </w:r>
          </w:p>
        </w:tc>
        <w:tc>
          <w:tcPr>
            <w:tcW w:type="dxa" w:w="1247"/>
          </w:tcPr>
          <w:p>
            <w:pPr>
              <w:jc w:val="center"/>
            </w:pPr>
            <w:r/>
            <w:r>
              <w:rPr>
                <w:rFonts w:ascii="Times New Roman" w:hAnsi="Times New Roman" w:eastAsia="黑体"/>
                <w:b/>
                <w:color w:val="000000"/>
                <w:sz w:val="20"/>
              </w:rPr>
              <w:t>差值</w:t>
            </w:r>
          </w:p>
        </w:tc>
        <w:tc>
          <w:tcPr>
            <w:tcW w:type="dxa" w:w="1247"/>
          </w:tcPr>
          <w:p>
            <w:pPr>
              <w:jc w:val="center"/>
            </w:pPr>
            <w:r/>
            <w:r>
              <w:rPr>
                <w:rFonts w:ascii="Times New Roman" w:hAnsi="Times New Roman" w:eastAsia="黑体"/>
                <w:b/>
                <w:color w:val="000000"/>
                <w:sz w:val="20"/>
              </w:rPr>
              <w:t>趋势 R²</w:t>
            </w:r>
          </w:p>
        </w:tc>
        <w:tc>
          <w:tcPr>
            <w:tcW w:type="dxa" w:w="1247"/>
          </w:tcPr>
          <w:p>
            <w:pPr>
              <w:jc w:val="center"/>
            </w:pPr>
            <w:r/>
            <w:r>
              <w:rPr>
                <w:rFonts w:ascii="Times New Roman" w:hAnsi="Times New Roman" w:eastAsia="黑体"/>
                <w:b/>
                <w:color w:val="000000"/>
                <w:sz w:val="20"/>
              </w:rPr>
              <w:t>t 值</w:t>
            </w:r>
          </w:p>
        </w:tc>
        <w:tc>
          <w:tcPr>
            <w:tcW w:type="dxa" w:w="1247"/>
          </w:tcPr>
          <w:p>
            <w:pPr>
              <w:jc w:val="center"/>
            </w:pPr>
            <w:r/>
            <w:r>
              <w:rPr>
                <w:rFonts w:ascii="Times New Roman" w:hAnsi="Times New Roman" w:eastAsia="黑体"/>
                <w:b/>
                <w:color w:val="000000"/>
                <w:sz w:val="20"/>
              </w:rPr>
              <w:t>象限是否一致</w:t>
            </w:r>
          </w:p>
        </w:tc>
      </w:tr>
      <w:tr>
        <w:tc>
          <w:tcPr>
            <w:tcW w:type="dxa" w:w="1247"/>
          </w:tcPr>
          <w:p>
            <w:pPr>
              <w:spacing w:after="20"/>
              <w:jc w:val="center"/>
            </w:pPr>
            <w:r/>
            <w:r>
              <w:rPr>
                <w:rFonts w:ascii="Times New Roman" w:hAnsi="Times New Roman" w:eastAsia="宋体"/>
                <w:color w:val="000000"/>
                <w:sz w:val="20"/>
              </w:rPr>
              <w:t>Party &amp; Occasion</w:t>
            </w:r>
          </w:p>
        </w:tc>
        <w:tc>
          <w:tcPr>
            <w:tcW w:type="dxa" w:w="1247"/>
          </w:tcPr>
          <w:p>
            <w:pPr>
              <w:spacing w:after="20"/>
              <w:jc w:val="left"/>
            </w:pPr>
            <w:r/>
            <w:r>
              <w:rPr>
                <w:rFonts w:ascii="Times New Roman" w:hAnsi="Times New Roman" w:eastAsia="宋体"/>
                <w:color w:val="000000"/>
                <w:sz w:val="20"/>
              </w:rPr>
              <w:t>50.52</w:t>
            </w:r>
          </w:p>
        </w:tc>
        <w:tc>
          <w:tcPr>
            <w:tcW w:type="dxa" w:w="1247"/>
          </w:tcPr>
          <w:p>
            <w:pPr>
              <w:spacing w:after="20"/>
              <w:jc w:val="left"/>
            </w:pPr>
            <w:r/>
            <w:r>
              <w:rPr>
                <w:rFonts w:ascii="Times New Roman" w:hAnsi="Times New Roman" w:eastAsia="宋体"/>
                <w:color w:val="000000"/>
                <w:sz w:val="20"/>
              </w:rPr>
              <w:t>57.77</w:t>
            </w:r>
          </w:p>
        </w:tc>
        <w:tc>
          <w:tcPr>
            <w:tcW w:type="dxa" w:w="1247"/>
          </w:tcPr>
          <w:p>
            <w:pPr>
              <w:spacing w:after="20"/>
              <w:jc w:val="left"/>
            </w:pPr>
            <w:r/>
            <w:r>
              <w:rPr>
                <w:rFonts w:ascii="Times New Roman" w:hAnsi="Times New Roman" w:eastAsia="宋体"/>
                <w:color w:val="000000"/>
                <w:sz w:val="20"/>
              </w:rPr>
              <w:t>+7.25</w:t>
            </w:r>
          </w:p>
        </w:tc>
        <w:tc>
          <w:tcPr>
            <w:tcW w:type="dxa" w:w="1247"/>
          </w:tcPr>
          <w:p>
            <w:pPr>
              <w:spacing w:after="20"/>
              <w:jc w:val="left"/>
            </w:pPr>
            <w:r/>
            <w:r>
              <w:rPr>
                <w:rFonts w:ascii="Times New Roman" w:hAnsi="Times New Roman" w:eastAsia="宋体"/>
                <w:color w:val="000000"/>
                <w:sz w:val="20"/>
              </w:rPr>
              <w:t>0.370</w:t>
            </w:r>
          </w:p>
        </w:tc>
        <w:tc>
          <w:tcPr>
            <w:tcW w:type="dxa" w:w="1247"/>
          </w:tcPr>
          <w:p>
            <w:pPr>
              <w:spacing w:after="20"/>
              <w:jc w:val="left"/>
            </w:pPr>
            <w:r/>
            <w:r>
              <w:rPr>
                <w:rFonts w:ascii="Times New Roman" w:hAnsi="Times New Roman" w:eastAsia="宋体"/>
                <w:color w:val="000000"/>
                <w:sz w:val="20"/>
              </w:rPr>
              <w:t>3.60</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Christmas &amp; Seasonal</w:t>
            </w:r>
          </w:p>
        </w:tc>
        <w:tc>
          <w:tcPr>
            <w:tcW w:type="dxa" w:w="1247"/>
          </w:tcPr>
          <w:p>
            <w:pPr>
              <w:spacing w:after="20"/>
              <w:jc w:val="left"/>
            </w:pPr>
            <w:r/>
            <w:r>
              <w:rPr>
                <w:rFonts w:ascii="Times New Roman" w:hAnsi="Times New Roman" w:eastAsia="宋体"/>
                <w:color w:val="000000"/>
                <w:sz w:val="20"/>
              </w:rPr>
              <w:t>40.61</w:t>
            </w:r>
          </w:p>
        </w:tc>
        <w:tc>
          <w:tcPr>
            <w:tcW w:type="dxa" w:w="1247"/>
          </w:tcPr>
          <w:p>
            <w:pPr>
              <w:spacing w:after="20"/>
              <w:jc w:val="left"/>
            </w:pPr>
            <w:r/>
            <w:r>
              <w:rPr>
                <w:rFonts w:ascii="Times New Roman" w:hAnsi="Times New Roman" w:eastAsia="宋体"/>
                <w:color w:val="000000"/>
                <w:sz w:val="20"/>
              </w:rPr>
              <w:t>155.26</w:t>
            </w:r>
          </w:p>
        </w:tc>
        <w:tc>
          <w:tcPr>
            <w:tcW w:type="dxa" w:w="1247"/>
          </w:tcPr>
          <w:p>
            <w:pPr>
              <w:spacing w:after="20"/>
              <w:jc w:val="left"/>
            </w:pPr>
            <w:r/>
            <w:r>
              <w:rPr>
                <w:rFonts w:ascii="Times New Roman" w:hAnsi="Times New Roman" w:eastAsia="宋体"/>
                <w:color w:val="000000"/>
                <w:sz w:val="20"/>
              </w:rPr>
              <w:t>+114.65</w:t>
            </w:r>
          </w:p>
        </w:tc>
        <w:tc>
          <w:tcPr>
            <w:tcW w:type="dxa" w:w="1247"/>
          </w:tcPr>
          <w:p>
            <w:pPr>
              <w:spacing w:after="20"/>
              <w:jc w:val="left"/>
            </w:pPr>
            <w:r/>
            <w:r>
              <w:rPr>
                <w:rFonts w:ascii="Times New Roman" w:hAnsi="Times New Roman" w:eastAsia="宋体"/>
                <w:color w:val="000000"/>
                <w:sz w:val="20"/>
              </w:rPr>
              <w:t>0.131</w:t>
            </w:r>
          </w:p>
        </w:tc>
        <w:tc>
          <w:tcPr>
            <w:tcW w:type="dxa" w:w="1247"/>
          </w:tcPr>
          <w:p>
            <w:pPr>
              <w:spacing w:after="20"/>
              <w:jc w:val="left"/>
            </w:pPr>
            <w:r/>
            <w:r>
              <w:rPr>
                <w:rFonts w:ascii="Times New Roman" w:hAnsi="Times New Roman" w:eastAsia="宋体"/>
                <w:color w:val="000000"/>
                <w:sz w:val="20"/>
              </w:rPr>
              <w:t>1.82</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Bags &amp; Storage</w:t>
            </w:r>
          </w:p>
        </w:tc>
        <w:tc>
          <w:tcPr>
            <w:tcW w:type="dxa" w:w="1247"/>
          </w:tcPr>
          <w:p>
            <w:pPr>
              <w:spacing w:after="20"/>
              <w:jc w:val="left"/>
            </w:pPr>
            <w:r/>
            <w:r>
              <w:rPr>
                <w:rFonts w:ascii="Times New Roman" w:hAnsi="Times New Roman" w:eastAsia="宋体"/>
                <w:color w:val="000000"/>
                <w:sz w:val="20"/>
              </w:rPr>
              <w:t>26.53</w:t>
            </w:r>
          </w:p>
        </w:tc>
        <w:tc>
          <w:tcPr>
            <w:tcW w:type="dxa" w:w="1247"/>
          </w:tcPr>
          <w:p>
            <w:pPr>
              <w:spacing w:after="20"/>
              <w:jc w:val="left"/>
            </w:pPr>
            <w:r/>
            <w:r>
              <w:rPr>
                <w:rFonts w:ascii="Times New Roman" w:hAnsi="Times New Roman" w:eastAsia="宋体"/>
                <w:color w:val="000000"/>
                <w:sz w:val="20"/>
              </w:rPr>
              <w:t>37.53</w:t>
            </w:r>
          </w:p>
        </w:tc>
        <w:tc>
          <w:tcPr>
            <w:tcW w:type="dxa" w:w="1247"/>
          </w:tcPr>
          <w:p>
            <w:pPr>
              <w:spacing w:after="20"/>
              <w:jc w:val="left"/>
            </w:pPr>
            <w:r/>
            <w:r>
              <w:rPr>
                <w:rFonts w:ascii="Times New Roman" w:hAnsi="Times New Roman" w:eastAsia="宋体"/>
                <w:color w:val="000000"/>
                <w:sz w:val="20"/>
              </w:rPr>
              <w:t>+11.00</w:t>
            </w:r>
          </w:p>
        </w:tc>
        <w:tc>
          <w:tcPr>
            <w:tcW w:type="dxa" w:w="1247"/>
          </w:tcPr>
          <w:p>
            <w:pPr>
              <w:spacing w:after="20"/>
              <w:jc w:val="left"/>
            </w:pPr>
            <w:r/>
            <w:r>
              <w:rPr>
                <w:rFonts w:ascii="Times New Roman" w:hAnsi="Times New Roman" w:eastAsia="宋体"/>
                <w:color w:val="000000"/>
                <w:sz w:val="20"/>
              </w:rPr>
              <w:t>0.348</w:t>
            </w:r>
          </w:p>
        </w:tc>
        <w:tc>
          <w:tcPr>
            <w:tcW w:type="dxa" w:w="1247"/>
          </w:tcPr>
          <w:p>
            <w:pPr>
              <w:spacing w:after="20"/>
              <w:jc w:val="left"/>
            </w:pPr>
            <w:r/>
            <w:r>
              <w:rPr>
                <w:rFonts w:ascii="Times New Roman" w:hAnsi="Times New Roman" w:eastAsia="宋体"/>
                <w:color w:val="000000"/>
                <w:sz w:val="20"/>
              </w:rPr>
              <w:t>3.42</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Toys &amp; Games</w:t>
            </w:r>
          </w:p>
        </w:tc>
        <w:tc>
          <w:tcPr>
            <w:tcW w:type="dxa" w:w="1247"/>
          </w:tcPr>
          <w:p>
            <w:pPr>
              <w:spacing w:after="20"/>
              <w:jc w:val="left"/>
            </w:pPr>
            <w:r/>
            <w:r>
              <w:rPr>
                <w:rFonts w:ascii="Times New Roman" w:hAnsi="Times New Roman" w:eastAsia="宋体"/>
                <w:color w:val="000000"/>
                <w:sz w:val="20"/>
              </w:rPr>
              <w:t>17.57</w:t>
            </w:r>
          </w:p>
        </w:tc>
        <w:tc>
          <w:tcPr>
            <w:tcW w:type="dxa" w:w="1247"/>
          </w:tcPr>
          <w:p>
            <w:pPr>
              <w:spacing w:after="20"/>
              <w:jc w:val="left"/>
            </w:pPr>
            <w:r/>
            <w:r>
              <w:rPr>
                <w:rFonts w:ascii="Times New Roman" w:hAnsi="Times New Roman" w:eastAsia="宋体"/>
                <w:color w:val="000000"/>
                <w:sz w:val="20"/>
              </w:rPr>
              <w:t>36.34</w:t>
            </w:r>
          </w:p>
        </w:tc>
        <w:tc>
          <w:tcPr>
            <w:tcW w:type="dxa" w:w="1247"/>
          </w:tcPr>
          <w:p>
            <w:pPr>
              <w:spacing w:after="20"/>
              <w:jc w:val="left"/>
            </w:pPr>
            <w:r/>
            <w:r>
              <w:rPr>
                <w:rFonts w:ascii="Times New Roman" w:hAnsi="Times New Roman" w:eastAsia="宋体"/>
                <w:color w:val="000000"/>
                <w:sz w:val="20"/>
              </w:rPr>
              <w:t>+18.77</w:t>
            </w:r>
          </w:p>
        </w:tc>
        <w:tc>
          <w:tcPr>
            <w:tcW w:type="dxa" w:w="1247"/>
          </w:tcPr>
          <w:p>
            <w:pPr>
              <w:spacing w:after="20"/>
              <w:jc w:val="left"/>
            </w:pPr>
            <w:r/>
            <w:r>
              <w:rPr>
                <w:rFonts w:ascii="Times New Roman" w:hAnsi="Times New Roman" w:eastAsia="宋体"/>
                <w:color w:val="000000"/>
                <w:sz w:val="20"/>
              </w:rPr>
              <w:t>0.150</w:t>
            </w:r>
          </w:p>
        </w:tc>
        <w:tc>
          <w:tcPr>
            <w:tcW w:type="dxa" w:w="1247"/>
          </w:tcPr>
          <w:p>
            <w:pPr>
              <w:spacing w:after="20"/>
              <w:jc w:val="left"/>
            </w:pPr>
            <w:r/>
            <w:r>
              <w:rPr>
                <w:rFonts w:ascii="Times New Roman" w:hAnsi="Times New Roman" w:eastAsia="宋体"/>
                <w:color w:val="000000"/>
                <w:sz w:val="20"/>
              </w:rPr>
              <w:t>1.97</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Home Decor &amp; Lighting</w:t>
            </w:r>
          </w:p>
        </w:tc>
        <w:tc>
          <w:tcPr>
            <w:tcW w:type="dxa" w:w="1247"/>
          </w:tcPr>
          <w:p>
            <w:pPr>
              <w:spacing w:after="20"/>
              <w:jc w:val="left"/>
            </w:pPr>
            <w:r/>
            <w:r>
              <w:rPr>
                <w:rFonts w:ascii="Times New Roman" w:hAnsi="Times New Roman" w:eastAsia="宋体"/>
                <w:color w:val="000000"/>
                <w:sz w:val="20"/>
              </w:rPr>
              <w:t>9.57</w:t>
            </w:r>
          </w:p>
        </w:tc>
        <w:tc>
          <w:tcPr>
            <w:tcW w:type="dxa" w:w="1247"/>
          </w:tcPr>
          <w:p>
            <w:pPr>
              <w:spacing w:after="20"/>
              <w:jc w:val="left"/>
            </w:pPr>
            <w:r/>
            <w:r>
              <w:rPr>
                <w:rFonts w:ascii="Times New Roman" w:hAnsi="Times New Roman" w:eastAsia="宋体"/>
                <w:color w:val="000000"/>
                <w:sz w:val="20"/>
              </w:rPr>
              <w:t>16.71</w:t>
            </w:r>
          </w:p>
        </w:tc>
        <w:tc>
          <w:tcPr>
            <w:tcW w:type="dxa" w:w="1247"/>
          </w:tcPr>
          <w:p>
            <w:pPr>
              <w:spacing w:after="20"/>
              <w:jc w:val="left"/>
            </w:pPr>
            <w:r/>
            <w:r>
              <w:rPr>
                <w:rFonts w:ascii="Times New Roman" w:hAnsi="Times New Roman" w:eastAsia="宋体"/>
                <w:color w:val="000000"/>
                <w:sz w:val="20"/>
              </w:rPr>
              <w:t>+7.14</w:t>
            </w:r>
          </w:p>
        </w:tc>
        <w:tc>
          <w:tcPr>
            <w:tcW w:type="dxa" w:w="1247"/>
          </w:tcPr>
          <w:p>
            <w:pPr>
              <w:spacing w:after="20"/>
              <w:jc w:val="left"/>
            </w:pPr>
            <w:r/>
            <w:r>
              <w:rPr>
                <w:rFonts w:ascii="Times New Roman" w:hAnsi="Times New Roman" w:eastAsia="宋体"/>
                <w:color w:val="000000"/>
                <w:sz w:val="20"/>
              </w:rPr>
              <w:t>0.057</w:t>
            </w:r>
          </w:p>
        </w:tc>
        <w:tc>
          <w:tcPr>
            <w:tcW w:type="dxa" w:w="1247"/>
          </w:tcPr>
          <w:p>
            <w:pPr>
              <w:spacing w:after="20"/>
              <w:jc w:val="left"/>
            </w:pPr>
            <w:r/>
            <w:r>
              <w:rPr>
                <w:rFonts w:ascii="Times New Roman" w:hAnsi="Times New Roman" w:eastAsia="宋体"/>
                <w:color w:val="000000"/>
                <w:sz w:val="20"/>
              </w:rPr>
              <w:t>1.15</w:t>
            </w:r>
          </w:p>
        </w:tc>
        <w:tc>
          <w:tcPr>
            <w:tcW w:type="dxa" w:w="1247"/>
          </w:tcPr>
          <w:p>
            <w:pPr>
              <w:spacing w:after="20"/>
              <w:jc w:val="left"/>
            </w:pPr>
            <w:r/>
            <w:r>
              <w:rPr>
                <w:rFonts w:ascii="Times New Roman" w:hAnsi="Times New Roman" w:eastAsia="宋体"/>
                <w:color w:val="000000"/>
                <w:sz w:val="20"/>
              </w:rPr>
              <w:t>不一致</w:t>
            </w:r>
          </w:p>
        </w:tc>
      </w:tr>
      <w:tr>
        <w:tc>
          <w:tcPr>
            <w:tcW w:type="dxa" w:w="1247"/>
          </w:tcPr>
          <w:p>
            <w:pPr>
              <w:spacing w:after="20"/>
              <w:jc w:val="center"/>
            </w:pPr>
            <w:r/>
            <w:r>
              <w:rPr>
                <w:rFonts w:ascii="Times New Roman" w:hAnsi="Times New Roman" w:eastAsia="宋体"/>
                <w:color w:val="000000"/>
                <w:sz w:val="20"/>
              </w:rPr>
              <w:t>Other Household</w:t>
            </w:r>
          </w:p>
        </w:tc>
        <w:tc>
          <w:tcPr>
            <w:tcW w:type="dxa" w:w="1247"/>
          </w:tcPr>
          <w:p>
            <w:pPr>
              <w:spacing w:after="20"/>
              <w:jc w:val="left"/>
            </w:pPr>
            <w:r/>
            <w:r>
              <w:rPr>
                <w:rFonts w:ascii="Times New Roman" w:hAnsi="Times New Roman" w:eastAsia="宋体"/>
                <w:color w:val="000000"/>
                <w:sz w:val="20"/>
              </w:rPr>
              <w:t>5.64</w:t>
            </w:r>
          </w:p>
        </w:tc>
        <w:tc>
          <w:tcPr>
            <w:tcW w:type="dxa" w:w="1247"/>
          </w:tcPr>
          <w:p>
            <w:pPr>
              <w:spacing w:after="20"/>
              <w:jc w:val="left"/>
            </w:pPr>
            <w:r/>
            <w:r>
              <w:rPr>
                <w:rFonts w:ascii="Times New Roman" w:hAnsi="Times New Roman" w:eastAsia="宋体"/>
                <w:color w:val="000000"/>
                <w:sz w:val="20"/>
              </w:rPr>
              <w:t>15.36</w:t>
            </w:r>
          </w:p>
        </w:tc>
        <w:tc>
          <w:tcPr>
            <w:tcW w:type="dxa" w:w="1247"/>
          </w:tcPr>
          <w:p>
            <w:pPr>
              <w:spacing w:after="20"/>
              <w:jc w:val="left"/>
            </w:pPr>
            <w:r/>
            <w:r>
              <w:rPr>
                <w:rFonts w:ascii="Times New Roman" w:hAnsi="Times New Roman" w:eastAsia="宋体"/>
                <w:color w:val="000000"/>
                <w:sz w:val="20"/>
              </w:rPr>
              <w:t>+9.72</w:t>
            </w:r>
          </w:p>
        </w:tc>
        <w:tc>
          <w:tcPr>
            <w:tcW w:type="dxa" w:w="1247"/>
          </w:tcPr>
          <w:p>
            <w:pPr>
              <w:spacing w:after="20"/>
              <w:jc w:val="left"/>
            </w:pPr>
            <w:r/>
            <w:r>
              <w:rPr>
                <w:rFonts w:ascii="Times New Roman" w:hAnsi="Times New Roman" w:eastAsia="宋体"/>
                <w:color w:val="000000"/>
                <w:sz w:val="20"/>
              </w:rPr>
              <w:t>0.089</w:t>
            </w:r>
          </w:p>
        </w:tc>
        <w:tc>
          <w:tcPr>
            <w:tcW w:type="dxa" w:w="1247"/>
          </w:tcPr>
          <w:p>
            <w:pPr>
              <w:spacing w:after="20"/>
              <w:jc w:val="left"/>
            </w:pPr>
            <w:r/>
            <w:r>
              <w:rPr>
                <w:rFonts w:ascii="Times New Roman" w:hAnsi="Times New Roman" w:eastAsia="宋体"/>
                <w:color w:val="000000"/>
                <w:sz w:val="20"/>
              </w:rPr>
              <w:t>1.46</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Stationery &amp; Wrap</w:t>
            </w:r>
          </w:p>
        </w:tc>
        <w:tc>
          <w:tcPr>
            <w:tcW w:type="dxa" w:w="1247"/>
          </w:tcPr>
          <w:p>
            <w:pPr>
              <w:spacing w:after="20"/>
              <w:jc w:val="left"/>
            </w:pPr>
            <w:r/>
            <w:r>
              <w:rPr>
                <w:rFonts w:ascii="Times New Roman" w:hAnsi="Times New Roman" w:eastAsia="宋体"/>
                <w:color w:val="000000"/>
                <w:sz w:val="20"/>
              </w:rPr>
              <w:t>1.42</w:t>
            </w:r>
          </w:p>
        </w:tc>
        <w:tc>
          <w:tcPr>
            <w:tcW w:type="dxa" w:w="1247"/>
          </w:tcPr>
          <w:p>
            <w:pPr>
              <w:spacing w:after="20"/>
              <w:jc w:val="left"/>
            </w:pPr>
            <w:r/>
            <w:r>
              <w:rPr>
                <w:rFonts w:ascii="Times New Roman" w:hAnsi="Times New Roman" w:eastAsia="宋体"/>
                <w:color w:val="000000"/>
                <w:sz w:val="20"/>
              </w:rPr>
              <w:t>18.34</w:t>
            </w:r>
          </w:p>
        </w:tc>
        <w:tc>
          <w:tcPr>
            <w:tcW w:type="dxa" w:w="1247"/>
          </w:tcPr>
          <w:p>
            <w:pPr>
              <w:spacing w:after="20"/>
              <w:jc w:val="left"/>
            </w:pPr>
            <w:r/>
            <w:r>
              <w:rPr>
                <w:rFonts w:ascii="Times New Roman" w:hAnsi="Times New Roman" w:eastAsia="宋体"/>
                <w:color w:val="000000"/>
                <w:sz w:val="20"/>
              </w:rPr>
              <w:t>+16.92</w:t>
            </w:r>
          </w:p>
        </w:tc>
        <w:tc>
          <w:tcPr>
            <w:tcW w:type="dxa" w:w="1247"/>
          </w:tcPr>
          <w:p>
            <w:pPr>
              <w:spacing w:after="20"/>
              <w:jc w:val="left"/>
            </w:pPr>
            <w:r/>
            <w:r>
              <w:rPr>
                <w:rFonts w:ascii="Times New Roman" w:hAnsi="Times New Roman" w:eastAsia="宋体"/>
                <w:color w:val="000000"/>
                <w:sz w:val="20"/>
              </w:rPr>
              <w:t>0.129</w:t>
            </w:r>
          </w:p>
        </w:tc>
        <w:tc>
          <w:tcPr>
            <w:tcW w:type="dxa" w:w="1247"/>
          </w:tcPr>
          <w:p>
            <w:pPr>
              <w:spacing w:after="20"/>
              <w:jc w:val="left"/>
            </w:pPr>
            <w:r/>
            <w:r>
              <w:rPr>
                <w:rFonts w:ascii="Times New Roman" w:hAnsi="Times New Roman" w:eastAsia="宋体"/>
                <w:color w:val="000000"/>
                <w:sz w:val="20"/>
              </w:rPr>
              <w:t>1.81</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Kitchen &amp; Dining</w:t>
            </w:r>
          </w:p>
        </w:tc>
        <w:tc>
          <w:tcPr>
            <w:tcW w:type="dxa" w:w="1247"/>
          </w:tcPr>
          <w:p>
            <w:pPr>
              <w:spacing w:after="20"/>
              <w:jc w:val="left"/>
            </w:pPr>
            <w:r/>
            <w:r>
              <w:rPr>
                <w:rFonts w:ascii="Times New Roman" w:hAnsi="Times New Roman" w:eastAsia="宋体"/>
                <w:color w:val="000000"/>
                <w:sz w:val="20"/>
              </w:rPr>
              <w:t>0.45</w:t>
            </w:r>
          </w:p>
        </w:tc>
        <w:tc>
          <w:tcPr>
            <w:tcW w:type="dxa" w:w="1247"/>
          </w:tcPr>
          <w:p>
            <w:pPr>
              <w:spacing w:after="20"/>
              <w:jc w:val="left"/>
            </w:pPr>
            <w:r/>
            <w:r>
              <w:rPr>
                <w:rFonts w:ascii="Times New Roman" w:hAnsi="Times New Roman" w:eastAsia="宋体"/>
                <w:color w:val="000000"/>
                <w:sz w:val="20"/>
              </w:rPr>
              <w:t>5.69</w:t>
            </w:r>
          </w:p>
        </w:tc>
        <w:tc>
          <w:tcPr>
            <w:tcW w:type="dxa" w:w="1247"/>
          </w:tcPr>
          <w:p>
            <w:pPr>
              <w:spacing w:after="20"/>
              <w:jc w:val="left"/>
            </w:pPr>
            <w:r/>
            <w:r>
              <w:rPr>
                <w:rFonts w:ascii="Times New Roman" w:hAnsi="Times New Roman" w:eastAsia="宋体"/>
                <w:color w:val="000000"/>
                <w:sz w:val="20"/>
              </w:rPr>
              <w:t>+5.24</w:t>
            </w:r>
          </w:p>
        </w:tc>
        <w:tc>
          <w:tcPr>
            <w:tcW w:type="dxa" w:w="1247"/>
          </w:tcPr>
          <w:p>
            <w:pPr>
              <w:spacing w:after="20"/>
              <w:jc w:val="left"/>
            </w:pPr>
            <w:r/>
            <w:r>
              <w:rPr>
                <w:rFonts w:ascii="Times New Roman" w:hAnsi="Times New Roman" w:eastAsia="宋体"/>
                <w:color w:val="000000"/>
                <w:sz w:val="20"/>
              </w:rPr>
              <w:t>0.012</w:t>
            </w:r>
          </w:p>
        </w:tc>
        <w:tc>
          <w:tcPr>
            <w:tcW w:type="dxa" w:w="1247"/>
          </w:tcPr>
          <w:p>
            <w:pPr>
              <w:spacing w:after="20"/>
              <w:jc w:val="left"/>
            </w:pPr>
            <w:r/>
            <w:r>
              <w:rPr>
                <w:rFonts w:ascii="Times New Roman" w:hAnsi="Times New Roman" w:eastAsia="宋体"/>
                <w:color w:val="000000"/>
                <w:sz w:val="20"/>
              </w:rPr>
              <w:t>0.52</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Bath &amp; Fragrance</w:t>
            </w:r>
          </w:p>
        </w:tc>
        <w:tc>
          <w:tcPr>
            <w:tcW w:type="dxa" w:w="1247"/>
          </w:tcPr>
          <w:p>
            <w:pPr>
              <w:spacing w:after="20"/>
              <w:jc w:val="left"/>
            </w:pPr>
            <w:r/>
            <w:r>
              <w:rPr>
                <w:rFonts w:ascii="Times New Roman" w:hAnsi="Times New Roman" w:eastAsia="宋体"/>
                <w:color w:val="000000"/>
                <w:sz w:val="20"/>
              </w:rPr>
              <w:t>-2.88</w:t>
            </w:r>
          </w:p>
        </w:tc>
        <w:tc>
          <w:tcPr>
            <w:tcW w:type="dxa" w:w="1247"/>
          </w:tcPr>
          <w:p>
            <w:pPr>
              <w:spacing w:after="20"/>
              <w:jc w:val="left"/>
            </w:pPr>
            <w:r/>
            <w:r>
              <w:rPr>
                <w:rFonts w:ascii="Times New Roman" w:hAnsi="Times New Roman" w:eastAsia="宋体"/>
                <w:color w:val="000000"/>
                <w:sz w:val="20"/>
              </w:rPr>
              <w:t>-5.92</w:t>
            </w:r>
          </w:p>
        </w:tc>
        <w:tc>
          <w:tcPr>
            <w:tcW w:type="dxa" w:w="1247"/>
          </w:tcPr>
          <w:p>
            <w:pPr>
              <w:spacing w:after="20"/>
              <w:jc w:val="left"/>
            </w:pPr>
            <w:r/>
            <w:r>
              <w:rPr>
                <w:rFonts w:ascii="Times New Roman" w:hAnsi="Times New Roman" w:eastAsia="宋体"/>
                <w:color w:val="000000"/>
                <w:sz w:val="20"/>
              </w:rPr>
              <w:t>-3.04</w:t>
            </w:r>
          </w:p>
        </w:tc>
        <w:tc>
          <w:tcPr>
            <w:tcW w:type="dxa" w:w="1247"/>
          </w:tcPr>
          <w:p>
            <w:pPr>
              <w:spacing w:after="20"/>
              <w:jc w:val="left"/>
            </w:pPr>
            <w:r/>
            <w:r>
              <w:rPr>
                <w:rFonts w:ascii="Times New Roman" w:hAnsi="Times New Roman" w:eastAsia="宋体"/>
                <w:color w:val="000000"/>
                <w:sz w:val="20"/>
              </w:rPr>
              <w:t>0.005</w:t>
            </w:r>
          </w:p>
        </w:tc>
        <w:tc>
          <w:tcPr>
            <w:tcW w:type="dxa" w:w="1247"/>
          </w:tcPr>
          <w:p>
            <w:pPr>
              <w:spacing w:after="20"/>
              <w:jc w:val="left"/>
            </w:pPr>
            <w:r/>
            <w:r>
              <w:rPr>
                <w:rFonts w:ascii="Times New Roman" w:hAnsi="Times New Roman" w:eastAsia="宋体"/>
                <w:color w:val="000000"/>
                <w:sz w:val="20"/>
              </w:rPr>
              <w:t>-0.34</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Garden &amp; Outdoor</w:t>
            </w:r>
          </w:p>
        </w:tc>
        <w:tc>
          <w:tcPr>
            <w:tcW w:type="dxa" w:w="1247"/>
          </w:tcPr>
          <w:p>
            <w:pPr>
              <w:spacing w:after="20"/>
              <w:jc w:val="left"/>
            </w:pPr>
            <w:r/>
            <w:r>
              <w:rPr>
                <w:rFonts w:ascii="Times New Roman" w:hAnsi="Times New Roman" w:eastAsia="宋体"/>
                <w:color w:val="000000"/>
                <w:sz w:val="20"/>
              </w:rPr>
              <w:t>-29.77</w:t>
            </w:r>
          </w:p>
        </w:tc>
        <w:tc>
          <w:tcPr>
            <w:tcW w:type="dxa" w:w="1247"/>
          </w:tcPr>
          <w:p>
            <w:pPr>
              <w:spacing w:after="20"/>
              <w:jc w:val="left"/>
            </w:pPr>
            <w:r/>
            <w:r>
              <w:rPr>
                <w:rFonts w:ascii="Times New Roman" w:hAnsi="Times New Roman" w:eastAsia="宋体"/>
                <w:color w:val="000000"/>
                <w:sz w:val="20"/>
              </w:rPr>
              <w:t>-19.38</w:t>
            </w:r>
          </w:p>
        </w:tc>
        <w:tc>
          <w:tcPr>
            <w:tcW w:type="dxa" w:w="1247"/>
          </w:tcPr>
          <w:p>
            <w:pPr>
              <w:spacing w:after="20"/>
              <w:jc w:val="left"/>
            </w:pPr>
            <w:r/>
            <w:r>
              <w:rPr>
                <w:rFonts w:ascii="Times New Roman" w:hAnsi="Times New Roman" w:eastAsia="宋体"/>
                <w:color w:val="000000"/>
                <w:sz w:val="20"/>
              </w:rPr>
              <w:t>+10.39</w:t>
            </w:r>
          </w:p>
        </w:tc>
        <w:tc>
          <w:tcPr>
            <w:tcW w:type="dxa" w:w="1247"/>
          </w:tcPr>
          <w:p>
            <w:pPr>
              <w:spacing w:after="20"/>
              <w:jc w:val="left"/>
            </w:pPr>
            <w:r/>
            <w:r>
              <w:rPr>
                <w:rFonts w:ascii="Times New Roman" w:hAnsi="Times New Roman" w:eastAsia="宋体"/>
                <w:color w:val="000000"/>
                <w:sz w:val="20"/>
              </w:rPr>
              <w:t>0.118</w:t>
            </w:r>
          </w:p>
        </w:tc>
        <w:tc>
          <w:tcPr>
            <w:tcW w:type="dxa" w:w="1247"/>
          </w:tcPr>
          <w:p>
            <w:pPr>
              <w:spacing w:after="20"/>
              <w:jc w:val="left"/>
            </w:pPr>
            <w:r/>
            <w:r>
              <w:rPr>
                <w:rFonts w:ascii="Times New Roman" w:hAnsi="Times New Roman" w:eastAsia="宋体"/>
                <w:color w:val="000000"/>
                <w:sz w:val="20"/>
              </w:rPr>
              <w:t>-1.71</w:t>
            </w:r>
          </w:p>
        </w:tc>
        <w:tc>
          <w:tcPr>
            <w:tcW w:type="dxa" w:w="1247"/>
          </w:tcPr>
          <w:p>
            <w:pPr>
              <w:spacing w:after="20"/>
              <w:jc w:val="left"/>
            </w:pPr>
            <w:r/>
            <w:r>
              <w:rPr>
                <w:rFonts w:ascii="Times New Roman" w:hAnsi="Times New Roman" w:eastAsia="宋体"/>
                <w:color w:val="000000"/>
                <w:sz w:val="20"/>
              </w:rPr>
              <w:t>一致</w:t>
            </w:r>
          </w:p>
        </w:tc>
      </w:tr>
      <w:tr>
        <w:tc>
          <w:tcPr>
            <w:tcW w:type="dxa" w:w="1247"/>
          </w:tcPr>
          <w:p>
            <w:pPr>
              <w:spacing w:after="20"/>
              <w:jc w:val="center"/>
            </w:pPr>
            <w:r/>
            <w:r>
              <w:rPr>
                <w:rFonts w:ascii="Times New Roman" w:hAnsi="Times New Roman" w:eastAsia="宋体"/>
                <w:color w:val="000000"/>
                <w:sz w:val="20"/>
              </w:rPr>
              <w:t>Jewellery &amp; Accessory</w:t>
            </w:r>
          </w:p>
        </w:tc>
        <w:tc>
          <w:tcPr>
            <w:tcW w:type="dxa" w:w="1247"/>
          </w:tcPr>
          <w:p>
            <w:pPr>
              <w:spacing w:after="20"/>
              <w:jc w:val="left"/>
            </w:pPr>
            <w:r/>
            <w:r>
              <w:rPr>
                <w:rFonts w:ascii="Times New Roman" w:hAnsi="Times New Roman" w:eastAsia="宋体"/>
                <w:color w:val="000000"/>
                <w:sz w:val="20"/>
              </w:rPr>
              <w:t>-48.27</w:t>
            </w:r>
          </w:p>
        </w:tc>
        <w:tc>
          <w:tcPr>
            <w:tcW w:type="dxa" w:w="1247"/>
          </w:tcPr>
          <w:p>
            <w:pPr>
              <w:spacing w:after="20"/>
              <w:jc w:val="left"/>
            </w:pPr>
            <w:r/>
            <w:r>
              <w:rPr>
                <w:rFonts w:ascii="Times New Roman" w:hAnsi="Times New Roman" w:eastAsia="宋体"/>
                <w:color w:val="000000"/>
                <w:sz w:val="20"/>
              </w:rPr>
              <w:t>-32.85</w:t>
            </w:r>
          </w:p>
        </w:tc>
        <w:tc>
          <w:tcPr>
            <w:tcW w:type="dxa" w:w="1247"/>
          </w:tcPr>
          <w:p>
            <w:pPr>
              <w:spacing w:after="20"/>
              <w:jc w:val="left"/>
            </w:pPr>
            <w:r/>
            <w:r>
              <w:rPr>
                <w:rFonts w:ascii="Times New Roman" w:hAnsi="Times New Roman" w:eastAsia="宋体"/>
                <w:color w:val="000000"/>
                <w:sz w:val="20"/>
              </w:rPr>
              <w:t>+15.42</w:t>
            </w:r>
          </w:p>
        </w:tc>
        <w:tc>
          <w:tcPr>
            <w:tcW w:type="dxa" w:w="1247"/>
          </w:tcPr>
          <w:p>
            <w:pPr>
              <w:spacing w:after="20"/>
              <w:jc w:val="left"/>
            </w:pPr>
            <w:r/>
            <w:r>
              <w:rPr>
                <w:rFonts w:ascii="Times New Roman" w:hAnsi="Times New Roman" w:eastAsia="宋体"/>
                <w:color w:val="000000"/>
                <w:sz w:val="20"/>
              </w:rPr>
              <w:t>0.242</w:t>
            </w:r>
          </w:p>
        </w:tc>
        <w:tc>
          <w:tcPr>
            <w:tcW w:type="dxa" w:w="1247"/>
          </w:tcPr>
          <w:p>
            <w:pPr>
              <w:spacing w:after="20"/>
              <w:jc w:val="left"/>
            </w:pPr>
            <w:r/>
            <w:r>
              <w:rPr>
                <w:rFonts w:ascii="Times New Roman" w:hAnsi="Times New Roman" w:eastAsia="宋体"/>
                <w:color w:val="000000"/>
                <w:sz w:val="20"/>
              </w:rPr>
              <w:t>-2.65</w:t>
            </w:r>
          </w:p>
        </w:tc>
        <w:tc>
          <w:tcPr>
            <w:tcW w:type="dxa" w:w="1247"/>
          </w:tcPr>
          <w:p>
            <w:pPr>
              <w:spacing w:after="20"/>
              <w:jc w:val="left"/>
            </w:pPr>
            <w:r/>
            <w:r>
              <w:rPr>
                <w:rFonts w:ascii="Times New Roman" w:hAnsi="Times New Roman" w:eastAsia="宋体"/>
                <w:color w:val="000000"/>
                <w:sz w:val="20"/>
              </w:rPr>
              <w:t>一致</w:t>
            </w:r>
          </w:p>
        </w:tc>
      </w:tr>
    </w:tbl>
    <w:p>
      <w:pPr>
        <w:spacing w:after="40"/>
      </w:pPr>
    </w:p>
    <w:p>
      <w:pPr>
        <w:spacing w:line="360" w:lineRule="auto" w:after="80"/>
        <w:ind w:firstLine="480"/>
        <w:jc w:val="both"/>
      </w:pPr>
      <w:r>
        <w:rPr>
          <w:rFonts w:ascii="Times New Roman" w:hAnsi="Times New Roman" w:eastAsia="宋体"/>
          <w:b w:val="0"/>
          <w:color w:val="000000"/>
          <w:sz w:val="24"/>
        </w:rPr>
        <w:t xml:space="preserve">两口径的 Spearman 秩相关为 </w:t>
      </w:r>
      <w:r>
        <w:rPr>
          <w:rFonts w:ascii="Times New Roman" w:hAnsi="Times New Roman" w:eastAsia="宋体"/>
          <w:b/>
          <w:color w:val="000000"/>
          <w:sz w:val="24"/>
        </w:rPr>
        <w:t>0.9636</w:t>
      </w:r>
      <w:r>
        <w:rPr>
          <w:rFonts w:ascii="Times New Roman" w:hAnsi="Times New Roman" w:eastAsia="宋体"/>
          <w:b w:val="0"/>
          <w:color w:val="000000"/>
          <w:sz w:val="24"/>
        </w:rPr>
        <w:t>，11 个品类中有 10 个象限归属完全一致，说明</w:t>
      </w:r>
      <w:r>
        <w:rPr>
          <w:rFonts w:ascii="Times New Roman" w:hAnsi="Times New Roman" w:eastAsia="宋体"/>
          <w:b/>
          <w:color w:val="000000"/>
          <w:sz w:val="24"/>
        </w:rPr>
        <w:t>四象限的划分是稳健的</w:t>
      </w:r>
      <w:r>
        <w:rPr>
          <w:rFonts w:ascii="Times New Roman" w:hAnsi="Times New Roman" w:eastAsia="宋体"/>
          <w:b w:val="0"/>
          <w:color w:val="000000"/>
          <w:sz w:val="24"/>
        </w:rPr>
        <w:t>，正文结论（明星：Bags &amp; Storage、Home Decor &amp; Lighting；问题：Christmas &amp; Seasonal、Party &amp; Occasion、Toys &amp; Games）不受增速口径选择的影响。</w:t>
      </w:r>
    </w:p>
    <w:p>
      <w:pPr>
        <w:spacing w:line="360" w:lineRule="auto" w:after="80"/>
        <w:ind w:firstLine="480"/>
        <w:jc w:val="both"/>
      </w:pPr>
      <w:r>
        <w:rPr>
          <w:rFonts w:ascii="Times New Roman" w:hAnsi="Times New Roman" w:eastAsia="宋体"/>
          <w:b w:val="0"/>
          <w:color w:val="000000"/>
          <w:sz w:val="24"/>
        </w:rPr>
        <w:t>但差异本身也提供了单点同比给不出的信息，尤其两点值得说明。其一，Christmas &amp; Seasonal 的 YoY 为 40.61%，趋势年化却高达 155.26%，差值 114.65 个百分点为全表最大，且趋势 R² 仅 0.131、t = 1.82（不显著）——该品类销售额集中在每年 9—11 月，月度波动系数高达 1.257（全表最高），同比口径把旺季的相位差算成了增速。因此</w:t>
      </w:r>
      <w:r>
        <w:rPr>
          <w:rFonts w:ascii="Times New Roman" w:hAnsi="Times New Roman" w:eastAsia="宋体"/>
          <w:b/>
          <w:color w:val="000000"/>
          <w:sz w:val="24"/>
        </w:rPr>
        <w:t>该品类的「高增长」应谨慎解读</w:t>
      </w:r>
      <w:r>
        <w:rPr>
          <w:rFonts w:ascii="Times New Roman" w:hAnsi="Times New Roman" w:eastAsia="宋体"/>
          <w:b w:val="0"/>
          <w:color w:val="000000"/>
          <w:sz w:val="24"/>
        </w:rPr>
        <w:t>，其作为「问题品类」的判断成立，但增速数值不宜直接用于备货量测算。其二，全表仅 3 个品类的趋势通过显著性检验（Party &amp; Occasion t = 3.60、Bags &amp; Storage t = 3.42、Jewellery &amp; Accessory t = −2.65，临界值 2.07），其余品类的「增速」在统计上与「月度噪声」无法区分。本文据此在 §6.3 的建议中对不显著品类只给出方向性意见，不做量化承诺——这是稳健性检验对业务建议产生的实际约束力，而不是形式化的补充。</w:t>
      </w:r>
    </w:p>
    <w:p>
      <w:pPr>
        <w:spacing w:line="360" w:lineRule="auto" w:after="80"/>
        <w:ind w:firstLine="480"/>
        <w:jc w:val="both"/>
      </w:pPr>
      <w:r>
        <w:rPr>
          <w:rFonts w:ascii="Times New Roman" w:hAnsi="Times New Roman" w:eastAsia="宋体"/>
          <w:b w:val="0"/>
          <w:color w:val="000000"/>
          <w:sz w:val="24"/>
        </w:rPr>
        <w:t>其余模型的验证方式与结果要点为：Apriori 共生成 3,866 条满足三阈值的规则，以提升度排序取 TOP 20 呈现；RFM 与 K-Means 通过分群后各簇的平均 R/F/M 与营收贡献占比交叉验证合理性；同期群留存通过保留率矩阵的对角结构验证计算正确性（对角线必为 100%）。</w:t>
      </w:r>
    </w:p>
    <w:p>
      <w:pPr>
        <w:keepNext/>
        <w:spacing w:line="360" w:lineRule="auto" w:before="100" w:after="80"/>
        <w:outlineLvl w:val="2"/>
      </w:pPr>
      <w:r>
        <w:rPr>
          <w:rFonts w:ascii="Times New Roman" w:hAnsi="Times New Roman" w:eastAsia="黑体"/>
          <w:b/>
          <w:color w:val="000000"/>
          <w:sz w:val="24"/>
        </w:rPr>
        <w:t>4.3.4 流失预警：模型判别力与三个会被追问的问题</w:t>
      </w:r>
    </w:p>
    <w:p>
      <w:pPr>
        <w:spacing w:line="360" w:lineRule="auto" w:after="80"/>
        <w:ind w:firstLine="480"/>
        <w:jc w:val="both"/>
      </w:pPr>
      <w:r>
        <w:rPr>
          <w:rFonts w:ascii="Times New Roman" w:hAnsi="Times New Roman" w:eastAsia="宋体"/>
          <w:b w:val="0"/>
          <w:color w:val="000000"/>
          <w:sz w:val="24"/>
        </w:rPr>
        <w:t>流失预警（M10）最容易在评审环节被追问的不是「AUC 多少」，而是三个更根本的问题。本节逐一给出可核查的答案。</w:t>
      </w:r>
    </w:p>
    <w:p>
      <w:pPr>
        <w:spacing w:line="360" w:lineRule="auto" w:after="80"/>
        <w:ind w:firstLine="480"/>
        <w:jc w:val="both"/>
      </w:pPr>
      <w:r>
        <w:rPr>
          <w:rFonts w:ascii="Times New Roman" w:hAnsi="Times New Roman" w:eastAsia="宋体"/>
          <w:b/>
          <w:color w:val="000000"/>
          <w:sz w:val="24"/>
        </w:rPr>
        <w:t>问题一：这个分数是模型的极限，还是调参不够？</w:t>
      </w:r>
      <w:r>
        <w:rPr>
          <w:rFonts w:ascii="Times New Roman" w:hAnsi="Times New Roman" w:eastAsia="宋体"/>
          <w:b w:val="0"/>
          <w:color w:val="000000"/>
          <w:sz w:val="24"/>
        </w:rPr>
        <w:t xml:space="preserve"> 把主样本按历史购买次数切成两类后分别建模，答案很清楚（表 4-8）。复购客户（历史 ≥2 次购买）的 AUC 为 0.7022，模型有实际预测能力；而一次性客户（历史仅 1 次购买）的 AUC 只有 0.5481，已接近随机猜（0.5）的水平。为排除「特征选得不好」这一解释，又为一次性客户单独构造了首购特征集（首购金额、首购品类数、首购距观测窗末天数、是否四季度下单等 6 维）重做一次，AUC 仍为 0.5464。</w:t>
      </w:r>
      <w:r>
        <w:rPr>
          <w:rFonts w:ascii="Times New Roman" w:hAnsi="Times New Roman" w:eastAsia="宋体"/>
          <w:b/>
          <w:color w:val="000000"/>
          <w:sz w:val="24"/>
        </w:rPr>
        <w:t>结论：一次性客户的流失无法由历史行为预测，这是数据本身的上限，不是模型没调好。</w:t>
      </w:r>
      <w:r>
        <w:rPr>
          <w:rFonts w:ascii="Times New Roman" w:hAnsi="Times New Roman" w:eastAsia="宋体"/>
          <w:b w:val="0"/>
          <w:color w:val="000000"/>
          <w:sz w:val="24"/>
        </w:rPr>
        <w:t xml:space="preserve"> 该结论直接改变业务动作——对这批客户做精准挽留是无效投入，资源应转向改善首购体验（首单商品质量、物流时效、包裹体验），把他们变成复购客户。</w:t>
      </w:r>
    </w:p>
    <w:p>
      <w:pPr>
        <w:spacing w:after="40"/>
        <w:jc w:val="center"/>
      </w:pPr>
      <w:r>
        <w:rPr>
          <w:rFonts w:ascii="Times New Roman" w:hAnsi="Times New Roman" w:eastAsia="黑体"/>
          <w:color w:val="000000"/>
          <w:sz w:val="21"/>
        </w:rPr>
        <w:t>表 4-8  流失预警分层可预测性：模型能力的边界</w:t>
      </w:r>
    </w:p>
    <w:tbl>
      <w:tblPr>
        <w:tblStyle w:val="TableGrid"/>
        <w:tblW w:type="auto" w:w="0"/>
        <w:jc w:val="center"/>
        <w:tblLook w:firstColumn="1" w:firstRow="1" w:lastColumn="0" w:lastRow="0" w:noHBand="0" w:noVBand="1" w:val="04A0"/>
      </w:tblPr>
      <w:tblGrid>
        <w:gridCol w:w="1455"/>
        <w:gridCol w:w="1455"/>
        <w:gridCol w:w="1455"/>
        <w:gridCol w:w="1455"/>
        <w:gridCol w:w="1455"/>
        <w:gridCol w:w="1455"/>
      </w:tblGrid>
      <w:tr>
        <w:tc>
          <w:tcPr>
            <w:tcW w:type="dxa" w:w="1455"/>
          </w:tcPr>
          <w:p>
            <w:pPr>
              <w:jc w:val="center"/>
            </w:pPr>
            <w:r/>
            <w:r>
              <w:rPr>
                <w:rFonts w:ascii="Times New Roman" w:hAnsi="Times New Roman" w:eastAsia="黑体"/>
                <w:b/>
                <w:color w:val="000000"/>
                <w:sz w:val="20"/>
              </w:rPr>
              <w:t>客群</w:t>
            </w:r>
          </w:p>
        </w:tc>
        <w:tc>
          <w:tcPr>
            <w:tcW w:type="dxa" w:w="1455"/>
          </w:tcPr>
          <w:p>
            <w:pPr>
              <w:jc w:val="center"/>
            </w:pPr>
            <w:r/>
            <w:r>
              <w:rPr>
                <w:rFonts w:ascii="Times New Roman" w:hAnsi="Times New Roman" w:eastAsia="黑体"/>
                <w:b/>
                <w:color w:val="000000"/>
                <w:sz w:val="20"/>
              </w:rPr>
              <w:t>客户数</w:t>
            </w:r>
          </w:p>
        </w:tc>
        <w:tc>
          <w:tcPr>
            <w:tcW w:type="dxa" w:w="1455"/>
          </w:tcPr>
          <w:p>
            <w:pPr>
              <w:jc w:val="center"/>
            </w:pPr>
            <w:r/>
            <w:r>
              <w:rPr>
                <w:rFonts w:ascii="Times New Roman" w:hAnsi="Times New Roman" w:eastAsia="黑体"/>
                <w:b/>
                <w:color w:val="000000"/>
                <w:sz w:val="20"/>
              </w:rPr>
              <w:t>流失率(%)</w:t>
            </w:r>
          </w:p>
        </w:tc>
        <w:tc>
          <w:tcPr>
            <w:tcW w:type="dxa" w:w="1455"/>
          </w:tcPr>
          <w:p>
            <w:pPr>
              <w:jc w:val="center"/>
            </w:pPr>
            <w:r/>
            <w:r>
              <w:rPr>
                <w:rFonts w:ascii="Times New Roman" w:hAnsi="Times New Roman" w:eastAsia="黑体"/>
                <w:b/>
                <w:color w:val="000000"/>
                <w:sz w:val="20"/>
              </w:rPr>
              <w:t>预测特征</w:t>
            </w:r>
          </w:p>
        </w:tc>
        <w:tc>
          <w:tcPr>
            <w:tcW w:type="dxa" w:w="1455"/>
          </w:tcPr>
          <w:p>
            <w:pPr>
              <w:jc w:val="center"/>
            </w:pPr>
            <w:r/>
            <w:r>
              <w:rPr>
                <w:rFonts w:ascii="Times New Roman" w:hAnsi="Times New Roman" w:eastAsia="黑体"/>
                <w:b/>
                <w:color w:val="000000"/>
                <w:sz w:val="20"/>
              </w:rPr>
              <w:t>CV_AUC</w:t>
            </w:r>
          </w:p>
        </w:tc>
        <w:tc>
          <w:tcPr>
            <w:tcW w:type="dxa" w:w="1455"/>
          </w:tcPr>
          <w:p>
            <w:pPr>
              <w:jc w:val="center"/>
            </w:pPr>
            <w:r/>
            <w:r>
              <w:rPr>
                <w:rFonts w:ascii="Times New Roman" w:hAnsi="Times New Roman" w:eastAsia="黑体"/>
                <w:b/>
                <w:color w:val="000000"/>
                <w:sz w:val="20"/>
              </w:rPr>
              <w:t>CV_KS</w:t>
            </w:r>
          </w:p>
        </w:tc>
      </w:tr>
      <w:tr>
        <w:tc>
          <w:tcPr>
            <w:tcW w:type="dxa" w:w="1455"/>
          </w:tcPr>
          <w:p>
            <w:pPr>
              <w:spacing w:after="20"/>
              <w:jc w:val="center"/>
            </w:pPr>
            <w:r/>
            <w:r>
              <w:rPr>
                <w:rFonts w:ascii="Times New Roman" w:hAnsi="Times New Roman" w:eastAsia="宋体"/>
                <w:color w:val="000000"/>
                <w:sz w:val="20"/>
              </w:rPr>
              <w:t>一次性客户（历史仅 1 次购买）</w:t>
            </w:r>
          </w:p>
        </w:tc>
        <w:tc>
          <w:tcPr>
            <w:tcW w:type="dxa" w:w="1455"/>
          </w:tcPr>
          <w:p>
            <w:pPr>
              <w:spacing w:after="20"/>
              <w:jc w:val="left"/>
            </w:pPr>
            <w:r/>
            <w:r>
              <w:rPr>
                <w:rFonts w:ascii="Times New Roman" w:hAnsi="Times New Roman" w:eastAsia="宋体"/>
                <w:color w:val="000000"/>
                <w:sz w:val="20"/>
              </w:rPr>
              <w:t>1,593</w:t>
            </w:r>
          </w:p>
        </w:tc>
        <w:tc>
          <w:tcPr>
            <w:tcW w:type="dxa" w:w="1455"/>
          </w:tcPr>
          <w:p>
            <w:pPr>
              <w:spacing w:after="20"/>
              <w:jc w:val="left"/>
            </w:pPr>
            <w:r/>
            <w:r>
              <w:rPr>
                <w:rFonts w:ascii="Times New Roman" w:hAnsi="Times New Roman" w:eastAsia="宋体"/>
                <w:color w:val="000000"/>
                <w:sz w:val="20"/>
              </w:rPr>
              <w:t>86.06</w:t>
            </w:r>
          </w:p>
        </w:tc>
        <w:tc>
          <w:tcPr>
            <w:tcW w:type="dxa" w:w="1455"/>
          </w:tcPr>
          <w:p>
            <w:pPr>
              <w:spacing w:after="20"/>
              <w:jc w:val="left"/>
            </w:pPr>
            <w:r/>
            <w:r>
              <w:rPr>
                <w:rFonts w:ascii="Times New Roman" w:hAnsi="Times New Roman" w:eastAsia="宋体"/>
                <w:color w:val="000000"/>
                <w:sz w:val="20"/>
              </w:rPr>
              <w:t>全量 RFM 行为特征（14 维）</w:t>
            </w:r>
          </w:p>
        </w:tc>
        <w:tc>
          <w:tcPr>
            <w:tcW w:type="dxa" w:w="1455"/>
          </w:tcPr>
          <w:p>
            <w:pPr>
              <w:spacing w:after="20"/>
              <w:jc w:val="left"/>
            </w:pPr>
            <w:r/>
            <w:r>
              <w:rPr>
                <w:rFonts w:ascii="Times New Roman" w:hAnsi="Times New Roman" w:eastAsia="宋体"/>
                <w:color w:val="000000"/>
                <w:sz w:val="20"/>
              </w:rPr>
              <w:t>0.5481</w:t>
            </w:r>
          </w:p>
        </w:tc>
        <w:tc>
          <w:tcPr>
            <w:tcW w:type="dxa" w:w="1455"/>
          </w:tcPr>
          <w:p>
            <w:pPr>
              <w:spacing w:after="20"/>
              <w:jc w:val="left"/>
            </w:pPr>
            <w:r/>
            <w:r>
              <w:rPr>
                <w:rFonts w:ascii="Times New Roman" w:hAnsi="Times New Roman" w:eastAsia="宋体"/>
                <w:color w:val="000000"/>
                <w:sz w:val="20"/>
              </w:rPr>
              <w:t>0.0910</w:t>
            </w:r>
          </w:p>
        </w:tc>
      </w:tr>
      <w:tr>
        <w:tc>
          <w:tcPr>
            <w:tcW w:type="dxa" w:w="1455"/>
          </w:tcPr>
          <w:p>
            <w:pPr>
              <w:spacing w:after="20"/>
              <w:jc w:val="center"/>
            </w:pPr>
            <w:r/>
            <w:r>
              <w:rPr>
                <w:rFonts w:ascii="Times New Roman" w:hAnsi="Times New Roman" w:eastAsia="宋体"/>
                <w:color w:val="000000"/>
                <w:sz w:val="20"/>
              </w:rPr>
              <w:t>一次性客户（历史仅 1 次购买）</w:t>
            </w:r>
          </w:p>
        </w:tc>
        <w:tc>
          <w:tcPr>
            <w:tcW w:type="dxa" w:w="1455"/>
          </w:tcPr>
          <w:p>
            <w:pPr>
              <w:spacing w:after="20"/>
              <w:jc w:val="left"/>
            </w:pPr>
            <w:r/>
            <w:r>
              <w:rPr>
                <w:rFonts w:ascii="Times New Roman" w:hAnsi="Times New Roman" w:eastAsia="宋体"/>
                <w:color w:val="000000"/>
                <w:sz w:val="20"/>
              </w:rPr>
              <w:t>1,593</w:t>
            </w:r>
          </w:p>
        </w:tc>
        <w:tc>
          <w:tcPr>
            <w:tcW w:type="dxa" w:w="1455"/>
          </w:tcPr>
          <w:p>
            <w:pPr>
              <w:spacing w:after="20"/>
              <w:jc w:val="left"/>
            </w:pPr>
            <w:r/>
            <w:r>
              <w:rPr>
                <w:rFonts w:ascii="Times New Roman" w:hAnsi="Times New Roman" w:eastAsia="宋体"/>
                <w:color w:val="000000"/>
                <w:sz w:val="20"/>
              </w:rPr>
              <w:t>86.06</w:t>
            </w:r>
          </w:p>
        </w:tc>
        <w:tc>
          <w:tcPr>
            <w:tcW w:type="dxa" w:w="1455"/>
          </w:tcPr>
          <w:p>
            <w:pPr>
              <w:spacing w:after="20"/>
              <w:jc w:val="left"/>
            </w:pPr>
            <w:r/>
            <w:r>
              <w:rPr>
                <w:rFonts w:ascii="Times New Roman" w:hAnsi="Times New Roman" w:eastAsia="宋体"/>
                <w:color w:val="000000"/>
                <w:sz w:val="20"/>
              </w:rPr>
              <w:t>首购特征集（6 维）</w:t>
            </w:r>
          </w:p>
        </w:tc>
        <w:tc>
          <w:tcPr>
            <w:tcW w:type="dxa" w:w="1455"/>
          </w:tcPr>
          <w:p>
            <w:pPr>
              <w:spacing w:after="20"/>
              <w:jc w:val="left"/>
            </w:pPr>
            <w:r/>
            <w:r>
              <w:rPr>
                <w:rFonts w:ascii="Times New Roman" w:hAnsi="Times New Roman" w:eastAsia="宋体"/>
                <w:color w:val="000000"/>
                <w:sz w:val="20"/>
              </w:rPr>
              <w:t>0.5464</w:t>
            </w:r>
          </w:p>
        </w:tc>
        <w:tc>
          <w:tcPr>
            <w:tcW w:type="dxa" w:w="1455"/>
          </w:tcPr>
          <w:p>
            <w:pPr>
              <w:spacing w:after="20"/>
              <w:jc w:val="left"/>
            </w:pPr>
            <w:r/>
            <w:r>
              <w:rPr>
                <w:rFonts w:ascii="Times New Roman" w:hAnsi="Times New Roman" w:eastAsia="宋体"/>
                <w:color w:val="000000"/>
                <w:sz w:val="20"/>
              </w:rPr>
              <w:t>0.0993</w:t>
            </w:r>
          </w:p>
        </w:tc>
      </w:tr>
      <w:tr>
        <w:tc>
          <w:tcPr>
            <w:tcW w:type="dxa" w:w="1455"/>
          </w:tcPr>
          <w:p>
            <w:pPr>
              <w:spacing w:after="20"/>
              <w:jc w:val="center"/>
            </w:pPr>
            <w:r/>
            <w:r>
              <w:rPr>
                <w:rFonts w:ascii="Times New Roman" w:hAnsi="Times New Roman" w:eastAsia="宋体"/>
                <w:color w:val="000000"/>
                <w:sz w:val="20"/>
              </w:rPr>
              <w:t>复购客户（历史 ≥2 次购买）</w:t>
            </w:r>
          </w:p>
        </w:tc>
        <w:tc>
          <w:tcPr>
            <w:tcW w:type="dxa" w:w="1455"/>
          </w:tcPr>
          <w:p>
            <w:pPr>
              <w:spacing w:after="20"/>
              <w:jc w:val="left"/>
            </w:pPr>
            <w:r/>
            <w:r>
              <w:rPr>
                <w:rFonts w:ascii="Times New Roman" w:hAnsi="Times New Roman" w:eastAsia="宋体"/>
                <w:color w:val="000000"/>
                <w:sz w:val="20"/>
              </w:rPr>
              <w:t>1,662</w:t>
            </w:r>
          </w:p>
        </w:tc>
        <w:tc>
          <w:tcPr>
            <w:tcW w:type="dxa" w:w="1455"/>
          </w:tcPr>
          <w:p>
            <w:pPr>
              <w:spacing w:after="20"/>
              <w:jc w:val="left"/>
            </w:pPr>
            <w:r/>
            <w:r>
              <w:rPr>
                <w:rFonts w:ascii="Times New Roman" w:hAnsi="Times New Roman" w:eastAsia="宋体"/>
                <w:color w:val="000000"/>
                <w:sz w:val="20"/>
              </w:rPr>
              <w:t>62.88</w:t>
            </w:r>
          </w:p>
        </w:tc>
        <w:tc>
          <w:tcPr>
            <w:tcW w:type="dxa" w:w="1455"/>
          </w:tcPr>
          <w:p>
            <w:pPr>
              <w:spacing w:after="20"/>
              <w:jc w:val="left"/>
            </w:pPr>
            <w:r/>
            <w:r>
              <w:rPr>
                <w:rFonts w:ascii="Times New Roman" w:hAnsi="Times New Roman" w:eastAsia="宋体"/>
                <w:color w:val="000000"/>
                <w:sz w:val="20"/>
              </w:rPr>
              <w:t>全量 RFM 行为特征（14 维）</w:t>
            </w:r>
          </w:p>
        </w:tc>
        <w:tc>
          <w:tcPr>
            <w:tcW w:type="dxa" w:w="1455"/>
          </w:tcPr>
          <w:p>
            <w:pPr>
              <w:spacing w:after="20"/>
              <w:jc w:val="left"/>
            </w:pPr>
            <w:r/>
            <w:r>
              <w:rPr>
                <w:rFonts w:ascii="Times New Roman" w:hAnsi="Times New Roman" w:eastAsia="宋体"/>
                <w:color w:val="000000"/>
                <w:sz w:val="20"/>
              </w:rPr>
              <w:t>0.7022</w:t>
            </w:r>
          </w:p>
        </w:tc>
        <w:tc>
          <w:tcPr>
            <w:tcW w:type="dxa" w:w="1455"/>
          </w:tcPr>
          <w:p>
            <w:pPr>
              <w:spacing w:after="20"/>
              <w:jc w:val="left"/>
            </w:pPr>
            <w:r/>
            <w:r>
              <w:rPr>
                <w:rFonts w:ascii="Times New Roman" w:hAnsi="Times New Roman" w:eastAsia="宋体"/>
                <w:color w:val="000000"/>
                <w:sz w:val="20"/>
              </w:rPr>
              <w:t>0.3148</w:t>
            </w:r>
          </w:p>
        </w:tc>
      </w:tr>
    </w:tbl>
    <w:p>
      <w:pPr>
        <w:spacing w:after="40"/>
      </w:pPr>
    </w:p>
    <w:p>
      <w:pPr>
        <w:spacing w:line="360" w:lineRule="auto" w:after="80"/>
        <w:ind w:firstLine="480"/>
        <w:jc w:val="both"/>
      </w:pPr>
      <w:r>
        <w:rPr>
          <w:rFonts w:ascii="Times New Roman" w:hAnsi="Times New Roman" w:eastAsia="宋体"/>
          <w:b/>
          <w:color w:val="000000"/>
          <w:sz w:val="24"/>
        </w:rPr>
        <w:t>问题二：换个时间窗口还成立吗？</w:t>
      </w:r>
      <w:r>
        <w:rPr>
          <w:rFonts w:ascii="Times New Roman" w:hAnsi="Times New Roman" w:eastAsia="宋体"/>
          <w:b w:val="0"/>
          <w:color w:val="000000"/>
          <w:sz w:val="24"/>
        </w:rPr>
        <w:t xml:space="preserve"> 只用单个窗口训练与测试，无法区分「模型学到了稳定规律」与「模型记住了这个窗口的噪声」。为此把表现窗整体前移，用同一个主窗口训练出的模型去预测三个更早的时间段（表 4-9）。三个时间外窗口的 AUC 落在 0.7100—0.7439 之间，波动幅度仅 0.034，且不存在随前移而衰减的趋势模型确实捕捉到了跨时间稳定的行为规律，而非某一窗口的巧合。</w:t>
      </w:r>
    </w:p>
    <w:p>
      <w:pPr>
        <w:spacing w:after="40"/>
        <w:jc w:val="center"/>
      </w:pPr>
      <w:r>
        <w:rPr>
          <w:rFonts w:ascii="Times New Roman" w:hAnsi="Times New Roman" w:eastAsia="黑体"/>
          <w:color w:val="000000"/>
          <w:sz w:val="21"/>
        </w:rPr>
        <w:t>表 4-9  流失预警多窗口时间外稳健性</w:t>
      </w:r>
    </w:p>
    <w:tbl>
      <w:tblPr>
        <w:tblStyle w:val="TableGrid"/>
        <w:tblW w:type="auto" w:w="0"/>
        <w:jc w:val="center"/>
        <w:tblLook w:firstColumn="1" w:firstRow="1" w:lastColumn="0" w:lastRow="0" w:noHBand="0" w:noVBand="1" w:val="04A0"/>
      </w:tblPr>
      <w:tblGrid>
        <w:gridCol w:w="1247"/>
        <w:gridCol w:w="1247"/>
        <w:gridCol w:w="1247"/>
        <w:gridCol w:w="1247"/>
        <w:gridCol w:w="1247"/>
        <w:gridCol w:w="1247"/>
        <w:gridCol w:w="1247"/>
      </w:tblGrid>
      <w:tr>
        <w:tc>
          <w:tcPr>
            <w:tcW w:type="dxa" w:w="1247"/>
          </w:tcPr>
          <w:p>
            <w:pPr>
              <w:jc w:val="center"/>
            </w:pPr>
            <w:r/>
            <w:r>
              <w:rPr>
                <w:rFonts w:ascii="Times New Roman" w:hAnsi="Times New Roman" w:eastAsia="黑体"/>
                <w:b/>
                <w:color w:val="000000"/>
                <w:sz w:val="20"/>
              </w:rPr>
              <w:t>表现窗</w:t>
            </w:r>
          </w:p>
        </w:tc>
        <w:tc>
          <w:tcPr>
            <w:tcW w:type="dxa" w:w="1247"/>
          </w:tcPr>
          <w:p>
            <w:pPr>
              <w:jc w:val="center"/>
            </w:pPr>
            <w:r/>
            <w:r>
              <w:rPr>
                <w:rFonts w:ascii="Times New Roman" w:hAnsi="Times New Roman" w:eastAsia="黑体"/>
                <w:b/>
                <w:color w:val="000000"/>
                <w:sz w:val="20"/>
              </w:rPr>
              <w:t>窗口类型</w:t>
            </w:r>
          </w:p>
        </w:tc>
        <w:tc>
          <w:tcPr>
            <w:tcW w:type="dxa" w:w="1247"/>
          </w:tcPr>
          <w:p>
            <w:pPr>
              <w:jc w:val="center"/>
            </w:pPr>
            <w:r/>
            <w:r>
              <w:rPr>
                <w:rFonts w:ascii="Times New Roman" w:hAnsi="Times New Roman" w:eastAsia="黑体"/>
                <w:b/>
                <w:color w:val="000000"/>
                <w:sz w:val="20"/>
              </w:rPr>
              <w:t>样本客户数</w:t>
            </w:r>
          </w:p>
        </w:tc>
        <w:tc>
          <w:tcPr>
            <w:tcW w:type="dxa" w:w="1247"/>
          </w:tcPr>
          <w:p>
            <w:pPr>
              <w:jc w:val="center"/>
            </w:pPr>
            <w:r/>
            <w:r>
              <w:rPr>
                <w:rFonts w:ascii="Times New Roman" w:hAnsi="Times New Roman" w:eastAsia="黑体"/>
                <w:b/>
                <w:color w:val="000000"/>
                <w:sz w:val="20"/>
              </w:rPr>
              <w:t>流失率(%)</w:t>
            </w:r>
          </w:p>
        </w:tc>
        <w:tc>
          <w:tcPr>
            <w:tcW w:type="dxa" w:w="1247"/>
          </w:tcPr>
          <w:p>
            <w:pPr>
              <w:jc w:val="center"/>
            </w:pPr>
            <w:r/>
            <w:r>
              <w:rPr>
                <w:rFonts w:ascii="Times New Roman" w:hAnsi="Times New Roman" w:eastAsia="黑体"/>
                <w:b/>
                <w:color w:val="000000"/>
                <w:sz w:val="20"/>
              </w:rPr>
              <w:t>AUC</w:t>
            </w:r>
          </w:p>
        </w:tc>
        <w:tc>
          <w:tcPr>
            <w:tcW w:type="dxa" w:w="1247"/>
          </w:tcPr>
          <w:p>
            <w:pPr>
              <w:jc w:val="center"/>
            </w:pPr>
            <w:r/>
            <w:r>
              <w:rPr>
                <w:rFonts w:ascii="Times New Roman" w:hAnsi="Times New Roman" w:eastAsia="黑体"/>
                <w:b/>
                <w:color w:val="000000"/>
                <w:sz w:val="20"/>
              </w:rPr>
              <w:t>PR_AUC</w:t>
            </w:r>
          </w:p>
        </w:tc>
        <w:tc>
          <w:tcPr>
            <w:tcW w:type="dxa" w:w="1247"/>
          </w:tcPr>
          <w:p>
            <w:pPr>
              <w:jc w:val="center"/>
            </w:pPr>
            <w:r/>
            <w:r>
              <w:rPr>
                <w:rFonts w:ascii="Times New Roman" w:hAnsi="Times New Roman" w:eastAsia="黑体"/>
                <w:b/>
                <w:color w:val="000000"/>
                <w:sz w:val="20"/>
              </w:rPr>
              <w:t>KS</w:t>
            </w:r>
          </w:p>
        </w:tc>
      </w:tr>
      <w:tr>
        <w:tc>
          <w:tcPr>
            <w:tcW w:type="dxa" w:w="1247"/>
          </w:tcPr>
          <w:p>
            <w:pPr>
              <w:spacing w:after="20"/>
              <w:jc w:val="center"/>
            </w:pPr>
            <w:r/>
            <w:r>
              <w:rPr>
                <w:rFonts w:ascii="Times New Roman" w:hAnsi="Times New Roman" w:eastAsia="宋体"/>
                <w:color w:val="000000"/>
                <w:sz w:val="20"/>
              </w:rPr>
              <w:t>2011-08-31 ~ 2011-11-30</w:t>
            </w:r>
          </w:p>
        </w:tc>
        <w:tc>
          <w:tcPr>
            <w:tcW w:type="dxa" w:w="1247"/>
          </w:tcPr>
          <w:p>
            <w:pPr>
              <w:spacing w:after="20"/>
              <w:jc w:val="left"/>
            </w:pPr>
            <w:r/>
            <w:r>
              <w:rPr>
                <w:rFonts w:ascii="Times New Roman" w:hAnsi="Times New Roman" w:eastAsia="宋体"/>
                <w:color w:val="000000"/>
                <w:sz w:val="20"/>
              </w:rPr>
              <w:t>主建模窗口（样本内拟合，仅作参照）</w:t>
            </w:r>
          </w:p>
        </w:tc>
        <w:tc>
          <w:tcPr>
            <w:tcW w:type="dxa" w:w="1247"/>
          </w:tcPr>
          <w:p>
            <w:pPr>
              <w:spacing w:after="20"/>
              <w:jc w:val="left"/>
            </w:pPr>
            <w:r/>
            <w:r>
              <w:rPr>
                <w:rFonts w:ascii="Times New Roman" w:hAnsi="Times New Roman" w:eastAsia="宋体"/>
                <w:color w:val="000000"/>
                <w:sz w:val="20"/>
              </w:rPr>
              <w:t>3,255</w:t>
            </w:r>
          </w:p>
        </w:tc>
        <w:tc>
          <w:tcPr>
            <w:tcW w:type="dxa" w:w="1247"/>
          </w:tcPr>
          <w:p>
            <w:pPr>
              <w:spacing w:after="20"/>
              <w:jc w:val="left"/>
            </w:pPr>
            <w:r/>
            <w:r>
              <w:rPr>
                <w:rFonts w:ascii="Times New Roman" w:hAnsi="Times New Roman" w:eastAsia="宋体"/>
                <w:color w:val="000000"/>
                <w:sz w:val="20"/>
              </w:rPr>
              <w:t>74.22</w:t>
            </w:r>
          </w:p>
        </w:tc>
        <w:tc>
          <w:tcPr>
            <w:tcW w:type="dxa" w:w="1247"/>
          </w:tcPr>
          <w:p>
            <w:pPr>
              <w:spacing w:after="20"/>
              <w:jc w:val="left"/>
            </w:pPr>
            <w:r/>
            <w:r>
              <w:rPr>
                <w:rFonts w:ascii="Times New Roman" w:hAnsi="Times New Roman" w:eastAsia="宋体"/>
                <w:color w:val="000000"/>
                <w:sz w:val="20"/>
              </w:rPr>
              <w:t>0.7292</w:t>
            </w:r>
          </w:p>
        </w:tc>
        <w:tc>
          <w:tcPr>
            <w:tcW w:type="dxa" w:w="1247"/>
          </w:tcPr>
          <w:p>
            <w:pPr>
              <w:spacing w:after="20"/>
              <w:jc w:val="left"/>
            </w:pPr>
            <w:r/>
            <w:r>
              <w:rPr>
                <w:rFonts w:ascii="Times New Roman" w:hAnsi="Times New Roman" w:eastAsia="宋体"/>
                <w:color w:val="000000"/>
                <w:sz w:val="20"/>
              </w:rPr>
              <w:t>0.8611</w:t>
            </w:r>
          </w:p>
        </w:tc>
        <w:tc>
          <w:tcPr>
            <w:tcW w:type="dxa" w:w="1247"/>
          </w:tcPr>
          <w:p>
            <w:pPr>
              <w:spacing w:after="20"/>
              <w:jc w:val="left"/>
            </w:pPr>
            <w:r/>
            <w:r>
              <w:rPr>
                <w:rFonts w:ascii="Times New Roman" w:hAnsi="Times New Roman" w:eastAsia="宋体"/>
                <w:color w:val="000000"/>
                <w:sz w:val="20"/>
              </w:rPr>
              <w:t>0.3533</w:t>
            </w:r>
          </w:p>
        </w:tc>
      </w:tr>
      <w:tr>
        <w:tc>
          <w:tcPr>
            <w:tcW w:type="dxa" w:w="1247"/>
          </w:tcPr>
          <w:p>
            <w:pPr>
              <w:spacing w:after="20"/>
              <w:jc w:val="center"/>
            </w:pPr>
            <w:r/>
            <w:r>
              <w:rPr>
                <w:rFonts w:ascii="Times New Roman" w:hAnsi="Times New Roman" w:eastAsia="宋体"/>
                <w:color w:val="000000"/>
                <w:sz w:val="20"/>
              </w:rPr>
              <w:t>2011-05-31 ~ 2011-08-31</w:t>
            </w:r>
          </w:p>
        </w:tc>
        <w:tc>
          <w:tcPr>
            <w:tcW w:type="dxa" w:w="1247"/>
          </w:tcPr>
          <w:p>
            <w:pPr>
              <w:spacing w:after="20"/>
              <w:jc w:val="left"/>
            </w:pPr>
            <w:r/>
            <w:r>
              <w:rPr>
                <w:rFonts w:ascii="Times New Roman" w:hAnsi="Times New Roman" w:eastAsia="宋体"/>
                <w:color w:val="000000"/>
                <w:sz w:val="20"/>
              </w:rPr>
              <w:t>前移 3 个月</w:t>
            </w:r>
          </w:p>
        </w:tc>
        <w:tc>
          <w:tcPr>
            <w:tcW w:type="dxa" w:w="1247"/>
          </w:tcPr>
          <w:p>
            <w:pPr>
              <w:spacing w:after="20"/>
              <w:jc w:val="left"/>
            </w:pPr>
            <w:r/>
            <w:r>
              <w:rPr>
                <w:rFonts w:ascii="Times New Roman" w:hAnsi="Times New Roman" w:eastAsia="宋体"/>
                <w:color w:val="000000"/>
                <w:sz w:val="20"/>
              </w:rPr>
              <w:t>3,016</w:t>
            </w:r>
          </w:p>
        </w:tc>
        <w:tc>
          <w:tcPr>
            <w:tcW w:type="dxa" w:w="1247"/>
          </w:tcPr>
          <w:p>
            <w:pPr>
              <w:spacing w:after="20"/>
              <w:jc w:val="left"/>
            </w:pPr>
            <w:r/>
            <w:r>
              <w:rPr>
                <w:rFonts w:ascii="Times New Roman" w:hAnsi="Times New Roman" w:eastAsia="宋体"/>
                <w:color w:val="000000"/>
                <w:sz w:val="20"/>
              </w:rPr>
              <w:t>80.01</w:t>
            </w:r>
          </w:p>
        </w:tc>
        <w:tc>
          <w:tcPr>
            <w:tcW w:type="dxa" w:w="1247"/>
          </w:tcPr>
          <w:p>
            <w:pPr>
              <w:spacing w:after="20"/>
              <w:jc w:val="left"/>
            </w:pPr>
            <w:r/>
            <w:r>
              <w:rPr>
                <w:rFonts w:ascii="Times New Roman" w:hAnsi="Times New Roman" w:eastAsia="宋体"/>
                <w:color w:val="000000"/>
                <w:sz w:val="20"/>
              </w:rPr>
              <w:t>0.7439</w:t>
            </w:r>
          </w:p>
        </w:tc>
        <w:tc>
          <w:tcPr>
            <w:tcW w:type="dxa" w:w="1247"/>
          </w:tcPr>
          <w:p>
            <w:pPr>
              <w:spacing w:after="20"/>
              <w:jc w:val="left"/>
            </w:pPr>
            <w:r/>
            <w:r>
              <w:rPr>
                <w:rFonts w:ascii="Times New Roman" w:hAnsi="Times New Roman" w:eastAsia="宋体"/>
                <w:color w:val="000000"/>
                <w:sz w:val="20"/>
              </w:rPr>
              <w:t>0.9060</w:t>
            </w:r>
          </w:p>
        </w:tc>
        <w:tc>
          <w:tcPr>
            <w:tcW w:type="dxa" w:w="1247"/>
          </w:tcPr>
          <w:p>
            <w:pPr>
              <w:spacing w:after="20"/>
              <w:jc w:val="left"/>
            </w:pPr>
            <w:r/>
            <w:r>
              <w:rPr>
                <w:rFonts w:ascii="Times New Roman" w:hAnsi="Times New Roman" w:eastAsia="宋体"/>
                <w:color w:val="000000"/>
                <w:sz w:val="20"/>
              </w:rPr>
              <w:t>0.3662</w:t>
            </w:r>
          </w:p>
        </w:tc>
      </w:tr>
      <w:tr>
        <w:tc>
          <w:tcPr>
            <w:tcW w:type="dxa" w:w="1247"/>
          </w:tcPr>
          <w:p>
            <w:pPr>
              <w:spacing w:after="20"/>
              <w:jc w:val="center"/>
            </w:pPr>
            <w:r/>
            <w:r>
              <w:rPr>
                <w:rFonts w:ascii="Times New Roman" w:hAnsi="Times New Roman" w:eastAsia="宋体"/>
                <w:color w:val="000000"/>
                <w:sz w:val="20"/>
              </w:rPr>
              <w:t>2011-02-28 ~ 2011-05-31</w:t>
            </w:r>
          </w:p>
        </w:tc>
        <w:tc>
          <w:tcPr>
            <w:tcW w:type="dxa" w:w="1247"/>
          </w:tcPr>
          <w:p>
            <w:pPr>
              <w:spacing w:after="20"/>
              <w:jc w:val="left"/>
            </w:pPr>
            <w:r/>
            <w:r>
              <w:rPr>
                <w:rFonts w:ascii="Times New Roman" w:hAnsi="Times New Roman" w:eastAsia="宋体"/>
                <w:color w:val="000000"/>
                <w:sz w:val="20"/>
              </w:rPr>
              <w:t>前移 6 个月</w:t>
            </w:r>
          </w:p>
        </w:tc>
        <w:tc>
          <w:tcPr>
            <w:tcW w:type="dxa" w:w="1247"/>
          </w:tcPr>
          <w:p>
            <w:pPr>
              <w:spacing w:after="20"/>
              <w:jc w:val="left"/>
            </w:pPr>
            <w:r/>
            <w:r>
              <w:rPr>
                <w:rFonts w:ascii="Times New Roman" w:hAnsi="Times New Roman" w:eastAsia="宋体"/>
                <w:color w:val="000000"/>
                <w:sz w:val="20"/>
              </w:rPr>
              <w:t>2,682</w:t>
            </w:r>
          </w:p>
        </w:tc>
        <w:tc>
          <w:tcPr>
            <w:tcW w:type="dxa" w:w="1247"/>
          </w:tcPr>
          <w:p>
            <w:pPr>
              <w:spacing w:after="20"/>
              <w:jc w:val="left"/>
            </w:pPr>
            <w:r/>
            <w:r>
              <w:rPr>
                <w:rFonts w:ascii="Times New Roman" w:hAnsi="Times New Roman" w:eastAsia="宋体"/>
                <w:color w:val="000000"/>
                <w:sz w:val="20"/>
              </w:rPr>
              <w:t>79.60</w:t>
            </w:r>
          </w:p>
        </w:tc>
        <w:tc>
          <w:tcPr>
            <w:tcW w:type="dxa" w:w="1247"/>
          </w:tcPr>
          <w:p>
            <w:pPr>
              <w:spacing w:after="20"/>
              <w:jc w:val="left"/>
            </w:pPr>
            <w:r/>
            <w:r>
              <w:rPr>
                <w:rFonts w:ascii="Times New Roman" w:hAnsi="Times New Roman" w:eastAsia="宋体"/>
                <w:color w:val="000000"/>
                <w:sz w:val="20"/>
              </w:rPr>
              <w:t>0.7201</w:t>
            </w:r>
          </w:p>
        </w:tc>
        <w:tc>
          <w:tcPr>
            <w:tcW w:type="dxa" w:w="1247"/>
          </w:tcPr>
          <w:p>
            <w:pPr>
              <w:spacing w:after="20"/>
              <w:jc w:val="left"/>
            </w:pPr>
            <w:r/>
            <w:r>
              <w:rPr>
                <w:rFonts w:ascii="Times New Roman" w:hAnsi="Times New Roman" w:eastAsia="宋体"/>
                <w:color w:val="000000"/>
                <w:sz w:val="20"/>
              </w:rPr>
              <w:t>0.8896</w:t>
            </w:r>
          </w:p>
        </w:tc>
        <w:tc>
          <w:tcPr>
            <w:tcW w:type="dxa" w:w="1247"/>
          </w:tcPr>
          <w:p>
            <w:pPr>
              <w:spacing w:after="20"/>
              <w:jc w:val="left"/>
            </w:pPr>
            <w:r/>
            <w:r>
              <w:rPr>
                <w:rFonts w:ascii="Times New Roman" w:hAnsi="Times New Roman" w:eastAsia="宋体"/>
                <w:color w:val="000000"/>
                <w:sz w:val="20"/>
              </w:rPr>
              <w:t>0.3473</w:t>
            </w:r>
          </w:p>
        </w:tc>
      </w:tr>
      <w:tr>
        <w:tc>
          <w:tcPr>
            <w:tcW w:type="dxa" w:w="1247"/>
          </w:tcPr>
          <w:p>
            <w:pPr>
              <w:spacing w:after="20"/>
              <w:jc w:val="center"/>
            </w:pPr>
            <w:r/>
            <w:r>
              <w:rPr>
                <w:rFonts w:ascii="Times New Roman" w:hAnsi="Times New Roman" w:eastAsia="宋体"/>
                <w:color w:val="000000"/>
                <w:sz w:val="20"/>
              </w:rPr>
              <w:t>2010-11-30 ~ 2011-02-28</w:t>
            </w:r>
          </w:p>
        </w:tc>
        <w:tc>
          <w:tcPr>
            <w:tcW w:type="dxa" w:w="1247"/>
          </w:tcPr>
          <w:p>
            <w:pPr>
              <w:spacing w:after="20"/>
              <w:jc w:val="left"/>
            </w:pPr>
            <w:r/>
            <w:r>
              <w:rPr>
                <w:rFonts w:ascii="Times New Roman" w:hAnsi="Times New Roman" w:eastAsia="宋体"/>
                <w:color w:val="000000"/>
                <w:sz w:val="20"/>
              </w:rPr>
              <w:t>前移 9 个月</w:t>
            </w:r>
          </w:p>
        </w:tc>
        <w:tc>
          <w:tcPr>
            <w:tcW w:type="dxa" w:w="1247"/>
          </w:tcPr>
          <w:p>
            <w:pPr>
              <w:spacing w:after="20"/>
              <w:jc w:val="left"/>
            </w:pPr>
            <w:r/>
            <w:r>
              <w:rPr>
                <w:rFonts w:ascii="Times New Roman" w:hAnsi="Times New Roman" w:eastAsia="宋体"/>
                <w:color w:val="000000"/>
                <w:sz w:val="20"/>
              </w:rPr>
              <w:t>2,448</w:t>
            </w:r>
          </w:p>
        </w:tc>
        <w:tc>
          <w:tcPr>
            <w:tcW w:type="dxa" w:w="1247"/>
          </w:tcPr>
          <w:p>
            <w:pPr>
              <w:spacing w:after="20"/>
              <w:jc w:val="left"/>
            </w:pPr>
            <w:r/>
            <w:r>
              <w:rPr>
                <w:rFonts w:ascii="Times New Roman" w:hAnsi="Times New Roman" w:eastAsia="宋体"/>
                <w:color w:val="000000"/>
                <w:sz w:val="20"/>
              </w:rPr>
              <w:t>79.49</w:t>
            </w:r>
          </w:p>
        </w:tc>
        <w:tc>
          <w:tcPr>
            <w:tcW w:type="dxa" w:w="1247"/>
          </w:tcPr>
          <w:p>
            <w:pPr>
              <w:spacing w:after="20"/>
              <w:jc w:val="left"/>
            </w:pPr>
            <w:r/>
            <w:r>
              <w:rPr>
                <w:rFonts w:ascii="Times New Roman" w:hAnsi="Times New Roman" w:eastAsia="宋体"/>
                <w:color w:val="000000"/>
                <w:sz w:val="20"/>
              </w:rPr>
              <w:t>0.7100</w:t>
            </w:r>
          </w:p>
        </w:tc>
        <w:tc>
          <w:tcPr>
            <w:tcW w:type="dxa" w:w="1247"/>
          </w:tcPr>
          <w:p>
            <w:pPr>
              <w:spacing w:after="20"/>
              <w:jc w:val="left"/>
            </w:pPr>
            <w:r/>
            <w:r>
              <w:rPr>
                <w:rFonts w:ascii="Times New Roman" w:hAnsi="Times New Roman" w:eastAsia="宋体"/>
                <w:color w:val="000000"/>
                <w:sz w:val="20"/>
              </w:rPr>
              <w:t>0.8777</w:t>
            </w:r>
          </w:p>
        </w:tc>
        <w:tc>
          <w:tcPr>
            <w:tcW w:type="dxa" w:w="1247"/>
          </w:tcPr>
          <w:p>
            <w:pPr>
              <w:spacing w:after="20"/>
              <w:jc w:val="left"/>
            </w:pPr>
            <w:r/>
            <w:r>
              <w:rPr>
                <w:rFonts w:ascii="Times New Roman" w:hAnsi="Times New Roman" w:eastAsia="宋体"/>
                <w:color w:val="000000"/>
                <w:sz w:val="20"/>
              </w:rPr>
              <w:t>0.3411</w:t>
            </w:r>
          </w:p>
        </w:tc>
      </w:tr>
    </w:tbl>
    <w:p>
      <w:pPr>
        <w:spacing w:after="40"/>
      </w:pPr>
    </w:p>
    <w:p>
      <w:pPr>
        <w:spacing w:line="360" w:lineRule="auto" w:after="80"/>
        <w:ind w:firstLine="480"/>
        <w:jc w:val="both"/>
      </w:pPr>
      <w:r>
        <w:rPr>
          <w:rFonts w:ascii="Times New Roman" w:hAnsi="Times New Roman" w:eastAsia="宋体"/>
          <w:b/>
          <w:color w:val="000000"/>
          <w:sz w:val="24"/>
        </w:rPr>
        <w:t>问题三：按概率阈值触达真的划算吗？</w:t>
      </w:r>
      <w:r>
        <w:rPr>
          <w:rFonts w:ascii="Times New Roman" w:hAnsi="Times New Roman" w:eastAsia="宋体"/>
          <w:b w:val="0"/>
          <w:color w:val="000000"/>
          <w:sz w:val="24"/>
        </w:rPr>
        <w:t xml:space="preserve"> 这是把模型变成预算分配时的关键一问。设触达成本率为「触达支出 ÷ 客户历史价值」，挽回率为「被触达客户中留存下来的比例」，对四组成本—挽回情景各扫描 6 个触达比例（表 4-10）。结果是：</w:t>
      </w:r>
      <w:r>
        <w:rPr>
          <w:rFonts w:ascii="Times New Roman" w:hAnsi="Times New Roman" w:eastAsia="宋体"/>
          <w:b/>
          <w:color w:val="000000"/>
          <w:sz w:val="24"/>
        </w:rPr>
        <w:t>所有情景下的净收益都随触达比例单调上升，在扫描上限 50% 处仍未出现峰值</w:t>
      </w:r>
      <w:r>
        <w:rPr>
          <w:rFonts w:ascii="Times New Roman" w:hAnsi="Times New Roman" w:eastAsia="宋体"/>
          <w:b w:val="0"/>
          <w:color w:val="000000"/>
          <w:sz w:val="24"/>
        </w:rPr>
        <w:t>。这意味着按流失概率高低硬切一条线来圈定触达名单，并不能把预算花在刀刃上——模型的概率估计虽然有区分度（十分位流失率从 91.72% 单调降至 32.52%），但高低概率客户的价值差异更大。因此本项目的预警名单不按概率排序，而按</w:t>
      </w:r>
      <w:r>
        <w:rPr>
          <w:rFonts w:ascii="Times New Roman" w:hAnsi="Times New Roman" w:eastAsia="宋体"/>
          <w:b/>
          <w:color w:val="000000"/>
          <w:sz w:val="24"/>
        </w:rPr>
        <w:t>期望损失 = 流失概率 × 历史累计消费</w:t>
      </w:r>
      <w:r>
        <w:rPr>
          <w:rFonts w:ascii="Times New Roman" w:hAnsi="Times New Roman" w:eastAsia="宋体"/>
          <w:b w:val="0"/>
          <w:color w:val="000000"/>
          <w:sz w:val="24"/>
        </w:rPr>
        <w:t>排序，使有限的挽留预算优先投向「走了最可惜」的客户。这一排序口径见图 6-6。</w:t>
      </w:r>
    </w:p>
    <w:p>
      <w:pPr>
        <w:spacing w:after="40"/>
        <w:jc w:val="center"/>
      </w:pPr>
      <w:r>
        <w:rPr>
          <w:rFonts w:ascii="Times New Roman" w:hAnsi="Times New Roman" w:eastAsia="黑体"/>
          <w:color w:val="000000"/>
          <w:sz w:val="21"/>
        </w:rPr>
        <w:t>表 4-10  流失预警阈值成本收益分析（扫描触达比例 5%—50%）</w:t>
      </w:r>
    </w:p>
    <w:tbl>
      <w:tblPr>
        <w:tblStyle w:val="TableGrid"/>
        <w:tblW w:type="auto" w:w="0"/>
        <w:jc w:val="center"/>
        <w:tblLook w:firstColumn="1" w:firstRow="1" w:lastColumn="0" w:lastRow="0" w:noHBand="0" w:noVBand="1" w:val="04A0"/>
      </w:tblPr>
      <w:tblGrid>
        <w:gridCol w:w="1091"/>
        <w:gridCol w:w="1091"/>
        <w:gridCol w:w="1091"/>
        <w:gridCol w:w="1091"/>
        <w:gridCol w:w="1091"/>
        <w:gridCol w:w="1091"/>
        <w:gridCol w:w="1091"/>
        <w:gridCol w:w="1091"/>
      </w:tblGrid>
      <w:tr>
        <w:tc>
          <w:tcPr>
            <w:tcW w:type="dxa" w:w="1091"/>
          </w:tcPr>
          <w:p>
            <w:pPr>
              <w:jc w:val="center"/>
            </w:pPr>
            <w:r/>
            <w:r>
              <w:rPr>
                <w:rFonts w:ascii="Times New Roman" w:hAnsi="Times New Roman" w:eastAsia="黑体"/>
                <w:b/>
                <w:color w:val="000000"/>
                <w:sz w:val="20"/>
              </w:rPr>
              <w:t>触达成本率(%)</w:t>
            </w:r>
          </w:p>
        </w:tc>
        <w:tc>
          <w:tcPr>
            <w:tcW w:type="dxa" w:w="1091"/>
          </w:tcPr>
          <w:p>
            <w:pPr>
              <w:jc w:val="center"/>
            </w:pPr>
            <w:r/>
            <w:r>
              <w:rPr>
                <w:rFonts w:ascii="Times New Roman" w:hAnsi="Times New Roman" w:eastAsia="黑体"/>
                <w:b/>
                <w:color w:val="000000"/>
                <w:sz w:val="20"/>
              </w:rPr>
              <w:t>挽回率(%)</w:t>
            </w:r>
          </w:p>
        </w:tc>
        <w:tc>
          <w:tcPr>
            <w:tcW w:type="dxa" w:w="1091"/>
          </w:tcPr>
          <w:p>
            <w:pPr>
              <w:jc w:val="center"/>
            </w:pPr>
            <w:r/>
            <w:r>
              <w:rPr>
                <w:rFonts w:ascii="Times New Roman" w:hAnsi="Times New Roman" w:eastAsia="黑体"/>
                <w:b/>
                <w:color w:val="000000"/>
                <w:sz w:val="20"/>
              </w:rPr>
              <w:t>最优触达比例(%)</w:t>
            </w:r>
          </w:p>
        </w:tc>
        <w:tc>
          <w:tcPr>
            <w:tcW w:type="dxa" w:w="1091"/>
          </w:tcPr>
          <w:p>
            <w:pPr>
              <w:jc w:val="center"/>
            </w:pPr>
            <w:r/>
            <w:r>
              <w:rPr>
                <w:rFonts w:ascii="Times New Roman" w:hAnsi="Times New Roman" w:eastAsia="黑体"/>
                <w:b/>
                <w:color w:val="000000"/>
                <w:sz w:val="20"/>
              </w:rPr>
              <w:t>触达人数</w:t>
            </w:r>
          </w:p>
        </w:tc>
        <w:tc>
          <w:tcPr>
            <w:tcW w:type="dxa" w:w="1091"/>
          </w:tcPr>
          <w:p>
            <w:pPr>
              <w:jc w:val="center"/>
            </w:pPr>
            <w:r/>
            <w:r>
              <w:rPr>
                <w:rFonts w:ascii="Times New Roman" w:hAnsi="Times New Roman" w:eastAsia="黑体"/>
                <w:b/>
                <w:color w:val="000000"/>
                <w:sz w:val="20"/>
              </w:rPr>
              <w:t>命中真实流失数</w:t>
            </w:r>
          </w:p>
        </w:tc>
        <w:tc>
          <w:tcPr>
            <w:tcW w:type="dxa" w:w="1091"/>
          </w:tcPr>
          <w:p>
            <w:pPr>
              <w:jc w:val="center"/>
            </w:pPr>
            <w:r/>
            <w:r>
              <w:rPr>
                <w:rFonts w:ascii="Times New Roman" w:hAnsi="Times New Roman" w:eastAsia="黑体"/>
                <w:b/>
                <w:color w:val="000000"/>
                <w:sz w:val="20"/>
              </w:rPr>
              <w:t>挽回金额(£)</w:t>
            </w:r>
          </w:p>
        </w:tc>
        <w:tc>
          <w:tcPr>
            <w:tcW w:type="dxa" w:w="1091"/>
          </w:tcPr>
          <w:p>
            <w:pPr>
              <w:jc w:val="center"/>
            </w:pPr>
            <w:r/>
            <w:r>
              <w:rPr>
                <w:rFonts w:ascii="Times New Roman" w:hAnsi="Times New Roman" w:eastAsia="黑体"/>
                <w:b/>
                <w:color w:val="000000"/>
                <w:sz w:val="20"/>
              </w:rPr>
              <w:t>触达成本(£)</w:t>
            </w:r>
          </w:p>
        </w:tc>
        <w:tc>
          <w:tcPr>
            <w:tcW w:type="dxa" w:w="1091"/>
          </w:tcPr>
          <w:p>
            <w:pPr>
              <w:jc w:val="center"/>
            </w:pPr>
            <w:r/>
            <w:r>
              <w:rPr>
                <w:rFonts w:ascii="Times New Roman" w:hAnsi="Times New Roman" w:eastAsia="黑体"/>
                <w:b/>
                <w:color w:val="000000"/>
                <w:sz w:val="20"/>
              </w:rPr>
              <w:t>净收益(£)</w:t>
            </w:r>
          </w:p>
        </w:tc>
      </w:tr>
      <w:tr>
        <w:tc>
          <w:tcPr>
            <w:tcW w:type="dxa" w:w="1091"/>
          </w:tcPr>
          <w:p>
            <w:pPr>
              <w:spacing w:after="20"/>
              <w:jc w:val="center"/>
            </w:pPr>
            <w:r/>
            <w:r>
              <w:rPr>
                <w:rFonts w:ascii="Times New Roman" w:hAnsi="Times New Roman" w:eastAsia="宋体"/>
                <w:color w:val="000000"/>
                <w:sz w:val="20"/>
              </w:rPr>
              <w:t>3</w:t>
            </w:r>
          </w:p>
        </w:tc>
        <w:tc>
          <w:tcPr>
            <w:tcW w:type="dxa" w:w="1091"/>
          </w:tcPr>
          <w:p>
            <w:pPr>
              <w:spacing w:after="20"/>
              <w:jc w:val="left"/>
            </w:pPr>
            <w:r/>
            <w:r>
              <w:rPr>
                <w:rFonts w:ascii="Times New Roman" w:hAnsi="Times New Roman" w:eastAsia="宋体"/>
                <w:color w:val="000000"/>
                <w:sz w:val="20"/>
              </w:rPr>
              <w:t>50</w:t>
            </w:r>
          </w:p>
        </w:tc>
        <w:tc>
          <w:tcPr>
            <w:tcW w:type="dxa" w:w="1091"/>
          </w:tcPr>
          <w:p>
            <w:pPr>
              <w:spacing w:after="20"/>
              <w:jc w:val="left"/>
            </w:pPr>
            <w:r/>
            <w:r>
              <w:rPr>
                <w:rFonts w:ascii="Times New Roman" w:hAnsi="Times New Roman" w:eastAsia="宋体"/>
                <w:color w:val="000000"/>
                <w:sz w:val="20"/>
              </w:rPr>
              <w:t>50</w:t>
            </w:r>
          </w:p>
        </w:tc>
        <w:tc>
          <w:tcPr>
            <w:tcW w:type="dxa" w:w="1091"/>
          </w:tcPr>
          <w:p>
            <w:pPr>
              <w:spacing w:after="20"/>
              <w:jc w:val="left"/>
            </w:pPr>
            <w:r/>
            <w:r>
              <w:rPr>
                <w:rFonts w:ascii="Times New Roman" w:hAnsi="Times New Roman" w:eastAsia="宋体"/>
                <w:color w:val="000000"/>
                <w:sz w:val="20"/>
              </w:rPr>
              <w:t>1,628</w:t>
            </w:r>
          </w:p>
        </w:tc>
        <w:tc>
          <w:tcPr>
            <w:tcW w:type="dxa" w:w="1091"/>
          </w:tcPr>
          <w:p>
            <w:pPr>
              <w:spacing w:after="20"/>
              <w:jc w:val="left"/>
            </w:pPr>
            <w:r/>
            <w:r>
              <w:rPr>
                <w:rFonts w:ascii="Times New Roman" w:hAnsi="Times New Roman" w:eastAsia="宋体"/>
                <w:color w:val="000000"/>
                <w:sz w:val="20"/>
              </w:rPr>
              <w:t>1,402</w:t>
            </w:r>
          </w:p>
        </w:tc>
        <w:tc>
          <w:tcPr>
            <w:tcW w:type="dxa" w:w="1091"/>
          </w:tcPr>
          <w:p>
            <w:pPr>
              <w:spacing w:after="20"/>
              <w:jc w:val="left"/>
            </w:pPr>
            <w:r/>
            <w:r>
              <w:rPr>
                <w:rFonts w:ascii="Times New Roman" w:hAnsi="Times New Roman" w:eastAsia="宋体"/>
                <w:color w:val="000000"/>
                <w:sz w:val="20"/>
              </w:rPr>
              <w:t>235,523</w:t>
            </w:r>
          </w:p>
        </w:tc>
        <w:tc>
          <w:tcPr>
            <w:tcW w:type="dxa" w:w="1091"/>
          </w:tcPr>
          <w:p>
            <w:pPr>
              <w:spacing w:after="20"/>
              <w:jc w:val="left"/>
            </w:pPr>
            <w:r/>
            <w:r>
              <w:rPr>
                <w:rFonts w:ascii="Times New Roman" w:hAnsi="Times New Roman" w:eastAsia="宋体"/>
                <w:color w:val="000000"/>
                <w:sz w:val="20"/>
              </w:rPr>
              <w:t>16,553</w:t>
            </w:r>
          </w:p>
        </w:tc>
        <w:tc>
          <w:tcPr>
            <w:tcW w:type="dxa" w:w="1091"/>
          </w:tcPr>
          <w:p>
            <w:pPr>
              <w:spacing w:after="20"/>
              <w:jc w:val="left"/>
            </w:pPr>
            <w:r/>
            <w:r>
              <w:rPr>
                <w:rFonts w:ascii="Times New Roman" w:hAnsi="Times New Roman" w:eastAsia="宋体"/>
                <w:color w:val="000000"/>
                <w:sz w:val="20"/>
              </w:rPr>
              <w:t>218,970</w:t>
            </w:r>
          </w:p>
        </w:tc>
      </w:tr>
      <w:tr>
        <w:tc>
          <w:tcPr>
            <w:tcW w:type="dxa" w:w="1091"/>
          </w:tcPr>
          <w:p>
            <w:pPr>
              <w:spacing w:after="20"/>
              <w:jc w:val="center"/>
            </w:pPr>
            <w:r/>
            <w:r>
              <w:rPr>
                <w:rFonts w:ascii="Times New Roman" w:hAnsi="Times New Roman" w:eastAsia="宋体"/>
                <w:color w:val="000000"/>
                <w:sz w:val="20"/>
              </w:rPr>
              <w:t>5</w:t>
            </w:r>
          </w:p>
        </w:tc>
        <w:tc>
          <w:tcPr>
            <w:tcW w:type="dxa" w:w="1091"/>
          </w:tcPr>
          <w:p>
            <w:pPr>
              <w:spacing w:after="20"/>
              <w:jc w:val="left"/>
            </w:pPr>
            <w:r/>
            <w:r>
              <w:rPr>
                <w:rFonts w:ascii="Times New Roman" w:hAnsi="Times New Roman" w:eastAsia="宋体"/>
                <w:color w:val="000000"/>
                <w:sz w:val="20"/>
              </w:rPr>
              <w:t>50</w:t>
            </w:r>
          </w:p>
        </w:tc>
        <w:tc>
          <w:tcPr>
            <w:tcW w:type="dxa" w:w="1091"/>
          </w:tcPr>
          <w:p>
            <w:pPr>
              <w:spacing w:after="20"/>
              <w:jc w:val="left"/>
            </w:pPr>
            <w:r/>
            <w:r>
              <w:rPr>
                <w:rFonts w:ascii="Times New Roman" w:hAnsi="Times New Roman" w:eastAsia="宋体"/>
                <w:color w:val="000000"/>
                <w:sz w:val="20"/>
              </w:rPr>
              <w:t>50</w:t>
            </w:r>
          </w:p>
        </w:tc>
        <w:tc>
          <w:tcPr>
            <w:tcW w:type="dxa" w:w="1091"/>
          </w:tcPr>
          <w:p>
            <w:pPr>
              <w:spacing w:after="20"/>
              <w:jc w:val="left"/>
            </w:pPr>
            <w:r/>
            <w:r>
              <w:rPr>
                <w:rFonts w:ascii="Times New Roman" w:hAnsi="Times New Roman" w:eastAsia="宋体"/>
                <w:color w:val="000000"/>
                <w:sz w:val="20"/>
              </w:rPr>
              <w:t>1,628</w:t>
            </w:r>
          </w:p>
        </w:tc>
        <w:tc>
          <w:tcPr>
            <w:tcW w:type="dxa" w:w="1091"/>
          </w:tcPr>
          <w:p>
            <w:pPr>
              <w:spacing w:after="20"/>
              <w:jc w:val="left"/>
            </w:pPr>
            <w:r/>
            <w:r>
              <w:rPr>
                <w:rFonts w:ascii="Times New Roman" w:hAnsi="Times New Roman" w:eastAsia="宋体"/>
                <w:color w:val="000000"/>
                <w:sz w:val="20"/>
              </w:rPr>
              <w:t>1,402</w:t>
            </w:r>
          </w:p>
        </w:tc>
        <w:tc>
          <w:tcPr>
            <w:tcW w:type="dxa" w:w="1091"/>
          </w:tcPr>
          <w:p>
            <w:pPr>
              <w:spacing w:after="20"/>
              <w:jc w:val="left"/>
            </w:pPr>
            <w:r/>
            <w:r>
              <w:rPr>
                <w:rFonts w:ascii="Times New Roman" w:hAnsi="Times New Roman" w:eastAsia="宋体"/>
                <w:color w:val="000000"/>
                <w:sz w:val="20"/>
              </w:rPr>
              <w:t>235,523</w:t>
            </w:r>
          </w:p>
        </w:tc>
        <w:tc>
          <w:tcPr>
            <w:tcW w:type="dxa" w:w="1091"/>
          </w:tcPr>
          <w:p>
            <w:pPr>
              <w:spacing w:after="20"/>
              <w:jc w:val="left"/>
            </w:pPr>
            <w:r/>
            <w:r>
              <w:rPr>
                <w:rFonts w:ascii="Times New Roman" w:hAnsi="Times New Roman" w:eastAsia="宋体"/>
                <w:color w:val="000000"/>
                <w:sz w:val="20"/>
              </w:rPr>
              <w:t>27,588</w:t>
            </w:r>
          </w:p>
        </w:tc>
        <w:tc>
          <w:tcPr>
            <w:tcW w:type="dxa" w:w="1091"/>
          </w:tcPr>
          <w:p>
            <w:pPr>
              <w:spacing w:after="20"/>
              <w:jc w:val="left"/>
            </w:pPr>
            <w:r/>
            <w:r>
              <w:rPr>
                <w:rFonts w:ascii="Times New Roman" w:hAnsi="Times New Roman" w:eastAsia="宋体"/>
                <w:color w:val="000000"/>
                <w:sz w:val="20"/>
              </w:rPr>
              <w:t>207,935</w:t>
            </w:r>
          </w:p>
        </w:tc>
      </w:tr>
      <w:tr>
        <w:tc>
          <w:tcPr>
            <w:tcW w:type="dxa" w:w="1091"/>
          </w:tcPr>
          <w:p>
            <w:pPr>
              <w:spacing w:after="20"/>
              <w:jc w:val="center"/>
            </w:pPr>
            <w:r/>
            <w:r>
              <w:rPr>
                <w:rFonts w:ascii="Times New Roman" w:hAnsi="Times New Roman" w:eastAsia="宋体"/>
                <w:color w:val="000000"/>
                <w:sz w:val="20"/>
              </w:rPr>
              <w:t>5</w:t>
            </w:r>
          </w:p>
        </w:tc>
        <w:tc>
          <w:tcPr>
            <w:tcW w:type="dxa" w:w="1091"/>
          </w:tcPr>
          <w:p>
            <w:pPr>
              <w:spacing w:after="20"/>
              <w:jc w:val="left"/>
            </w:pPr>
            <w:r/>
            <w:r>
              <w:rPr>
                <w:rFonts w:ascii="Times New Roman" w:hAnsi="Times New Roman" w:eastAsia="宋体"/>
                <w:color w:val="000000"/>
                <w:sz w:val="20"/>
              </w:rPr>
              <w:t>30</w:t>
            </w:r>
          </w:p>
        </w:tc>
        <w:tc>
          <w:tcPr>
            <w:tcW w:type="dxa" w:w="1091"/>
          </w:tcPr>
          <w:p>
            <w:pPr>
              <w:spacing w:after="20"/>
              <w:jc w:val="left"/>
            </w:pPr>
            <w:r/>
            <w:r>
              <w:rPr>
                <w:rFonts w:ascii="Times New Roman" w:hAnsi="Times New Roman" w:eastAsia="宋体"/>
                <w:color w:val="000000"/>
                <w:sz w:val="20"/>
              </w:rPr>
              <w:t>50</w:t>
            </w:r>
          </w:p>
        </w:tc>
        <w:tc>
          <w:tcPr>
            <w:tcW w:type="dxa" w:w="1091"/>
          </w:tcPr>
          <w:p>
            <w:pPr>
              <w:spacing w:after="20"/>
              <w:jc w:val="left"/>
            </w:pPr>
            <w:r/>
            <w:r>
              <w:rPr>
                <w:rFonts w:ascii="Times New Roman" w:hAnsi="Times New Roman" w:eastAsia="宋体"/>
                <w:color w:val="000000"/>
                <w:sz w:val="20"/>
              </w:rPr>
              <w:t>1,628</w:t>
            </w:r>
          </w:p>
        </w:tc>
        <w:tc>
          <w:tcPr>
            <w:tcW w:type="dxa" w:w="1091"/>
          </w:tcPr>
          <w:p>
            <w:pPr>
              <w:spacing w:after="20"/>
              <w:jc w:val="left"/>
            </w:pPr>
            <w:r/>
            <w:r>
              <w:rPr>
                <w:rFonts w:ascii="Times New Roman" w:hAnsi="Times New Roman" w:eastAsia="宋体"/>
                <w:color w:val="000000"/>
                <w:sz w:val="20"/>
              </w:rPr>
              <w:t>1,402</w:t>
            </w:r>
          </w:p>
        </w:tc>
        <w:tc>
          <w:tcPr>
            <w:tcW w:type="dxa" w:w="1091"/>
          </w:tcPr>
          <w:p>
            <w:pPr>
              <w:spacing w:after="20"/>
              <w:jc w:val="left"/>
            </w:pPr>
            <w:r/>
            <w:r>
              <w:rPr>
                <w:rFonts w:ascii="Times New Roman" w:hAnsi="Times New Roman" w:eastAsia="宋体"/>
                <w:color w:val="000000"/>
                <w:sz w:val="20"/>
              </w:rPr>
              <w:t>141,314</w:t>
            </w:r>
          </w:p>
        </w:tc>
        <w:tc>
          <w:tcPr>
            <w:tcW w:type="dxa" w:w="1091"/>
          </w:tcPr>
          <w:p>
            <w:pPr>
              <w:spacing w:after="20"/>
              <w:jc w:val="left"/>
            </w:pPr>
            <w:r/>
            <w:r>
              <w:rPr>
                <w:rFonts w:ascii="Times New Roman" w:hAnsi="Times New Roman" w:eastAsia="宋体"/>
                <w:color w:val="000000"/>
                <w:sz w:val="20"/>
              </w:rPr>
              <w:t>27,588</w:t>
            </w:r>
          </w:p>
        </w:tc>
        <w:tc>
          <w:tcPr>
            <w:tcW w:type="dxa" w:w="1091"/>
          </w:tcPr>
          <w:p>
            <w:pPr>
              <w:spacing w:after="20"/>
              <w:jc w:val="left"/>
            </w:pPr>
            <w:r/>
            <w:r>
              <w:rPr>
                <w:rFonts w:ascii="Times New Roman" w:hAnsi="Times New Roman" w:eastAsia="宋体"/>
                <w:color w:val="000000"/>
                <w:sz w:val="20"/>
              </w:rPr>
              <w:t>113,726</w:t>
            </w:r>
          </w:p>
        </w:tc>
      </w:tr>
      <w:tr>
        <w:tc>
          <w:tcPr>
            <w:tcW w:type="dxa" w:w="1091"/>
          </w:tcPr>
          <w:p>
            <w:pPr>
              <w:spacing w:after="20"/>
              <w:jc w:val="center"/>
            </w:pPr>
            <w:r/>
            <w:r>
              <w:rPr>
                <w:rFonts w:ascii="Times New Roman" w:hAnsi="Times New Roman" w:eastAsia="宋体"/>
                <w:color w:val="000000"/>
                <w:sz w:val="20"/>
              </w:rPr>
              <w:t>10</w:t>
            </w:r>
          </w:p>
        </w:tc>
        <w:tc>
          <w:tcPr>
            <w:tcW w:type="dxa" w:w="1091"/>
          </w:tcPr>
          <w:p>
            <w:pPr>
              <w:spacing w:after="20"/>
              <w:jc w:val="left"/>
            </w:pPr>
            <w:r/>
            <w:r>
              <w:rPr>
                <w:rFonts w:ascii="Times New Roman" w:hAnsi="Times New Roman" w:eastAsia="宋体"/>
                <w:color w:val="000000"/>
                <w:sz w:val="20"/>
              </w:rPr>
              <w:t>30</w:t>
            </w:r>
          </w:p>
        </w:tc>
        <w:tc>
          <w:tcPr>
            <w:tcW w:type="dxa" w:w="1091"/>
          </w:tcPr>
          <w:p>
            <w:pPr>
              <w:spacing w:after="20"/>
              <w:jc w:val="left"/>
            </w:pPr>
            <w:r/>
            <w:r>
              <w:rPr>
                <w:rFonts w:ascii="Times New Roman" w:hAnsi="Times New Roman" w:eastAsia="宋体"/>
                <w:color w:val="000000"/>
                <w:sz w:val="20"/>
              </w:rPr>
              <w:t>50</w:t>
            </w:r>
          </w:p>
        </w:tc>
        <w:tc>
          <w:tcPr>
            <w:tcW w:type="dxa" w:w="1091"/>
          </w:tcPr>
          <w:p>
            <w:pPr>
              <w:spacing w:after="20"/>
              <w:jc w:val="left"/>
            </w:pPr>
            <w:r/>
            <w:r>
              <w:rPr>
                <w:rFonts w:ascii="Times New Roman" w:hAnsi="Times New Roman" w:eastAsia="宋体"/>
                <w:color w:val="000000"/>
                <w:sz w:val="20"/>
              </w:rPr>
              <w:t>1,628</w:t>
            </w:r>
          </w:p>
        </w:tc>
        <w:tc>
          <w:tcPr>
            <w:tcW w:type="dxa" w:w="1091"/>
          </w:tcPr>
          <w:p>
            <w:pPr>
              <w:spacing w:after="20"/>
              <w:jc w:val="left"/>
            </w:pPr>
            <w:r/>
            <w:r>
              <w:rPr>
                <w:rFonts w:ascii="Times New Roman" w:hAnsi="Times New Roman" w:eastAsia="宋体"/>
                <w:color w:val="000000"/>
                <w:sz w:val="20"/>
              </w:rPr>
              <w:t>1,402</w:t>
            </w:r>
          </w:p>
        </w:tc>
        <w:tc>
          <w:tcPr>
            <w:tcW w:type="dxa" w:w="1091"/>
          </w:tcPr>
          <w:p>
            <w:pPr>
              <w:spacing w:after="20"/>
              <w:jc w:val="left"/>
            </w:pPr>
            <w:r/>
            <w:r>
              <w:rPr>
                <w:rFonts w:ascii="Times New Roman" w:hAnsi="Times New Roman" w:eastAsia="宋体"/>
                <w:color w:val="000000"/>
                <w:sz w:val="20"/>
              </w:rPr>
              <w:t>141,314</w:t>
            </w:r>
          </w:p>
        </w:tc>
        <w:tc>
          <w:tcPr>
            <w:tcW w:type="dxa" w:w="1091"/>
          </w:tcPr>
          <w:p>
            <w:pPr>
              <w:spacing w:after="20"/>
              <w:jc w:val="left"/>
            </w:pPr>
            <w:r/>
            <w:r>
              <w:rPr>
                <w:rFonts w:ascii="Times New Roman" w:hAnsi="Times New Roman" w:eastAsia="宋体"/>
                <w:color w:val="000000"/>
                <w:sz w:val="20"/>
              </w:rPr>
              <w:t>55,175</w:t>
            </w:r>
          </w:p>
        </w:tc>
        <w:tc>
          <w:tcPr>
            <w:tcW w:type="dxa" w:w="1091"/>
          </w:tcPr>
          <w:p>
            <w:pPr>
              <w:spacing w:after="20"/>
              <w:jc w:val="left"/>
            </w:pPr>
            <w:r/>
            <w:r>
              <w:rPr>
                <w:rFonts w:ascii="Times New Roman" w:hAnsi="Times New Roman" w:eastAsia="宋体"/>
                <w:color w:val="000000"/>
                <w:sz w:val="20"/>
              </w:rPr>
              <w:t>86,138</w:t>
            </w:r>
          </w:p>
        </w:tc>
      </w:tr>
    </w:tbl>
    <w:p>
      <w:pPr>
        <w:spacing w:after="40"/>
      </w:pPr>
    </w:p>
    <w:p>
      <w:pPr>
        <w:spacing w:line="360" w:lineRule="auto" w:after="80"/>
        <w:ind w:firstLine="480"/>
        <w:jc w:val="both"/>
      </w:pPr>
      <w:r>
        <w:rPr>
          <w:rFonts w:ascii="Times New Roman" w:hAnsi="Times New Roman" w:eastAsia="宋体"/>
          <w:b w:val="0"/>
          <w:color w:val="000000"/>
          <w:sz w:val="24"/>
        </w:rPr>
        <w:t>此外还验证了集成是否值得引入：将逻辑回归与随机森林的</w:t>
      </w:r>
      <w:r>
        <w:rPr>
          <w:rFonts w:ascii="Times New Roman" w:hAnsi="Times New Roman" w:eastAsia="宋体"/>
          <w:b/>
          <w:color w:val="000000"/>
          <w:sz w:val="24"/>
        </w:rPr>
        <w:t>交叉验证样本外概率</w:t>
      </w:r>
      <w:r>
        <w:rPr>
          <w:rFonts w:ascii="Times New Roman" w:hAnsi="Times New Roman" w:eastAsia="宋体"/>
          <w:b w:val="0"/>
          <w:color w:val="000000"/>
          <w:sz w:val="24"/>
        </w:rPr>
        <w:t>等权平均，AUC 仅从 0.7241 提升至 0.7244（+0.0003）。提升幅度远不足以抵消模型复杂度与可解释性的损失，故最终采用单一逻辑回归作为主模型。这里必须强调方法细节：集成概率必须来自交叉验证的样本外预测，若直接用训练集上的拟合概率求平均，会得到 0.7625 这类虚高值——那是 in-sample 指标，与 CV 口径不可比。</w:t>
      </w:r>
    </w:p>
    <w:p>
      <w:pPr>
        <w:keepNext/>
        <w:spacing w:line="360" w:lineRule="auto" w:before="160" w:after="80"/>
        <w:outlineLvl w:val="0"/>
      </w:pPr>
      <w:r>
        <w:rPr>
          <w:rFonts w:ascii="Times New Roman" w:hAnsi="Times New Roman" w:eastAsia="黑体"/>
          <w:b/>
          <w:color w:val="000000"/>
          <w:sz w:val="28"/>
        </w:rPr>
        <w:t>5 Python 数据分析与可视化</w:t>
      </w:r>
    </w:p>
    <w:p>
      <w:pPr>
        <w:keepNext/>
        <w:spacing w:line="360" w:lineRule="auto" w:before="100" w:after="80"/>
        <w:outlineLvl w:val="1"/>
      </w:pPr>
      <w:r>
        <w:rPr>
          <w:rFonts w:ascii="Times New Roman" w:hAnsi="Times New Roman" w:eastAsia="黑体"/>
          <w:b/>
          <w:color w:val="000000"/>
          <w:sz w:val="24"/>
        </w:rPr>
        <w:t>5.1 数据探索性分析</w:t>
      </w:r>
    </w:p>
    <w:p>
      <w:pPr>
        <w:spacing w:line="360" w:lineRule="auto" w:after="80"/>
        <w:ind w:firstLine="480"/>
        <w:jc w:val="both"/>
      </w:pPr>
      <w:r>
        <w:rPr>
          <w:rFonts w:ascii="Times New Roman" w:hAnsi="Times New Roman" w:eastAsia="宋体"/>
          <w:b w:val="0"/>
          <w:color w:val="000000"/>
          <w:sz w:val="24"/>
        </w:rPr>
        <w:t>正式建模前，先通过 EDA 建立对数据分布的直觉。主要发现有三点：其一，订单金额呈典型右偏分布，均值显著高于中位数，说明存在大额批发订单拉高均值，这直接支撑了后文 RFM 用中位数切分的决定；其二，销售额在星期维度上分布极不均衡，周三至周五为高峰、周末几乎无交易，反映该商家以 B2B 工作日接单为主；其三，年度内销售额呈现明显的「9—11 月冲高、12 月回落」节奏，与礼品行业的圣诞备货周期吻合。</w:t>
      </w:r>
    </w:p>
    <w:p>
      <w:pPr>
        <w:spacing w:line="360" w:lineRule="auto" w:after="80"/>
        <w:ind w:firstLine="480"/>
        <w:jc w:val="both"/>
      </w:pPr>
      <w:r>
        <w:rPr>
          <w:rFonts w:ascii="Times New Roman" w:hAnsi="Times New Roman" w:eastAsia="宋体"/>
          <w:b w:val="0"/>
          <w:color w:val="000000"/>
          <w:sz w:val="24"/>
        </w:rPr>
        <w:t>这些 EDA 结论不是孤立的观察，而是直接参与了后续的模型参数决策——这正是探索性分析的价值所在。</w:t>
      </w:r>
    </w:p>
    <w:p>
      <w:pPr>
        <w:spacing w:before="120" w:after="20"/>
        <w:jc w:val="center"/>
      </w:pPr>
      <w:r>
        <w:drawing>
          <wp:inline xmlns:a="http://schemas.openxmlformats.org/drawingml/2006/main" xmlns:pic="http://schemas.openxmlformats.org/drawingml/2006/picture">
            <wp:extent cx="5400000" cy="3269749"/>
            <wp:docPr id="1" name="Picture 1"/>
            <wp:cNvGraphicFramePr>
              <a:graphicFrameLocks noChangeAspect="1"/>
            </wp:cNvGraphicFramePr>
            <a:graphic>
              <a:graphicData uri="http://schemas.openxmlformats.org/drawingml/2006/picture">
                <pic:pic>
                  <pic:nvPicPr>
                    <pic:cNvPr id="0" name="fig13_weekday_hour_heatmap.png"/>
                    <pic:cNvPicPr/>
                  </pic:nvPicPr>
                  <pic:blipFill>
                    <a:blip r:embed="rId9"/>
                    <a:stretch>
                      <a:fillRect/>
                    </a:stretch>
                  </pic:blipFill>
                  <pic:spPr>
                    <a:xfrm>
                      <a:off x="0" y="0"/>
                      <a:ext cx="5400000" cy="3269749"/>
                    </a:xfrm>
                    <a:prstGeom prst="rect"/>
                  </pic:spPr>
                </pic:pic>
              </a:graphicData>
            </a:graphic>
          </wp:inline>
        </w:drawing>
      </w:r>
    </w:p>
    <w:p>
      <w:pPr>
        <w:spacing w:after="160"/>
        <w:jc w:val="center"/>
      </w:pPr>
      <w:r>
        <w:rPr>
          <w:rFonts w:ascii="Times New Roman" w:hAnsi="Times New Roman" w:eastAsia="宋体"/>
          <w:color w:val="000000"/>
          <w:sz w:val="21"/>
        </w:rPr>
        <w:t>图 5-1  星期 × 时段销售额热力图（fig13）</w:t>
      </w:r>
    </w:p>
    <w:p>
      <w:pPr>
        <w:spacing w:line="360" w:lineRule="auto" w:after="80"/>
        <w:ind w:firstLine="480"/>
        <w:jc w:val="both"/>
      </w:pPr>
      <w:r>
        <w:rPr>
          <w:rFonts w:ascii="Times New Roman" w:hAnsi="Times New Roman" w:eastAsia="宋体"/>
          <w:b w:val="0"/>
          <w:color w:val="000000"/>
          <w:sz w:val="24"/>
        </w:rPr>
        <w:t>图 5-1 显示销售额高度集中于工作日的上午 10 时至下午 15 时，周末与清晨时段近乎空白。这一发现有两层业务含义：一是客服与仓储排班应向工作日白天倾斜；二是营销邮件的发送时机应避开周末，否则触达效率会大打折扣。</w:t>
      </w:r>
    </w:p>
    <w:p>
      <w:pPr>
        <w:keepNext/>
        <w:spacing w:line="360" w:lineRule="auto" w:before="100" w:after="80"/>
        <w:outlineLvl w:val="1"/>
      </w:pPr>
      <w:r>
        <w:rPr>
          <w:rFonts w:ascii="Times New Roman" w:hAnsi="Times New Roman" w:eastAsia="黑体"/>
          <w:b/>
          <w:color w:val="000000"/>
          <w:sz w:val="24"/>
        </w:rPr>
        <w:t>5.2 可视化模板复现</w:t>
      </w:r>
    </w:p>
    <w:p>
      <w:pPr>
        <w:spacing w:line="360" w:lineRule="auto" w:after="80"/>
        <w:ind w:firstLine="480"/>
        <w:jc w:val="both"/>
      </w:pPr>
      <w:r>
        <w:rPr>
          <w:rFonts w:ascii="Times New Roman" w:hAnsi="Times New Roman" w:eastAsia="宋体"/>
          <w:b w:val="0"/>
          <w:color w:val="000000"/>
          <w:sz w:val="24"/>
        </w:rPr>
        <w:t>本节对照《Excel 数据可视化——从图表到数据大屏》中的典型模板，使用 Matplotlib 与 Seaborn 复现 25 种图表类型，在图表类型、布局结构、配色方案、标签样式、图例位置、标题设计六个方面贴近原模板。全部 37 张图统一为 200dpi（超过 150dpi 要求），命名规范为 figNN_&lt;主题&gt;.png。</w:t>
      </w:r>
    </w:p>
    <w:p>
      <w:pPr>
        <w:spacing w:after="40"/>
        <w:jc w:val="center"/>
      </w:pPr>
      <w:r>
        <w:rPr>
          <w:rFonts w:ascii="Times New Roman" w:hAnsi="Times New Roman" w:eastAsia="黑体"/>
          <w:color w:val="000000"/>
          <w:sz w:val="21"/>
        </w:rPr>
        <w:t>表 5-1  模板复现清单（25 种，逐图对照）</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jc w:val="center"/>
            </w:pPr>
            <w:r/>
            <w:r>
              <w:rPr>
                <w:rFonts w:ascii="Times New Roman" w:hAnsi="Times New Roman" w:eastAsia="黑体"/>
                <w:b/>
                <w:color w:val="000000"/>
                <w:sz w:val="20"/>
              </w:rPr>
              <w:t>序号</w:t>
            </w:r>
          </w:p>
        </w:tc>
        <w:tc>
          <w:tcPr>
            <w:tcW w:type="dxa" w:w="2183"/>
          </w:tcPr>
          <w:p>
            <w:pPr>
              <w:jc w:val="center"/>
            </w:pPr>
            <w:r/>
            <w:r>
              <w:rPr>
                <w:rFonts w:ascii="Times New Roman" w:hAnsi="Times New Roman" w:eastAsia="黑体"/>
                <w:b/>
                <w:color w:val="000000"/>
                <w:sz w:val="20"/>
              </w:rPr>
              <w:t>模板图型</w:t>
            </w:r>
          </w:p>
        </w:tc>
        <w:tc>
          <w:tcPr>
            <w:tcW w:type="dxa" w:w="2183"/>
          </w:tcPr>
          <w:p>
            <w:pPr>
              <w:jc w:val="center"/>
            </w:pPr>
            <w:r/>
            <w:r>
              <w:rPr>
                <w:rFonts w:ascii="Times New Roman" w:hAnsi="Times New Roman" w:eastAsia="黑体"/>
                <w:b/>
                <w:color w:val="000000"/>
                <w:sz w:val="20"/>
              </w:rPr>
              <w:t>对应图号</w:t>
            </w:r>
          </w:p>
        </w:tc>
        <w:tc>
          <w:tcPr>
            <w:tcW w:type="dxa" w:w="2183"/>
          </w:tcPr>
          <w:p>
            <w:pPr>
              <w:jc w:val="center"/>
            </w:pPr>
            <w:r/>
            <w:r>
              <w:rPr>
                <w:rFonts w:ascii="Times New Roman" w:hAnsi="Times New Roman" w:eastAsia="黑体"/>
                <w:b/>
                <w:color w:val="000000"/>
                <w:sz w:val="20"/>
              </w:rPr>
              <w:t>复现要点（配色 / 标签 / 图例 / 标题）</w:t>
            </w:r>
          </w:p>
        </w:tc>
      </w:tr>
      <w:tr>
        <w:tc>
          <w:tcPr>
            <w:tcW w:type="dxa" w:w="2183"/>
          </w:tcPr>
          <w:p>
            <w:pPr>
              <w:spacing w:after="20"/>
              <w:jc w:val="center"/>
            </w:pPr>
            <w:r/>
            <w:r>
              <w:rPr>
                <w:rFonts w:ascii="Times New Roman" w:hAnsi="Times New Roman" w:eastAsia="宋体"/>
                <w:color w:val="000000"/>
                <w:sz w:val="20"/>
              </w:rPr>
              <w:t>1</w:t>
            </w:r>
          </w:p>
        </w:tc>
        <w:tc>
          <w:tcPr>
            <w:tcW w:type="dxa" w:w="2183"/>
          </w:tcPr>
          <w:p>
            <w:pPr>
              <w:spacing w:after="20"/>
              <w:jc w:val="left"/>
            </w:pPr>
            <w:r/>
            <w:r>
              <w:rPr>
                <w:rFonts w:ascii="Times New Roman" w:hAnsi="Times New Roman" w:eastAsia="宋体"/>
                <w:color w:val="000000"/>
                <w:sz w:val="20"/>
              </w:rPr>
              <w:t>组合图·环比同比</w:t>
            </w:r>
          </w:p>
        </w:tc>
        <w:tc>
          <w:tcPr>
            <w:tcW w:type="dxa" w:w="2183"/>
          </w:tcPr>
          <w:p>
            <w:pPr>
              <w:spacing w:after="20"/>
              <w:jc w:val="left"/>
            </w:pPr>
            <w:r/>
            <w:r>
              <w:rPr>
                <w:rFonts w:ascii="Times New Roman" w:hAnsi="Times New Roman" w:eastAsia="宋体"/>
                <w:color w:val="000000"/>
                <w:sz w:val="20"/>
              </w:rPr>
              <w:t>fig01</w:t>
            </w:r>
          </w:p>
        </w:tc>
        <w:tc>
          <w:tcPr>
            <w:tcW w:type="dxa" w:w="2183"/>
          </w:tcPr>
          <w:p>
            <w:pPr>
              <w:spacing w:after="20"/>
              <w:jc w:val="left"/>
            </w:pPr>
            <w:r/>
            <w:r>
              <w:rPr>
                <w:rFonts w:ascii="Times New Roman" w:hAnsi="Times New Roman" w:eastAsia="宋体"/>
                <w:color w:val="000000"/>
                <w:sz w:val="20"/>
              </w:rPr>
              <w:t>柱（销售额）+ 双折线（MoM / YoY%）、右轴百分比、零基准线</w:t>
            </w:r>
          </w:p>
        </w:tc>
      </w:tr>
      <w:tr>
        <w:tc>
          <w:tcPr>
            <w:tcW w:type="dxa" w:w="2183"/>
          </w:tcPr>
          <w:p>
            <w:pPr>
              <w:spacing w:after="20"/>
              <w:jc w:val="center"/>
            </w:pPr>
            <w:r/>
            <w:r>
              <w:rPr>
                <w:rFonts w:ascii="Times New Roman" w:hAnsi="Times New Roman" w:eastAsia="宋体"/>
                <w:color w:val="000000"/>
                <w:sz w:val="20"/>
              </w:rPr>
              <w:t>2</w:t>
            </w:r>
          </w:p>
        </w:tc>
        <w:tc>
          <w:tcPr>
            <w:tcW w:type="dxa" w:w="2183"/>
          </w:tcPr>
          <w:p>
            <w:pPr>
              <w:spacing w:after="20"/>
              <w:jc w:val="left"/>
            </w:pPr>
            <w:r/>
            <w:r>
              <w:rPr>
                <w:rFonts w:ascii="Times New Roman" w:hAnsi="Times New Roman" w:eastAsia="宋体"/>
                <w:color w:val="000000"/>
                <w:sz w:val="20"/>
              </w:rPr>
              <w:t>折线图</w:t>
            </w:r>
          </w:p>
        </w:tc>
        <w:tc>
          <w:tcPr>
            <w:tcW w:type="dxa" w:w="2183"/>
          </w:tcPr>
          <w:p>
            <w:pPr>
              <w:spacing w:after="20"/>
              <w:jc w:val="left"/>
            </w:pPr>
            <w:r/>
            <w:r>
              <w:rPr>
                <w:rFonts w:ascii="Times New Roman" w:hAnsi="Times New Roman" w:eastAsia="宋体"/>
                <w:color w:val="000000"/>
                <w:sz w:val="20"/>
              </w:rPr>
              <w:t>fig02</w:t>
            </w:r>
          </w:p>
        </w:tc>
        <w:tc>
          <w:tcPr>
            <w:tcW w:type="dxa" w:w="2183"/>
          </w:tcPr>
          <w:p>
            <w:pPr>
              <w:spacing w:after="20"/>
              <w:jc w:val="left"/>
            </w:pPr>
            <w:r/>
            <w:r>
              <w:rPr>
                <w:rFonts w:ascii="Times New Roman" w:hAnsi="Times New Roman" w:eastAsia="宋体"/>
                <w:color w:val="000000"/>
                <w:sz w:val="20"/>
              </w:rPr>
              <w:t>MA30 叠加主线、峰值点标注、网格弱化、纵轴千分位</w:t>
            </w:r>
          </w:p>
        </w:tc>
      </w:tr>
      <w:tr>
        <w:tc>
          <w:tcPr>
            <w:tcW w:type="dxa" w:w="2183"/>
          </w:tcPr>
          <w:p>
            <w:pPr>
              <w:spacing w:after="20"/>
              <w:jc w:val="center"/>
            </w:pPr>
            <w:r/>
            <w:r>
              <w:rPr>
                <w:rFonts w:ascii="Times New Roman" w:hAnsi="Times New Roman" w:eastAsia="宋体"/>
                <w:color w:val="000000"/>
                <w:sz w:val="20"/>
              </w:rPr>
              <w:t>3</w:t>
            </w:r>
          </w:p>
        </w:tc>
        <w:tc>
          <w:tcPr>
            <w:tcW w:type="dxa" w:w="2183"/>
          </w:tcPr>
          <w:p>
            <w:pPr>
              <w:spacing w:after="20"/>
              <w:jc w:val="left"/>
            </w:pPr>
            <w:r/>
            <w:r>
              <w:rPr>
                <w:rFonts w:ascii="Times New Roman" w:hAnsi="Times New Roman" w:eastAsia="宋体"/>
                <w:color w:val="000000"/>
                <w:sz w:val="20"/>
              </w:rPr>
              <w:t>面积图</w:t>
            </w:r>
          </w:p>
        </w:tc>
        <w:tc>
          <w:tcPr>
            <w:tcW w:type="dxa" w:w="2183"/>
          </w:tcPr>
          <w:p>
            <w:pPr>
              <w:spacing w:after="20"/>
              <w:jc w:val="left"/>
            </w:pPr>
            <w:r/>
            <w:r>
              <w:rPr>
                <w:rFonts w:ascii="Times New Roman" w:hAnsi="Times New Roman" w:eastAsia="宋体"/>
                <w:color w:val="000000"/>
                <w:sz w:val="20"/>
              </w:rPr>
              <w:t>fig03</w:t>
            </w:r>
          </w:p>
        </w:tc>
        <w:tc>
          <w:tcPr>
            <w:tcW w:type="dxa" w:w="2183"/>
          </w:tcPr>
          <w:p>
            <w:pPr>
              <w:spacing w:after="20"/>
              <w:jc w:val="left"/>
            </w:pPr>
            <w:r/>
            <w:r>
              <w:rPr>
                <w:rFonts w:ascii="Times New Roman" w:hAnsi="Times New Roman" w:eastAsia="宋体"/>
                <w:color w:val="000000"/>
                <w:sz w:val="20"/>
              </w:rPr>
              <w:t>双系列半透明填充、月份标签旋转 45°、右轴订单量</w:t>
            </w:r>
          </w:p>
        </w:tc>
      </w:tr>
      <w:tr>
        <w:tc>
          <w:tcPr>
            <w:tcW w:type="dxa" w:w="2183"/>
          </w:tcPr>
          <w:p>
            <w:pPr>
              <w:spacing w:after="20"/>
              <w:jc w:val="center"/>
            </w:pPr>
            <w:r/>
            <w:r>
              <w:rPr>
                <w:rFonts w:ascii="Times New Roman" w:hAnsi="Times New Roman" w:eastAsia="宋体"/>
                <w:color w:val="000000"/>
                <w:sz w:val="20"/>
              </w:rPr>
              <w:t>4</w:t>
            </w:r>
          </w:p>
        </w:tc>
        <w:tc>
          <w:tcPr>
            <w:tcW w:type="dxa" w:w="2183"/>
          </w:tcPr>
          <w:p>
            <w:pPr>
              <w:spacing w:after="20"/>
              <w:jc w:val="left"/>
            </w:pPr>
            <w:r/>
            <w:r>
              <w:rPr>
                <w:rFonts w:ascii="Times New Roman" w:hAnsi="Times New Roman" w:eastAsia="宋体"/>
                <w:color w:val="000000"/>
                <w:sz w:val="20"/>
              </w:rPr>
              <w:t>柱形图</w:t>
            </w:r>
          </w:p>
        </w:tc>
        <w:tc>
          <w:tcPr>
            <w:tcW w:type="dxa" w:w="2183"/>
          </w:tcPr>
          <w:p>
            <w:pPr>
              <w:spacing w:after="20"/>
              <w:jc w:val="left"/>
            </w:pPr>
            <w:r/>
            <w:r>
              <w:rPr>
                <w:rFonts w:ascii="Times New Roman" w:hAnsi="Times New Roman" w:eastAsia="宋体"/>
                <w:color w:val="000000"/>
                <w:sz w:val="20"/>
              </w:rPr>
              <w:t>fig04</w:t>
            </w:r>
          </w:p>
        </w:tc>
        <w:tc>
          <w:tcPr>
            <w:tcW w:type="dxa" w:w="2183"/>
          </w:tcPr>
          <w:p>
            <w:pPr>
              <w:spacing w:after="20"/>
              <w:jc w:val="left"/>
            </w:pPr>
            <w:r/>
            <w:r>
              <w:rPr>
                <w:rFonts w:ascii="Times New Roman" w:hAnsi="Times New Roman" w:eastAsia="宋体"/>
                <w:color w:val="000000"/>
                <w:sz w:val="20"/>
              </w:rPr>
              <w:t>降序排列、柱顶数值标签、顶部留白、去除上右边框</w:t>
            </w:r>
          </w:p>
        </w:tc>
      </w:tr>
      <w:tr>
        <w:tc>
          <w:tcPr>
            <w:tcW w:type="dxa" w:w="2183"/>
          </w:tcPr>
          <w:p>
            <w:pPr>
              <w:spacing w:after="20"/>
              <w:jc w:val="center"/>
            </w:pPr>
            <w:r/>
            <w:r>
              <w:rPr>
                <w:rFonts w:ascii="Times New Roman" w:hAnsi="Times New Roman" w:eastAsia="宋体"/>
                <w:color w:val="000000"/>
                <w:sz w:val="20"/>
              </w:rPr>
              <w:t>5</w:t>
            </w:r>
          </w:p>
        </w:tc>
        <w:tc>
          <w:tcPr>
            <w:tcW w:type="dxa" w:w="2183"/>
          </w:tcPr>
          <w:p>
            <w:pPr>
              <w:spacing w:after="20"/>
              <w:jc w:val="left"/>
            </w:pPr>
            <w:r/>
            <w:r>
              <w:rPr>
                <w:rFonts w:ascii="Times New Roman" w:hAnsi="Times New Roman" w:eastAsia="宋体"/>
                <w:color w:val="000000"/>
                <w:sz w:val="20"/>
              </w:rPr>
              <w:t>条形图</w:t>
            </w:r>
          </w:p>
        </w:tc>
        <w:tc>
          <w:tcPr>
            <w:tcW w:type="dxa" w:w="2183"/>
          </w:tcPr>
          <w:p>
            <w:pPr>
              <w:spacing w:after="20"/>
              <w:jc w:val="left"/>
            </w:pPr>
            <w:r/>
            <w:r>
              <w:rPr>
                <w:rFonts w:ascii="Times New Roman" w:hAnsi="Times New Roman" w:eastAsia="宋体"/>
                <w:color w:val="000000"/>
                <w:sz w:val="20"/>
              </w:rPr>
              <w:t>fig05</w:t>
            </w:r>
          </w:p>
        </w:tc>
        <w:tc>
          <w:tcPr>
            <w:tcW w:type="dxa" w:w="2183"/>
          </w:tcPr>
          <w:p>
            <w:pPr>
              <w:spacing w:after="20"/>
              <w:jc w:val="left"/>
            </w:pPr>
            <w:r/>
            <w:r>
              <w:rPr>
                <w:rFonts w:ascii="Times New Roman" w:hAnsi="Times New Roman" w:eastAsia="宋体"/>
                <w:color w:val="000000"/>
                <w:sz w:val="20"/>
              </w:rPr>
              <w:t>TOP15 横向降序、条内数值标签、首项高亮</w:t>
            </w:r>
          </w:p>
        </w:tc>
      </w:tr>
      <w:tr>
        <w:tc>
          <w:tcPr>
            <w:tcW w:type="dxa" w:w="2183"/>
          </w:tcPr>
          <w:p>
            <w:pPr>
              <w:spacing w:after="20"/>
              <w:jc w:val="center"/>
            </w:pPr>
            <w:r/>
            <w:r>
              <w:rPr>
                <w:rFonts w:ascii="Times New Roman" w:hAnsi="Times New Roman" w:eastAsia="宋体"/>
                <w:color w:val="000000"/>
                <w:sz w:val="20"/>
              </w:rPr>
              <w:t>6</w:t>
            </w:r>
          </w:p>
        </w:tc>
        <w:tc>
          <w:tcPr>
            <w:tcW w:type="dxa" w:w="2183"/>
          </w:tcPr>
          <w:p>
            <w:pPr>
              <w:spacing w:after="20"/>
              <w:jc w:val="left"/>
            </w:pPr>
            <w:r/>
            <w:r>
              <w:rPr>
                <w:rFonts w:ascii="Times New Roman" w:hAnsi="Times New Roman" w:eastAsia="宋体"/>
                <w:color w:val="000000"/>
                <w:sz w:val="20"/>
              </w:rPr>
              <w:t>环形图</w:t>
            </w:r>
          </w:p>
        </w:tc>
        <w:tc>
          <w:tcPr>
            <w:tcW w:type="dxa" w:w="2183"/>
          </w:tcPr>
          <w:p>
            <w:pPr>
              <w:spacing w:after="20"/>
              <w:jc w:val="left"/>
            </w:pPr>
            <w:r/>
            <w:r>
              <w:rPr>
                <w:rFonts w:ascii="Times New Roman" w:hAnsi="Times New Roman" w:eastAsia="宋体"/>
                <w:color w:val="000000"/>
                <w:sz w:val="20"/>
              </w:rPr>
              <w:t>fig06</w:t>
            </w:r>
          </w:p>
        </w:tc>
        <w:tc>
          <w:tcPr>
            <w:tcW w:type="dxa" w:w="2183"/>
          </w:tcPr>
          <w:p>
            <w:pPr>
              <w:spacing w:after="20"/>
              <w:jc w:val="left"/>
            </w:pPr>
            <w:r/>
            <w:r>
              <w:rPr>
                <w:rFonts w:ascii="Times New Roman" w:hAnsi="Times New Roman" w:eastAsia="宋体"/>
                <w:color w:val="000000"/>
                <w:sz w:val="20"/>
              </w:rPr>
              <w:t>中心显示总计、引线标签、末 8 国合并为「其他」</w:t>
            </w:r>
          </w:p>
        </w:tc>
      </w:tr>
      <w:tr>
        <w:tc>
          <w:tcPr>
            <w:tcW w:type="dxa" w:w="2183"/>
          </w:tcPr>
          <w:p>
            <w:pPr>
              <w:spacing w:after="20"/>
              <w:jc w:val="center"/>
            </w:pPr>
            <w:r/>
            <w:r>
              <w:rPr>
                <w:rFonts w:ascii="Times New Roman" w:hAnsi="Times New Roman" w:eastAsia="宋体"/>
                <w:color w:val="000000"/>
                <w:sz w:val="20"/>
              </w:rPr>
              <w:t>7</w:t>
            </w:r>
          </w:p>
        </w:tc>
        <w:tc>
          <w:tcPr>
            <w:tcW w:type="dxa" w:w="2183"/>
          </w:tcPr>
          <w:p>
            <w:pPr>
              <w:spacing w:after="20"/>
              <w:jc w:val="left"/>
            </w:pPr>
            <w:r/>
            <w:r>
              <w:rPr>
                <w:rFonts w:ascii="Times New Roman" w:hAnsi="Times New Roman" w:eastAsia="宋体"/>
                <w:color w:val="000000"/>
                <w:sz w:val="20"/>
              </w:rPr>
              <w:t>堆积柱形图</w:t>
            </w:r>
          </w:p>
        </w:tc>
        <w:tc>
          <w:tcPr>
            <w:tcW w:type="dxa" w:w="2183"/>
          </w:tcPr>
          <w:p>
            <w:pPr>
              <w:spacing w:after="20"/>
              <w:jc w:val="left"/>
            </w:pPr>
            <w:r/>
            <w:r>
              <w:rPr>
                <w:rFonts w:ascii="Times New Roman" w:hAnsi="Times New Roman" w:eastAsia="宋体"/>
                <w:color w:val="000000"/>
                <w:sz w:val="20"/>
              </w:rPr>
              <w:t>fig07</w:t>
            </w:r>
          </w:p>
        </w:tc>
        <w:tc>
          <w:tcPr>
            <w:tcW w:type="dxa" w:w="2183"/>
          </w:tcPr>
          <w:p>
            <w:pPr>
              <w:spacing w:after="20"/>
              <w:jc w:val="left"/>
            </w:pPr>
            <w:r/>
            <w:r>
              <w:rPr>
                <w:rFonts w:ascii="Times New Roman" w:hAnsi="Times New Roman" w:eastAsia="宋体"/>
                <w:color w:val="000000"/>
                <w:sz w:val="20"/>
              </w:rPr>
              <w:t>国别分层堆积、图例置右上不遮挡、月份全年覆盖</w:t>
            </w:r>
          </w:p>
        </w:tc>
      </w:tr>
      <w:tr>
        <w:tc>
          <w:tcPr>
            <w:tcW w:type="dxa" w:w="2183"/>
          </w:tcPr>
          <w:p>
            <w:pPr>
              <w:spacing w:after="20"/>
              <w:jc w:val="center"/>
            </w:pPr>
            <w:r/>
            <w:r>
              <w:rPr>
                <w:rFonts w:ascii="Times New Roman" w:hAnsi="Times New Roman" w:eastAsia="宋体"/>
                <w:color w:val="000000"/>
                <w:sz w:val="20"/>
              </w:rPr>
              <w:t>8</w:t>
            </w:r>
          </w:p>
        </w:tc>
        <w:tc>
          <w:tcPr>
            <w:tcW w:type="dxa" w:w="2183"/>
          </w:tcPr>
          <w:p>
            <w:pPr>
              <w:spacing w:after="20"/>
              <w:jc w:val="left"/>
            </w:pPr>
            <w:r/>
            <w:r>
              <w:rPr>
                <w:rFonts w:ascii="Times New Roman" w:hAnsi="Times New Roman" w:eastAsia="宋体"/>
                <w:color w:val="000000"/>
                <w:sz w:val="20"/>
              </w:rPr>
              <w:t>百分比堆积柱形图</w:t>
            </w:r>
          </w:p>
        </w:tc>
        <w:tc>
          <w:tcPr>
            <w:tcW w:type="dxa" w:w="2183"/>
          </w:tcPr>
          <w:p>
            <w:pPr>
              <w:spacing w:after="20"/>
              <w:jc w:val="left"/>
            </w:pPr>
            <w:r/>
            <w:r>
              <w:rPr>
                <w:rFonts w:ascii="Times New Roman" w:hAnsi="Times New Roman" w:eastAsia="宋体"/>
                <w:color w:val="000000"/>
                <w:sz w:val="20"/>
              </w:rPr>
              <w:t>fig08</w:t>
            </w:r>
          </w:p>
        </w:tc>
        <w:tc>
          <w:tcPr>
            <w:tcW w:type="dxa" w:w="2183"/>
          </w:tcPr>
          <w:p>
            <w:pPr>
              <w:spacing w:after="20"/>
              <w:jc w:val="left"/>
            </w:pPr>
            <w:r/>
            <w:r>
              <w:rPr>
                <w:rFonts w:ascii="Times New Roman" w:hAnsi="Times New Roman" w:eastAsia="宋体"/>
                <w:color w:val="000000"/>
                <w:sz w:val="20"/>
              </w:rPr>
              <w:t>按 100% 归一、格内占比标签、品类固定色序</w:t>
            </w:r>
          </w:p>
        </w:tc>
      </w:tr>
      <w:tr>
        <w:tc>
          <w:tcPr>
            <w:tcW w:type="dxa" w:w="2183"/>
          </w:tcPr>
          <w:p>
            <w:pPr>
              <w:spacing w:after="20"/>
              <w:jc w:val="center"/>
            </w:pPr>
            <w:r/>
            <w:r>
              <w:rPr>
                <w:rFonts w:ascii="Times New Roman" w:hAnsi="Times New Roman" w:eastAsia="宋体"/>
                <w:color w:val="000000"/>
                <w:sz w:val="20"/>
              </w:rPr>
              <w:t>9</w:t>
            </w:r>
          </w:p>
        </w:tc>
        <w:tc>
          <w:tcPr>
            <w:tcW w:type="dxa" w:w="2183"/>
          </w:tcPr>
          <w:p>
            <w:pPr>
              <w:spacing w:after="20"/>
              <w:jc w:val="left"/>
            </w:pPr>
            <w:r/>
            <w:r>
              <w:rPr>
                <w:rFonts w:ascii="Times New Roman" w:hAnsi="Times New Roman" w:eastAsia="宋体"/>
                <w:color w:val="000000"/>
                <w:sz w:val="20"/>
              </w:rPr>
              <w:t>散点图</w:t>
            </w:r>
          </w:p>
        </w:tc>
        <w:tc>
          <w:tcPr>
            <w:tcW w:type="dxa" w:w="2183"/>
          </w:tcPr>
          <w:p>
            <w:pPr>
              <w:spacing w:after="20"/>
              <w:jc w:val="left"/>
            </w:pPr>
            <w:r/>
            <w:r>
              <w:rPr>
                <w:rFonts w:ascii="Times New Roman" w:hAnsi="Times New Roman" w:eastAsia="宋体"/>
                <w:color w:val="000000"/>
                <w:sz w:val="20"/>
              </w:rPr>
              <w:t>fig09</w:t>
            </w:r>
          </w:p>
        </w:tc>
        <w:tc>
          <w:tcPr>
            <w:tcW w:type="dxa" w:w="2183"/>
          </w:tcPr>
          <w:p>
            <w:pPr>
              <w:spacing w:after="20"/>
              <w:jc w:val="left"/>
            </w:pPr>
            <w:r/>
            <w:r>
              <w:rPr>
                <w:rFonts w:ascii="Times New Roman" w:hAnsi="Times New Roman" w:eastAsia="宋体"/>
                <w:color w:val="000000"/>
                <w:sz w:val="20"/>
              </w:rPr>
              <w:t>双对数轴、幂律趋势线、点透明度防重叠</w:t>
            </w:r>
          </w:p>
        </w:tc>
      </w:tr>
      <w:tr>
        <w:tc>
          <w:tcPr>
            <w:tcW w:type="dxa" w:w="2183"/>
          </w:tcPr>
          <w:p>
            <w:pPr>
              <w:spacing w:after="20"/>
              <w:jc w:val="center"/>
            </w:pPr>
            <w:r/>
            <w:r>
              <w:rPr>
                <w:rFonts w:ascii="Times New Roman" w:hAnsi="Times New Roman" w:eastAsia="宋体"/>
                <w:color w:val="000000"/>
                <w:sz w:val="20"/>
              </w:rPr>
              <w:t>10</w:t>
            </w:r>
          </w:p>
        </w:tc>
        <w:tc>
          <w:tcPr>
            <w:tcW w:type="dxa" w:w="2183"/>
          </w:tcPr>
          <w:p>
            <w:pPr>
              <w:spacing w:after="20"/>
              <w:jc w:val="left"/>
            </w:pPr>
            <w:r/>
            <w:r>
              <w:rPr>
                <w:rFonts w:ascii="Times New Roman" w:hAnsi="Times New Roman" w:eastAsia="宋体"/>
                <w:color w:val="000000"/>
                <w:sz w:val="20"/>
              </w:rPr>
              <w:t>气泡图</w:t>
            </w:r>
          </w:p>
        </w:tc>
        <w:tc>
          <w:tcPr>
            <w:tcW w:type="dxa" w:w="2183"/>
          </w:tcPr>
          <w:p>
            <w:pPr>
              <w:spacing w:after="20"/>
              <w:jc w:val="left"/>
            </w:pPr>
            <w:r/>
            <w:r>
              <w:rPr>
                <w:rFonts w:ascii="Times New Roman" w:hAnsi="Times New Roman" w:eastAsia="宋体"/>
                <w:color w:val="000000"/>
                <w:sz w:val="20"/>
              </w:rPr>
              <w:t>fig10</w:t>
            </w:r>
          </w:p>
        </w:tc>
        <w:tc>
          <w:tcPr>
            <w:tcW w:type="dxa" w:w="2183"/>
          </w:tcPr>
          <w:p>
            <w:pPr>
              <w:spacing w:after="20"/>
              <w:jc w:val="left"/>
            </w:pPr>
            <w:r/>
            <w:r>
              <w:rPr>
                <w:rFonts w:ascii="Times New Roman" w:hAnsi="Times New Roman" w:eastAsia="宋体"/>
                <w:color w:val="000000"/>
                <w:sz w:val="20"/>
              </w:rPr>
              <w:t>气泡面积编码销售额、双轴、独立尺寸图例</w:t>
            </w:r>
          </w:p>
        </w:tc>
      </w:tr>
      <w:tr>
        <w:tc>
          <w:tcPr>
            <w:tcW w:type="dxa" w:w="2183"/>
          </w:tcPr>
          <w:p>
            <w:pPr>
              <w:spacing w:after="20"/>
              <w:jc w:val="center"/>
            </w:pPr>
            <w:r/>
            <w:r>
              <w:rPr>
                <w:rFonts w:ascii="Times New Roman" w:hAnsi="Times New Roman" w:eastAsia="宋体"/>
                <w:color w:val="000000"/>
                <w:sz w:val="20"/>
              </w:rPr>
              <w:t>11</w:t>
            </w:r>
          </w:p>
        </w:tc>
        <w:tc>
          <w:tcPr>
            <w:tcW w:type="dxa" w:w="2183"/>
          </w:tcPr>
          <w:p>
            <w:pPr>
              <w:spacing w:after="20"/>
              <w:jc w:val="left"/>
            </w:pPr>
            <w:r/>
            <w:r>
              <w:rPr>
                <w:rFonts w:ascii="Times New Roman" w:hAnsi="Times New Roman" w:eastAsia="宋体"/>
                <w:color w:val="000000"/>
                <w:sz w:val="20"/>
              </w:rPr>
              <w:t>直方图</w:t>
            </w:r>
          </w:p>
        </w:tc>
        <w:tc>
          <w:tcPr>
            <w:tcW w:type="dxa" w:w="2183"/>
          </w:tcPr>
          <w:p>
            <w:pPr>
              <w:spacing w:after="20"/>
              <w:jc w:val="left"/>
            </w:pPr>
            <w:r/>
            <w:r>
              <w:rPr>
                <w:rFonts w:ascii="Times New Roman" w:hAnsi="Times New Roman" w:eastAsia="宋体"/>
                <w:color w:val="000000"/>
                <w:sz w:val="20"/>
              </w:rPr>
              <w:t>fig11</w:t>
            </w:r>
          </w:p>
        </w:tc>
        <w:tc>
          <w:tcPr>
            <w:tcW w:type="dxa" w:w="2183"/>
          </w:tcPr>
          <w:p>
            <w:pPr>
              <w:spacing w:after="20"/>
              <w:jc w:val="left"/>
            </w:pPr>
            <w:r/>
            <w:r>
              <w:rPr>
                <w:rFonts w:ascii="Times New Roman" w:hAnsi="Times New Roman" w:eastAsia="宋体"/>
                <w:color w:val="000000"/>
                <w:sz w:val="20"/>
              </w:rPr>
              <w:t>KDE 曲线叠加、均值/中位数虚线、分箱数 60</w:t>
            </w:r>
          </w:p>
        </w:tc>
      </w:tr>
      <w:tr>
        <w:tc>
          <w:tcPr>
            <w:tcW w:type="dxa" w:w="2183"/>
          </w:tcPr>
          <w:p>
            <w:pPr>
              <w:spacing w:after="20"/>
              <w:jc w:val="center"/>
            </w:pPr>
            <w:r/>
            <w:r>
              <w:rPr>
                <w:rFonts w:ascii="Times New Roman" w:hAnsi="Times New Roman" w:eastAsia="宋体"/>
                <w:color w:val="000000"/>
                <w:sz w:val="20"/>
              </w:rPr>
              <w:t>12</w:t>
            </w:r>
          </w:p>
        </w:tc>
        <w:tc>
          <w:tcPr>
            <w:tcW w:type="dxa" w:w="2183"/>
          </w:tcPr>
          <w:p>
            <w:pPr>
              <w:spacing w:after="20"/>
              <w:jc w:val="left"/>
            </w:pPr>
            <w:r/>
            <w:r>
              <w:rPr>
                <w:rFonts w:ascii="Times New Roman" w:hAnsi="Times New Roman" w:eastAsia="宋体"/>
                <w:color w:val="000000"/>
                <w:sz w:val="20"/>
              </w:rPr>
              <w:t>箱线图</w:t>
            </w:r>
          </w:p>
        </w:tc>
        <w:tc>
          <w:tcPr>
            <w:tcW w:type="dxa" w:w="2183"/>
          </w:tcPr>
          <w:p>
            <w:pPr>
              <w:spacing w:after="20"/>
              <w:jc w:val="left"/>
            </w:pPr>
            <w:r/>
            <w:r>
              <w:rPr>
                <w:rFonts w:ascii="Times New Roman" w:hAnsi="Times New Roman" w:eastAsia="宋体"/>
                <w:color w:val="000000"/>
                <w:sz w:val="20"/>
              </w:rPr>
              <w:t>fig12</w:t>
            </w:r>
          </w:p>
        </w:tc>
        <w:tc>
          <w:tcPr>
            <w:tcW w:type="dxa" w:w="2183"/>
          </w:tcPr>
          <w:p>
            <w:pPr>
              <w:spacing w:after="20"/>
              <w:jc w:val="left"/>
            </w:pPr>
            <w:r/>
            <w:r>
              <w:rPr>
                <w:rFonts w:ascii="Times New Roman" w:hAnsi="Times New Roman" w:eastAsia="宋体"/>
                <w:color w:val="000000"/>
                <w:sz w:val="20"/>
              </w:rPr>
              <w:t>均值点标记、中位数标注、异常点淡化</w:t>
            </w:r>
          </w:p>
        </w:tc>
      </w:tr>
      <w:tr>
        <w:tc>
          <w:tcPr>
            <w:tcW w:type="dxa" w:w="2183"/>
          </w:tcPr>
          <w:p>
            <w:pPr>
              <w:spacing w:after="20"/>
              <w:jc w:val="center"/>
            </w:pPr>
            <w:r/>
            <w:r>
              <w:rPr>
                <w:rFonts w:ascii="Times New Roman" w:hAnsi="Times New Roman" w:eastAsia="宋体"/>
                <w:color w:val="000000"/>
                <w:sz w:val="20"/>
              </w:rPr>
              <w:t>13</w:t>
            </w:r>
          </w:p>
        </w:tc>
        <w:tc>
          <w:tcPr>
            <w:tcW w:type="dxa" w:w="2183"/>
          </w:tcPr>
          <w:p>
            <w:pPr>
              <w:spacing w:after="20"/>
              <w:jc w:val="left"/>
            </w:pPr>
            <w:r/>
            <w:r>
              <w:rPr>
                <w:rFonts w:ascii="Times New Roman" w:hAnsi="Times New Roman" w:eastAsia="宋体"/>
                <w:color w:val="000000"/>
                <w:sz w:val="20"/>
              </w:rPr>
              <w:t>热力图</w:t>
            </w:r>
          </w:p>
        </w:tc>
        <w:tc>
          <w:tcPr>
            <w:tcW w:type="dxa" w:w="2183"/>
          </w:tcPr>
          <w:p>
            <w:pPr>
              <w:spacing w:after="20"/>
              <w:jc w:val="left"/>
            </w:pPr>
            <w:r/>
            <w:r>
              <w:rPr>
                <w:rFonts w:ascii="Times New Roman" w:hAnsi="Times New Roman" w:eastAsia="宋体"/>
                <w:color w:val="000000"/>
                <w:sz w:val="20"/>
              </w:rPr>
              <w:t>fig13</w:t>
            </w:r>
          </w:p>
        </w:tc>
        <w:tc>
          <w:tcPr>
            <w:tcW w:type="dxa" w:w="2183"/>
          </w:tcPr>
          <w:p>
            <w:pPr>
              <w:spacing w:after="20"/>
              <w:jc w:val="left"/>
            </w:pPr>
            <w:r/>
            <w:r>
              <w:rPr>
                <w:rFonts w:ascii="Times New Roman" w:hAnsi="Times New Roman" w:eastAsia="宋体"/>
                <w:color w:val="000000"/>
                <w:sz w:val="20"/>
              </w:rPr>
              <w:t>星期 × 时段矩阵、色标条、单元格数值标注</w:t>
            </w:r>
          </w:p>
        </w:tc>
      </w:tr>
      <w:tr>
        <w:tc>
          <w:tcPr>
            <w:tcW w:type="dxa" w:w="2183"/>
          </w:tcPr>
          <w:p>
            <w:pPr>
              <w:spacing w:after="20"/>
              <w:jc w:val="center"/>
            </w:pPr>
            <w:r/>
            <w:r>
              <w:rPr>
                <w:rFonts w:ascii="Times New Roman" w:hAnsi="Times New Roman" w:eastAsia="宋体"/>
                <w:color w:val="000000"/>
                <w:sz w:val="20"/>
              </w:rPr>
              <w:t>14</w:t>
            </w:r>
          </w:p>
        </w:tc>
        <w:tc>
          <w:tcPr>
            <w:tcW w:type="dxa" w:w="2183"/>
          </w:tcPr>
          <w:p>
            <w:pPr>
              <w:spacing w:after="20"/>
              <w:jc w:val="left"/>
            </w:pPr>
            <w:r/>
            <w:r>
              <w:rPr>
                <w:rFonts w:ascii="Times New Roman" w:hAnsi="Times New Roman" w:eastAsia="宋体"/>
                <w:color w:val="000000"/>
                <w:sz w:val="20"/>
              </w:rPr>
              <w:t>雷达图</w:t>
            </w:r>
          </w:p>
        </w:tc>
        <w:tc>
          <w:tcPr>
            <w:tcW w:type="dxa" w:w="2183"/>
          </w:tcPr>
          <w:p>
            <w:pPr>
              <w:spacing w:after="20"/>
              <w:jc w:val="left"/>
            </w:pPr>
            <w:r/>
            <w:r>
              <w:rPr>
                <w:rFonts w:ascii="Times New Roman" w:hAnsi="Times New Roman" w:eastAsia="宋体"/>
                <w:color w:val="000000"/>
                <w:sz w:val="20"/>
              </w:rPr>
              <w:t>fig14</w:t>
            </w:r>
          </w:p>
        </w:tc>
        <w:tc>
          <w:tcPr>
            <w:tcW w:type="dxa" w:w="2183"/>
          </w:tcPr>
          <w:p>
            <w:pPr>
              <w:spacing w:after="20"/>
              <w:jc w:val="left"/>
            </w:pPr>
            <w:r/>
            <w:r>
              <w:rPr>
                <w:rFonts w:ascii="Times New Roman" w:hAnsi="Times New Roman" w:eastAsia="宋体"/>
                <w:color w:val="000000"/>
                <w:sz w:val="20"/>
              </w:rPr>
              <w:t>TOP5 国家五维、指标归一化、半透明填充</w:t>
            </w:r>
          </w:p>
        </w:tc>
      </w:tr>
      <w:tr>
        <w:tc>
          <w:tcPr>
            <w:tcW w:type="dxa" w:w="2183"/>
          </w:tcPr>
          <w:p>
            <w:pPr>
              <w:spacing w:after="20"/>
              <w:jc w:val="center"/>
            </w:pPr>
            <w:r/>
            <w:r>
              <w:rPr>
                <w:rFonts w:ascii="Times New Roman" w:hAnsi="Times New Roman" w:eastAsia="宋体"/>
                <w:color w:val="000000"/>
                <w:sz w:val="20"/>
              </w:rPr>
              <w:t>15</w:t>
            </w:r>
          </w:p>
        </w:tc>
        <w:tc>
          <w:tcPr>
            <w:tcW w:type="dxa" w:w="2183"/>
          </w:tcPr>
          <w:p>
            <w:pPr>
              <w:spacing w:after="20"/>
              <w:jc w:val="left"/>
            </w:pPr>
            <w:r/>
            <w:r>
              <w:rPr>
                <w:rFonts w:ascii="Times New Roman" w:hAnsi="Times New Roman" w:eastAsia="宋体"/>
                <w:color w:val="000000"/>
                <w:sz w:val="20"/>
              </w:rPr>
              <w:t>瀑布图</w:t>
            </w:r>
          </w:p>
        </w:tc>
        <w:tc>
          <w:tcPr>
            <w:tcW w:type="dxa" w:w="2183"/>
          </w:tcPr>
          <w:p>
            <w:pPr>
              <w:spacing w:after="20"/>
              <w:jc w:val="left"/>
            </w:pPr>
            <w:r/>
            <w:r>
              <w:rPr>
                <w:rFonts w:ascii="Times New Roman" w:hAnsi="Times New Roman" w:eastAsia="宋体"/>
                <w:color w:val="000000"/>
                <w:sz w:val="20"/>
              </w:rPr>
              <w:t>fig15</w:t>
            </w:r>
          </w:p>
        </w:tc>
        <w:tc>
          <w:tcPr>
            <w:tcW w:type="dxa" w:w="2183"/>
          </w:tcPr>
          <w:p>
            <w:pPr>
              <w:spacing w:after="20"/>
              <w:jc w:val="left"/>
            </w:pPr>
            <w:r/>
            <w:r>
              <w:rPr>
                <w:rFonts w:ascii="Times New Roman" w:hAnsi="Times New Roman" w:eastAsia="宋体"/>
                <w:color w:val="000000"/>
                <w:sz w:val="20"/>
              </w:rPr>
              <w:t>涨跌异色、浮动连接线、两端累计柱</w:t>
            </w:r>
          </w:p>
        </w:tc>
      </w:tr>
      <w:tr>
        <w:tc>
          <w:tcPr>
            <w:tcW w:type="dxa" w:w="2183"/>
          </w:tcPr>
          <w:p>
            <w:pPr>
              <w:spacing w:after="20"/>
              <w:jc w:val="center"/>
            </w:pPr>
            <w:r/>
            <w:r>
              <w:rPr>
                <w:rFonts w:ascii="Times New Roman" w:hAnsi="Times New Roman" w:eastAsia="宋体"/>
                <w:color w:val="000000"/>
                <w:sz w:val="20"/>
              </w:rPr>
              <w:t>16</w:t>
            </w:r>
          </w:p>
        </w:tc>
        <w:tc>
          <w:tcPr>
            <w:tcW w:type="dxa" w:w="2183"/>
          </w:tcPr>
          <w:p>
            <w:pPr>
              <w:spacing w:after="20"/>
              <w:jc w:val="left"/>
            </w:pPr>
            <w:r/>
            <w:r>
              <w:rPr>
                <w:rFonts w:ascii="Times New Roman" w:hAnsi="Times New Roman" w:eastAsia="宋体"/>
                <w:color w:val="000000"/>
                <w:sz w:val="20"/>
              </w:rPr>
              <w:t>仪表盘</w:t>
            </w:r>
          </w:p>
        </w:tc>
        <w:tc>
          <w:tcPr>
            <w:tcW w:type="dxa" w:w="2183"/>
          </w:tcPr>
          <w:p>
            <w:pPr>
              <w:spacing w:after="20"/>
              <w:jc w:val="left"/>
            </w:pPr>
            <w:r/>
            <w:r>
              <w:rPr>
                <w:rFonts w:ascii="Times New Roman" w:hAnsi="Times New Roman" w:eastAsia="宋体"/>
                <w:color w:val="000000"/>
                <w:sz w:val="20"/>
              </w:rPr>
              <w:t>fig16</w:t>
            </w:r>
          </w:p>
        </w:tc>
        <w:tc>
          <w:tcPr>
            <w:tcW w:type="dxa" w:w="2183"/>
          </w:tcPr>
          <w:p>
            <w:pPr>
              <w:spacing w:after="20"/>
              <w:jc w:val="left"/>
            </w:pPr>
            <w:r/>
            <w:r>
              <w:rPr>
                <w:rFonts w:ascii="Times New Roman" w:hAnsi="Times New Roman" w:eastAsia="宋体"/>
                <w:color w:val="000000"/>
                <w:sz w:val="20"/>
              </w:rPr>
              <w:t>指针 + 阈值分色带、达成率大字、年度对照副标题</w:t>
            </w:r>
          </w:p>
        </w:tc>
      </w:tr>
      <w:tr>
        <w:tc>
          <w:tcPr>
            <w:tcW w:type="dxa" w:w="2183"/>
          </w:tcPr>
          <w:p>
            <w:pPr>
              <w:spacing w:after="20"/>
              <w:jc w:val="center"/>
            </w:pPr>
            <w:r/>
            <w:r>
              <w:rPr>
                <w:rFonts w:ascii="Times New Roman" w:hAnsi="Times New Roman" w:eastAsia="宋体"/>
                <w:color w:val="000000"/>
                <w:sz w:val="20"/>
              </w:rPr>
              <w:t>17</w:t>
            </w:r>
          </w:p>
        </w:tc>
        <w:tc>
          <w:tcPr>
            <w:tcW w:type="dxa" w:w="2183"/>
          </w:tcPr>
          <w:p>
            <w:pPr>
              <w:spacing w:after="20"/>
              <w:jc w:val="left"/>
            </w:pPr>
            <w:r/>
            <w:r>
              <w:rPr>
                <w:rFonts w:ascii="Times New Roman" w:hAnsi="Times New Roman" w:eastAsia="宋体"/>
                <w:color w:val="000000"/>
                <w:sz w:val="20"/>
              </w:rPr>
              <w:t>日历热力图</w:t>
            </w:r>
          </w:p>
        </w:tc>
        <w:tc>
          <w:tcPr>
            <w:tcW w:type="dxa" w:w="2183"/>
          </w:tcPr>
          <w:p>
            <w:pPr>
              <w:spacing w:after="20"/>
              <w:jc w:val="left"/>
            </w:pPr>
            <w:r/>
            <w:r>
              <w:rPr>
                <w:rFonts w:ascii="Times New Roman" w:hAnsi="Times New Roman" w:eastAsia="宋体"/>
                <w:color w:val="000000"/>
                <w:sz w:val="20"/>
              </w:rPr>
              <w:t>fig17</w:t>
            </w:r>
          </w:p>
        </w:tc>
        <w:tc>
          <w:tcPr>
            <w:tcW w:type="dxa" w:w="2183"/>
          </w:tcPr>
          <w:p>
            <w:pPr>
              <w:spacing w:after="20"/>
              <w:jc w:val="left"/>
            </w:pPr>
            <w:r/>
            <w:r>
              <w:rPr>
                <w:rFonts w:ascii="Times New Roman" w:hAnsi="Times New Roman" w:eastAsia="宋体"/>
                <w:color w:val="000000"/>
                <w:sz w:val="20"/>
              </w:rPr>
              <w:t>年-月-日格网、色标条、休市日留白</w:t>
            </w:r>
          </w:p>
        </w:tc>
      </w:tr>
      <w:tr>
        <w:tc>
          <w:tcPr>
            <w:tcW w:type="dxa" w:w="2183"/>
          </w:tcPr>
          <w:p>
            <w:pPr>
              <w:spacing w:after="20"/>
              <w:jc w:val="center"/>
            </w:pPr>
            <w:r/>
            <w:r>
              <w:rPr>
                <w:rFonts w:ascii="Times New Roman" w:hAnsi="Times New Roman" w:eastAsia="宋体"/>
                <w:color w:val="000000"/>
                <w:sz w:val="20"/>
              </w:rPr>
              <w:t>18</w:t>
            </w:r>
          </w:p>
        </w:tc>
        <w:tc>
          <w:tcPr>
            <w:tcW w:type="dxa" w:w="2183"/>
          </w:tcPr>
          <w:p>
            <w:pPr>
              <w:spacing w:after="20"/>
              <w:jc w:val="left"/>
            </w:pPr>
            <w:r/>
            <w:r>
              <w:rPr>
                <w:rFonts w:ascii="Times New Roman" w:hAnsi="Times New Roman" w:eastAsia="宋体"/>
                <w:color w:val="000000"/>
                <w:sz w:val="20"/>
              </w:rPr>
              <w:t>坡度图</w:t>
            </w:r>
          </w:p>
        </w:tc>
        <w:tc>
          <w:tcPr>
            <w:tcW w:type="dxa" w:w="2183"/>
          </w:tcPr>
          <w:p>
            <w:pPr>
              <w:spacing w:after="20"/>
              <w:jc w:val="left"/>
            </w:pPr>
            <w:r/>
            <w:r>
              <w:rPr>
                <w:rFonts w:ascii="Times New Roman" w:hAnsi="Times New Roman" w:eastAsia="宋体"/>
                <w:color w:val="000000"/>
                <w:sz w:val="20"/>
              </w:rPr>
              <w:t>fig18</w:t>
            </w:r>
          </w:p>
        </w:tc>
        <w:tc>
          <w:tcPr>
            <w:tcW w:type="dxa" w:w="2183"/>
          </w:tcPr>
          <w:p>
            <w:pPr>
              <w:spacing w:after="20"/>
              <w:jc w:val="left"/>
            </w:pPr>
            <w:r/>
            <w:r>
              <w:rPr>
                <w:rFonts w:ascii="Times New Roman" w:hAnsi="Times New Roman" w:eastAsia="宋体"/>
                <w:color w:val="000000"/>
                <w:sz w:val="20"/>
              </w:rPr>
              <w:t>双时点连线、左右双标签、增降异色</w:t>
            </w:r>
          </w:p>
        </w:tc>
      </w:tr>
      <w:tr>
        <w:tc>
          <w:tcPr>
            <w:tcW w:type="dxa" w:w="2183"/>
          </w:tcPr>
          <w:p>
            <w:pPr>
              <w:spacing w:after="20"/>
              <w:jc w:val="center"/>
            </w:pPr>
            <w:r/>
            <w:r>
              <w:rPr>
                <w:rFonts w:ascii="Times New Roman" w:hAnsi="Times New Roman" w:eastAsia="宋体"/>
                <w:color w:val="000000"/>
                <w:sz w:val="20"/>
              </w:rPr>
              <w:t>19</w:t>
            </w:r>
          </w:p>
        </w:tc>
        <w:tc>
          <w:tcPr>
            <w:tcW w:type="dxa" w:w="2183"/>
          </w:tcPr>
          <w:p>
            <w:pPr>
              <w:spacing w:after="20"/>
              <w:jc w:val="left"/>
            </w:pPr>
            <w:r/>
            <w:r>
              <w:rPr>
                <w:rFonts w:ascii="Times New Roman" w:hAnsi="Times New Roman" w:eastAsia="宋体"/>
                <w:color w:val="000000"/>
                <w:sz w:val="20"/>
              </w:rPr>
              <w:t>三轴组合图</w:t>
            </w:r>
          </w:p>
        </w:tc>
        <w:tc>
          <w:tcPr>
            <w:tcW w:type="dxa" w:w="2183"/>
          </w:tcPr>
          <w:p>
            <w:pPr>
              <w:spacing w:after="20"/>
              <w:jc w:val="left"/>
            </w:pPr>
            <w:r/>
            <w:r>
              <w:rPr>
                <w:rFonts w:ascii="Times New Roman" w:hAnsi="Times New Roman" w:eastAsia="宋体"/>
                <w:color w:val="000000"/>
                <w:sz w:val="20"/>
              </w:rPr>
              <w:t>fig19</w:t>
            </w:r>
          </w:p>
        </w:tc>
        <w:tc>
          <w:tcPr>
            <w:tcW w:type="dxa" w:w="2183"/>
          </w:tcPr>
          <w:p>
            <w:pPr>
              <w:spacing w:after="20"/>
              <w:jc w:val="left"/>
            </w:pPr>
            <w:r/>
            <w:r>
              <w:rPr>
                <w:rFonts w:ascii="Times New Roman" w:hAnsi="Times New Roman" w:eastAsia="宋体"/>
                <w:color w:val="000000"/>
                <w:sz w:val="20"/>
              </w:rPr>
              <w:t>柱（销售额）+ 折线（订单数）+ 第三轴（客单价）</w:t>
            </w:r>
          </w:p>
        </w:tc>
      </w:tr>
      <w:tr>
        <w:tc>
          <w:tcPr>
            <w:tcW w:type="dxa" w:w="2183"/>
          </w:tcPr>
          <w:p>
            <w:pPr>
              <w:spacing w:after="20"/>
              <w:jc w:val="center"/>
            </w:pPr>
            <w:r/>
            <w:r>
              <w:rPr>
                <w:rFonts w:ascii="Times New Roman" w:hAnsi="Times New Roman" w:eastAsia="宋体"/>
                <w:color w:val="000000"/>
                <w:sz w:val="20"/>
              </w:rPr>
              <w:t>20</w:t>
            </w:r>
          </w:p>
        </w:tc>
        <w:tc>
          <w:tcPr>
            <w:tcW w:type="dxa" w:w="2183"/>
          </w:tcPr>
          <w:p>
            <w:pPr>
              <w:spacing w:after="20"/>
              <w:jc w:val="left"/>
            </w:pPr>
            <w:r/>
            <w:r>
              <w:rPr>
                <w:rFonts w:ascii="Times New Roman" w:hAnsi="Times New Roman" w:eastAsia="宋体"/>
                <w:color w:val="000000"/>
                <w:sz w:val="20"/>
              </w:rPr>
              <w:t>多重折线图</w:t>
            </w:r>
          </w:p>
        </w:tc>
        <w:tc>
          <w:tcPr>
            <w:tcW w:type="dxa" w:w="2183"/>
          </w:tcPr>
          <w:p>
            <w:pPr>
              <w:spacing w:after="20"/>
              <w:jc w:val="left"/>
            </w:pPr>
            <w:r/>
            <w:r>
              <w:rPr>
                <w:rFonts w:ascii="Times New Roman" w:hAnsi="Times New Roman" w:eastAsia="宋体"/>
                <w:color w:val="000000"/>
                <w:sz w:val="20"/>
              </w:rPr>
              <w:t>fig25</w:t>
            </w:r>
          </w:p>
        </w:tc>
        <w:tc>
          <w:tcPr>
            <w:tcW w:type="dxa" w:w="2183"/>
          </w:tcPr>
          <w:p>
            <w:pPr>
              <w:spacing w:after="20"/>
              <w:jc w:val="left"/>
            </w:pPr>
            <w:r/>
            <w:r>
              <w:rPr>
                <w:rFonts w:ascii="Times New Roman" w:hAnsi="Times New Roman" w:eastAsia="宋体"/>
                <w:color w:val="000000"/>
                <w:sz w:val="20"/>
              </w:rPr>
              <w:t>MA7 / MA30 / MA90 三线、线型区分、图例置右上</w:t>
            </w:r>
          </w:p>
        </w:tc>
      </w:tr>
      <w:tr>
        <w:tc>
          <w:tcPr>
            <w:tcW w:type="dxa" w:w="2183"/>
          </w:tcPr>
          <w:p>
            <w:pPr>
              <w:spacing w:after="20"/>
              <w:jc w:val="center"/>
            </w:pPr>
            <w:r/>
            <w:r>
              <w:rPr>
                <w:rFonts w:ascii="Times New Roman" w:hAnsi="Times New Roman" w:eastAsia="宋体"/>
                <w:color w:val="000000"/>
                <w:sz w:val="20"/>
              </w:rPr>
              <w:t>21</w:t>
            </w:r>
          </w:p>
        </w:tc>
        <w:tc>
          <w:tcPr>
            <w:tcW w:type="dxa" w:w="2183"/>
          </w:tcPr>
          <w:p>
            <w:pPr>
              <w:spacing w:after="20"/>
              <w:jc w:val="left"/>
            </w:pPr>
            <w:r/>
            <w:r>
              <w:rPr>
                <w:rFonts w:ascii="Times New Roman" w:hAnsi="Times New Roman" w:eastAsia="宋体"/>
                <w:color w:val="000000"/>
                <w:sz w:val="20"/>
              </w:rPr>
              <w:t>玫瑰图</w:t>
            </w:r>
          </w:p>
        </w:tc>
        <w:tc>
          <w:tcPr>
            <w:tcW w:type="dxa" w:w="2183"/>
          </w:tcPr>
          <w:p>
            <w:pPr>
              <w:spacing w:after="20"/>
              <w:jc w:val="left"/>
            </w:pPr>
            <w:r/>
            <w:r>
              <w:rPr>
                <w:rFonts w:ascii="Times New Roman" w:hAnsi="Times New Roman" w:eastAsia="宋体"/>
                <w:color w:val="000000"/>
                <w:sz w:val="20"/>
              </w:rPr>
              <w:t>fig20</w:t>
            </w:r>
          </w:p>
        </w:tc>
        <w:tc>
          <w:tcPr>
            <w:tcW w:type="dxa" w:w="2183"/>
          </w:tcPr>
          <w:p>
            <w:pPr>
              <w:spacing w:after="20"/>
              <w:jc w:val="left"/>
            </w:pPr>
            <w:r/>
            <w:r>
              <w:rPr>
                <w:rFonts w:ascii="Times New Roman" w:hAnsi="Times New Roman" w:eastAsia="宋体"/>
                <w:color w:val="000000"/>
                <w:sz w:val="20"/>
              </w:rPr>
              <w:t>扇形半径编码销售额、极坐标网格、品类色序一致</w:t>
            </w:r>
          </w:p>
        </w:tc>
      </w:tr>
      <w:tr>
        <w:tc>
          <w:tcPr>
            <w:tcW w:type="dxa" w:w="2183"/>
          </w:tcPr>
          <w:p>
            <w:pPr>
              <w:spacing w:after="20"/>
              <w:jc w:val="center"/>
            </w:pPr>
            <w:r/>
            <w:r>
              <w:rPr>
                <w:rFonts w:ascii="Times New Roman" w:hAnsi="Times New Roman" w:eastAsia="宋体"/>
                <w:color w:val="000000"/>
                <w:sz w:val="20"/>
              </w:rPr>
              <w:t>22</w:t>
            </w:r>
          </w:p>
        </w:tc>
        <w:tc>
          <w:tcPr>
            <w:tcW w:type="dxa" w:w="2183"/>
          </w:tcPr>
          <w:p>
            <w:pPr>
              <w:spacing w:after="20"/>
              <w:jc w:val="left"/>
            </w:pPr>
            <w:r/>
            <w:r>
              <w:rPr>
                <w:rFonts w:ascii="Times New Roman" w:hAnsi="Times New Roman" w:eastAsia="宋体"/>
                <w:color w:val="000000"/>
                <w:sz w:val="20"/>
              </w:rPr>
              <w:t>子弹图</w:t>
            </w:r>
          </w:p>
        </w:tc>
        <w:tc>
          <w:tcPr>
            <w:tcW w:type="dxa" w:w="2183"/>
          </w:tcPr>
          <w:p>
            <w:pPr>
              <w:spacing w:after="20"/>
              <w:jc w:val="left"/>
            </w:pPr>
            <w:r/>
            <w:r>
              <w:rPr>
                <w:rFonts w:ascii="Times New Roman" w:hAnsi="Times New Roman" w:eastAsia="宋体"/>
                <w:color w:val="000000"/>
                <w:sz w:val="20"/>
              </w:rPr>
              <w:t>fig21</w:t>
            </w:r>
          </w:p>
        </w:tc>
        <w:tc>
          <w:tcPr>
            <w:tcW w:type="dxa" w:w="2183"/>
          </w:tcPr>
          <w:p>
            <w:pPr>
              <w:spacing w:after="20"/>
              <w:jc w:val="left"/>
            </w:pPr>
            <w:r/>
            <w:r>
              <w:rPr>
                <w:rFonts w:ascii="Times New Roman" w:hAnsi="Times New Roman" w:eastAsia="宋体"/>
                <w:color w:val="000000"/>
                <w:sz w:val="20"/>
              </w:rPr>
              <w:t>目标区间带 + 实际条 + 达标刻度、横向排序</w:t>
            </w:r>
          </w:p>
        </w:tc>
      </w:tr>
      <w:tr>
        <w:tc>
          <w:tcPr>
            <w:tcW w:type="dxa" w:w="2183"/>
          </w:tcPr>
          <w:p>
            <w:pPr>
              <w:spacing w:after="20"/>
              <w:jc w:val="center"/>
            </w:pPr>
            <w:r/>
            <w:r>
              <w:rPr>
                <w:rFonts w:ascii="Times New Roman" w:hAnsi="Times New Roman" w:eastAsia="宋体"/>
                <w:color w:val="000000"/>
                <w:sz w:val="20"/>
              </w:rPr>
              <w:t>23</w:t>
            </w:r>
          </w:p>
        </w:tc>
        <w:tc>
          <w:tcPr>
            <w:tcW w:type="dxa" w:w="2183"/>
          </w:tcPr>
          <w:p>
            <w:pPr>
              <w:spacing w:after="20"/>
              <w:jc w:val="left"/>
            </w:pPr>
            <w:r/>
            <w:r>
              <w:rPr>
                <w:rFonts w:ascii="Times New Roman" w:hAnsi="Times New Roman" w:eastAsia="宋体"/>
                <w:color w:val="000000"/>
                <w:sz w:val="20"/>
              </w:rPr>
              <w:t>小提琴图</w:t>
            </w:r>
          </w:p>
        </w:tc>
        <w:tc>
          <w:tcPr>
            <w:tcW w:type="dxa" w:w="2183"/>
          </w:tcPr>
          <w:p>
            <w:pPr>
              <w:spacing w:after="20"/>
              <w:jc w:val="left"/>
            </w:pPr>
            <w:r/>
            <w:r>
              <w:rPr>
                <w:rFonts w:ascii="Times New Roman" w:hAnsi="Times New Roman" w:eastAsia="宋体"/>
                <w:color w:val="000000"/>
                <w:sz w:val="20"/>
              </w:rPr>
              <w:t>fig22</w:t>
            </w:r>
          </w:p>
        </w:tc>
        <w:tc>
          <w:tcPr>
            <w:tcW w:type="dxa" w:w="2183"/>
          </w:tcPr>
          <w:p>
            <w:pPr>
              <w:spacing w:after="20"/>
              <w:jc w:val="left"/>
            </w:pPr>
            <w:r/>
            <w:r>
              <w:rPr>
                <w:rFonts w:ascii="Times New Roman" w:hAnsi="Times New Roman" w:eastAsia="宋体"/>
                <w:color w:val="000000"/>
                <w:sz w:val="20"/>
              </w:rPr>
              <w:t>内嵌迷你箱线、季度分组配色、中位数白点</w:t>
            </w:r>
          </w:p>
        </w:tc>
      </w:tr>
      <w:tr>
        <w:tc>
          <w:tcPr>
            <w:tcW w:type="dxa" w:w="2183"/>
          </w:tcPr>
          <w:p>
            <w:pPr>
              <w:spacing w:after="20"/>
              <w:jc w:val="center"/>
            </w:pPr>
            <w:r/>
            <w:r>
              <w:rPr>
                <w:rFonts w:ascii="Times New Roman" w:hAnsi="Times New Roman" w:eastAsia="宋体"/>
                <w:color w:val="000000"/>
                <w:sz w:val="20"/>
              </w:rPr>
              <w:t>24</w:t>
            </w:r>
          </w:p>
        </w:tc>
        <w:tc>
          <w:tcPr>
            <w:tcW w:type="dxa" w:w="2183"/>
          </w:tcPr>
          <w:p>
            <w:pPr>
              <w:spacing w:after="20"/>
              <w:jc w:val="left"/>
            </w:pPr>
            <w:r/>
            <w:r>
              <w:rPr>
                <w:rFonts w:ascii="Times New Roman" w:hAnsi="Times New Roman" w:eastAsia="宋体"/>
                <w:color w:val="000000"/>
                <w:sz w:val="20"/>
              </w:rPr>
              <w:t>矩形树图</w:t>
            </w:r>
          </w:p>
        </w:tc>
        <w:tc>
          <w:tcPr>
            <w:tcW w:type="dxa" w:w="2183"/>
          </w:tcPr>
          <w:p>
            <w:pPr>
              <w:spacing w:after="20"/>
              <w:jc w:val="left"/>
            </w:pPr>
            <w:r/>
            <w:r>
              <w:rPr>
                <w:rFonts w:ascii="Times New Roman" w:hAnsi="Times New Roman" w:eastAsia="宋体"/>
                <w:color w:val="000000"/>
                <w:sz w:val="20"/>
              </w:rPr>
              <w:t>fig23</w:t>
            </w:r>
          </w:p>
        </w:tc>
        <w:tc>
          <w:tcPr>
            <w:tcW w:type="dxa" w:w="2183"/>
          </w:tcPr>
          <w:p>
            <w:pPr>
              <w:spacing w:after="20"/>
              <w:jc w:val="left"/>
            </w:pPr>
            <w:r/>
            <w:r>
              <w:rPr>
                <w:rFonts w:ascii="Times New Roman" w:hAnsi="Times New Roman" w:eastAsia="宋体"/>
                <w:color w:val="000000"/>
                <w:sz w:val="20"/>
              </w:rPr>
              <w:t>squarify 面积编码、层级标签、边界留白</w:t>
            </w:r>
          </w:p>
        </w:tc>
      </w:tr>
      <w:tr>
        <w:tc>
          <w:tcPr>
            <w:tcW w:type="dxa" w:w="2183"/>
          </w:tcPr>
          <w:p>
            <w:pPr>
              <w:spacing w:after="20"/>
              <w:jc w:val="center"/>
            </w:pPr>
            <w:r/>
            <w:r>
              <w:rPr>
                <w:rFonts w:ascii="Times New Roman" w:hAnsi="Times New Roman" w:eastAsia="宋体"/>
                <w:color w:val="000000"/>
                <w:sz w:val="20"/>
              </w:rPr>
              <w:t>25</w:t>
            </w:r>
          </w:p>
        </w:tc>
        <w:tc>
          <w:tcPr>
            <w:tcW w:type="dxa" w:w="2183"/>
          </w:tcPr>
          <w:p>
            <w:pPr>
              <w:spacing w:after="20"/>
              <w:jc w:val="left"/>
            </w:pPr>
            <w:r/>
            <w:r>
              <w:rPr>
                <w:rFonts w:ascii="Times New Roman" w:hAnsi="Times New Roman" w:eastAsia="宋体"/>
                <w:color w:val="000000"/>
                <w:sz w:val="20"/>
              </w:rPr>
              <w:t>词云图</w:t>
            </w:r>
          </w:p>
        </w:tc>
        <w:tc>
          <w:tcPr>
            <w:tcW w:type="dxa" w:w="2183"/>
          </w:tcPr>
          <w:p>
            <w:pPr>
              <w:spacing w:after="20"/>
              <w:jc w:val="left"/>
            </w:pPr>
            <w:r/>
            <w:r>
              <w:rPr>
                <w:rFonts w:ascii="Times New Roman" w:hAnsi="Times New Roman" w:eastAsia="宋体"/>
                <w:color w:val="000000"/>
                <w:sz w:val="20"/>
              </w:rPr>
              <w:t>fig24</w:t>
            </w:r>
          </w:p>
        </w:tc>
        <w:tc>
          <w:tcPr>
            <w:tcW w:type="dxa" w:w="2183"/>
          </w:tcPr>
          <w:p>
            <w:pPr>
              <w:spacing w:after="20"/>
              <w:jc w:val="left"/>
            </w:pPr>
            <w:r/>
            <w:r>
              <w:rPr>
                <w:rFonts w:ascii="Times New Roman" w:hAnsi="Times New Roman" w:eastAsia="宋体"/>
                <w:color w:val="000000"/>
                <w:sz w:val="20"/>
              </w:rPr>
              <w:t>字号编码频次、停用词表过滤、随机种子固定</w:t>
            </w:r>
          </w:p>
        </w:tc>
      </w:tr>
    </w:tbl>
    <w:p>
      <w:pPr>
        <w:spacing w:after="40"/>
      </w:pPr>
    </w:p>
    <w:p>
      <w:pPr>
        <w:spacing w:line="360" w:lineRule="auto" w:after="80"/>
        <w:ind w:firstLine="480"/>
        <w:jc w:val="both"/>
      </w:pPr>
      <w:r>
        <w:rPr>
          <w:rFonts w:ascii="Times New Roman" w:hAnsi="Times New Roman" w:eastAsia="宋体"/>
          <w:b w:val="0"/>
          <w:color w:val="000000"/>
          <w:sz w:val="24"/>
        </w:rPr>
        <w:t>其中瀑布图、子弹图、坡度图、矩形树图、玫瑰图、仪表盘、日历热力图等图型，Matplotlib 均</w:t>
      </w:r>
      <w:r>
        <w:rPr>
          <w:rFonts w:ascii="Times New Roman" w:hAnsi="Times New Roman" w:eastAsia="宋体"/>
          <w:b/>
          <w:color w:val="000000"/>
          <w:sz w:val="24"/>
        </w:rPr>
        <w:t>无原生支持</w:t>
      </w:r>
      <w:r>
        <w:rPr>
          <w:rFonts w:ascii="Times New Roman" w:hAnsi="Times New Roman" w:eastAsia="宋体"/>
          <w:b w:val="0"/>
          <w:color w:val="000000"/>
          <w:sz w:val="24"/>
        </w:rPr>
        <w:t>。本项目在 scripts/utils/chart_helpers.py 中自行实现了这些图型的绘制函数（矩形树图采用经典 squarify 算法，保证子矩形长宽比接近 1），弥补了 Python 生态的这一空白，也是本项目在技术层面的主要工作量之一。</w:t>
      </w:r>
    </w:p>
    <w:p>
      <w:pPr>
        <w:spacing w:line="360" w:lineRule="auto" w:after="80"/>
        <w:ind w:firstLine="480"/>
        <w:jc w:val="both"/>
      </w:pPr>
      <w:r>
        <w:rPr>
          <w:rFonts w:ascii="Times New Roman" w:hAnsi="Times New Roman" w:eastAsia="宋体"/>
          <w:b w:val="0"/>
          <w:color w:val="000000"/>
          <w:sz w:val="24"/>
        </w:rPr>
        <w:t>配色方面，统一采用一套 12 色商业配色板，并在 style.py 中集中管理，保证 37 张图的视觉语言一致；中文字体通过 rcParams 注册 SimHei 解决方块字问题，坐标轴均标注单位（英镑 / 订单数 / 客户数），图例位置统一置于不遮挡数据的角落。</w:t>
      </w:r>
    </w:p>
    <w:p>
      <w:pPr>
        <w:keepNext/>
        <w:spacing w:line="360" w:lineRule="auto" w:before="100" w:after="80"/>
        <w:outlineLvl w:val="2"/>
      </w:pPr>
      <w:r>
        <w:rPr>
          <w:rFonts w:ascii="Times New Roman" w:hAnsi="Times New Roman" w:eastAsia="黑体"/>
          <w:b/>
          <w:color w:val="000000"/>
          <w:sz w:val="24"/>
        </w:rPr>
        <w:t>5.2.1 Python 与 Excel 可视化实现的异同</w:t>
      </w:r>
    </w:p>
    <w:p>
      <w:pPr>
        <w:spacing w:line="360" w:lineRule="auto" w:after="80"/>
        <w:ind w:firstLine="480"/>
        <w:jc w:val="both"/>
      </w:pPr>
      <w:r>
        <w:rPr>
          <w:rFonts w:ascii="Times New Roman" w:hAnsi="Times New Roman" w:eastAsia="宋体"/>
          <w:b w:val="0"/>
          <w:color w:val="000000"/>
          <w:sz w:val="24"/>
        </w:rPr>
        <w:t>本项目的模板蓝本来自 Excel 可视化教材，但全部改用 Python 重新实现。两种技术路线在数据规模、图表扩展性、批量产出、交互能力与可复现性五个维度上差异显著，具体对照见表 5-2。</w:t>
      </w:r>
    </w:p>
    <w:p>
      <w:pPr>
        <w:spacing w:after="40"/>
        <w:jc w:val="center"/>
      </w:pPr>
      <w:r>
        <w:rPr>
          <w:rFonts w:ascii="Times New Roman" w:hAnsi="Times New Roman" w:eastAsia="黑体"/>
          <w:color w:val="000000"/>
          <w:sz w:val="21"/>
        </w:rPr>
        <w:t>表 5-2  Python 与 Excel 可视化实现异同对照</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jc w:val="center"/>
            </w:pPr>
            <w:r/>
            <w:r>
              <w:rPr>
                <w:rFonts w:ascii="Times New Roman" w:hAnsi="Times New Roman" w:eastAsia="黑体"/>
                <w:b/>
                <w:color w:val="000000"/>
                <w:sz w:val="20"/>
              </w:rPr>
              <w:t>对比维度</w:t>
            </w:r>
          </w:p>
        </w:tc>
        <w:tc>
          <w:tcPr>
            <w:tcW w:type="dxa" w:w="2911"/>
          </w:tcPr>
          <w:p>
            <w:pPr>
              <w:jc w:val="center"/>
            </w:pPr>
            <w:r/>
            <w:r>
              <w:rPr>
                <w:rFonts w:ascii="Times New Roman" w:hAnsi="Times New Roman" w:eastAsia="黑体"/>
                <w:b/>
                <w:color w:val="000000"/>
                <w:sz w:val="20"/>
              </w:rPr>
              <w:t>Excel 实现</w:t>
            </w:r>
          </w:p>
        </w:tc>
        <w:tc>
          <w:tcPr>
            <w:tcW w:type="dxa" w:w="2911"/>
          </w:tcPr>
          <w:p>
            <w:pPr>
              <w:jc w:val="center"/>
            </w:pPr>
            <w:r/>
            <w:r>
              <w:rPr>
                <w:rFonts w:ascii="Times New Roman" w:hAnsi="Times New Roman" w:eastAsia="黑体"/>
                <w:b/>
                <w:color w:val="000000"/>
                <w:sz w:val="20"/>
              </w:rPr>
              <w:t>Python 实现（本项目）</w:t>
            </w:r>
          </w:p>
        </w:tc>
      </w:tr>
      <w:tr>
        <w:tc>
          <w:tcPr>
            <w:tcW w:type="dxa" w:w="2911"/>
          </w:tcPr>
          <w:p>
            <w:pPr>
              <w:spacing w:after="20"/>
              <w:jc w:val="center"/>
            </w:pPr>
            <w:r/>
            <w:r>
              <w:rPr>
                <w:rFonts w:ascii="Times New Roman" w:hAnsi="Times New Roman" w:eastAsia="宋体"/>
                <w:color w:val="000000"/>
                <w:sz w:val="20"/>
              </w:rPr>
              <w:t>数据规模</w:t>
            </w:r>
          </w:p>
        </w:tc>
        <w:tc>
          <w:tcPr>
            <w:tcW w:type="dxa" w:w="2911"/>
          </w:tcPr>
          <w:p>
            <w:pPr>
              <w:spacing w:after="20"/>
              <w:jc w:val="left"/>
            </w:pPr>
            <w:r/>
            <w:r>
              <w:rPr>
                <w:rFonts w:ascii="Times New Roman" w:hAnsi="Times New Roman" w:eastAsia="宋体"/>
                <w:color w:val="000000"/>
                <w:sz w:val="20"/>
              </w:rPr>
              <w:t>受 104 万行上限约束，明细透视需先汇总，口径易漂移</w:t>
            </w:r>
          </w:p>
        </w:tc>
        <w:tc>
          <w:tcPr>
            <w:tcW w:type="dxa" w:w="2911"/>
          </w:tcPr>
          <w:p>
            <w:pPr>
              <w:spacing w:after="20"/>
              <w:jc w:val="left"/>
            </w:pPr>
            <w:r/>
            <w:r>
              <w:rPr>
                <w:rFonts w:ascii="Times New Roman" w:hAnsi="Times New Roman" w:eastAsia="宋体"/>
                <w:color w:val="000000"/>
                <w:sz w:val="20"/>
              </w:rPr>
              <w:t>Pandas 直接处理 54 万行明细，聚合口径由代码固化，结果可追溯</w:t>
            </w:r>
          </w:p>
        </w:tc>
      </w:tr>
      <w:tr>
        <w:tc>
          <w:tcPr>
            <w:tcW w:type="dxa" w:w="2911"/>
          </w:tcPr>
          <w:p>
            <w:pPr>
              <w:spacing w:after="20"/>
              <w:jc w:val="center"/>
            </w:pPr>
            <w:r/>
            <w:r>
              <w:rPr>
                <w:rFonts w:ascii="Times New Roman" w:hAnsi="Times New Roman" w:eastAsia="宋体"/>
                <w:color w:val="000000"/>
                <w:sz w:val="20"/>
              </w:rPr>
              <w:t>图表类型</w:t>
            </w:r>
          </w:p>
        </w:tc>
        <w:tc>
          <w:tcPr>
            <w:tcW w:type="dxa" w:w="2911"/>
          </w:tcPr>
          <w:p>
            <w:pPr>
              <w:spacing w:after="20"/>
              <w:jc w:val="left"/>
            </w:pPr>
            <w:r/>
            <w:r>
              <w:rPr>
                <w:rFonts w:ascii="Times New Roman" w:hAnsi="Times New Roman" w:eastAsia="宋体"/>
                <w:color w:val="000000"/>
                <w:sz w:val="20"/>
              </w:rPr>
              <w:t>内置类型有限，瀑布图、矩形树图等依赖插件或手工拼装</w:t>
            </w:r>
          </w:p>
        </w:tc>
        <w:tc>
          <w:tcPr>
            <w:tcW w:type="dxa" w:w="2911"/>
          </w:tcPr>
          <w:p>
            <w:pPr>
              <w:spacing w:after="20"/>
              <w:jc w:val="left"/>
            </w:pPr>
            <w:r/>
            <w:r>
              <w:rPr>
                <w:rFonts w:ascii="Times New Roman" w:hAnsi="Times New Roman" w:eastAsia="宋体"/>
                <w:color w:val="000000"/>
                <w:sz w:val="20"/>
              </w:rPr>
              <w:t>Matplotlib 无原生支持的图型由 chart_helpers.py 自行绘制（squarify 算法等），类型不受限</w:t>
            </w:r>
          </w:p>
        </w:tc>
      </w:tr>
      <w:tr>
        <w:tc>
          <w:tcPr>
            <w:tcW w:type="dxa" w:w="2911"/>
          </w:tcPr>
          <w:p>
            <w:pPr>
              <w:spacing w:after="20"/>
              <w:jc w:val="center"/>
            </w:pPr>
            <w:r/>
            <w:r>
              <w:rPr>
                <w:rFonts w:ascii="Times New Roman" w:hAnsi="Times New Roman" w:eastAsia="宋体"/>
                <w:color w:val="000000"/>
                <w:sz w:val="20"/>
              </w:rPr>
              <w:t>批量产出</w:t>
            </w:r>
          </w:p>
        </w:tc>
        <w:tc>
          <w:tcPr>
            <w:tcW w:type="dxa" w:w="2911"/>
          </w:tcPr>
          <w:p>
            <w:pPr>
              <w:spacing w:after="20"/>
              <w:jc w:val="left"/>
            </w:pPr>
            <w:r/>
            <w:r>
              <w:rPr>
                <w:rFonts w:ascii="Times New Roman" w:hAnsi="Times New Roman" w:eastAsia="宋体"/>
                <w:color w:val="000000"/>
                <w:sz w:val="20"/>
              </w:rPr>
              <w:t>逐图手工设置，37 张图需重复大量点击操作</w:t>
            </w:r>
          </w:p>
        </w:tc>
        <w:tc>
          <w:tcPr>
            <w:tcW w:type="dxa" w:w="2911"/>
          </w:tcPr>
          <w:p>
            <w:pPr>
              <w:spacing w:after="20"/>
              <w:jc w:val="left"/>
            </w:pPr>
            <w:r/>
            <w:r>
              <w:rPr>
                <w:rFonts w:ascii="Times New Roman" w:hAnsi="Times New Roman" w:eastAsia="宋体"/>
                <w:color w:val="000000"/>
                <w:sz w:val="20"/>
              </w:rPr>
              <w:t>run_all.py 一条命令重跑全部图表，改参即全量刷新，全程无人工介入</w:t>
            </w:r>
          </w:p>
        </w:tc>
      </w:tr>
      <w:tr>
        <w:tc>
          <w:tcPr>
            <w:tcW w:type="dxa" w:w="2911"/>
          </w:tcPr>
          <w:p>
            <w:pPr>
              <w:spacing w:after="20"/>
              <w:jc w:val="center"/>
            </w:pPr>
            <w:r/>
            <w:r>
              <w:rPr>
                <w:rFonts w:ascii="Times New Roman" w:hAnsi="Times New Roman" w:eastAsia="宋体"/>
                <w:color w:val="000000"/>
                <w:sz w:val="20"/>
              </w:rPr>
              <w:t>交互能力</w:t>
            </w:r>
          </w:p>
        </w:tc>
        <w:tc>
          <w:tcPr>
            <w:tcW w:type="dxa" w:w="2911"/>
          </w:tcPr>
          <w:p>
            <w:pPr>
              <w:spacing w:after="20"/>
              <w:jc w:val="left"/>
            </w:pPr>
            <w:r/>
            <w:r>
              <w:rPr>
                <w:rFonts w:ascii="Times New Roman" w:hAnsi="Times New Roman" w:eastAsia="宋体"/>
                <w:color w:val="000000"/>
                <w:sz w:val="20"/>
              </w:rPr>
              <w:t>切片器与数据验证仅限工作簿内部，无法嵌入网页</w:t>
            </w:r>
          </w:p>
        </w:tc>
        <w:tc>
          <w:tcPr>
            <w:tcW w:type="dxa" w:w="2911"/>
          </w:tcPr>
          <w:p>
            <w:pPr>
              <w:spacing w:after="20"/>
              <w:jc w:val="left"/>
            </w:pPr>
            <w:r/>
            <w:r>
              <w:rPr>
                <w:rFonts w:ascii="Times New Roman" w:hAnsi="Times New Roman" w:eastAsia="宋体"/>
                <w:color w:val="000000"/>
                <w:sz w:val="20"/>
              </w:rPr>
              <w:t>Pyecharts 生成 22 组件联动大屏，支持悬停提示、图例筛选与多维下钻，可离线单文件分发</w:t>
            </w:r>
          </w:p>
        </w:tc>
      </w:tr>
      <w:tr>
        <w:tc>
          <w:tcPr>
            <w:tcW w:type="dxa" w:w="2911"/>
          </w:tcPr>
          <w:p>
            <w:pPr>
              <w:spacing w:after="20"/>
              <w:jc w:val="center"/>
            </w:pPr>
            <w:r/>
            <w:r>
              <w:rPr>
                <w:rFonts w:ascii="Times New Roman" w:hAnsi="Times New Roman" w:eastAsia="宋体"/>
                <w:color w:val="000000"/>
                <w:sz w:val="20"/>
              </w:rPr>
              <w:t>复现与协作</w:t>
            </w:r>
          </w:p>
        </w:tc>
        <w:tc>
          <w:tcPr>
            <w:tcW w:type="dxa" w:w="2911"/>
          </w:tcPr>
          <w:p>
            <w:pPr>
              <w:spacing w:after="20"/>
              <w:jc w:val="left"/>
            </w:pPr>
            <w:r/>
            <w:r>
              <w:rPr>
                <w:rFonts w:ascii="Times New Roman" w:hAnsi="Times New Roman" w:eastAsia="宋体"/>
                <w:color w:val="000000"/>
                <w:sz w:val="20"/>
              </w:rPr>
              <w:t>分析过程难以版本化管理，他人无法验证口径</w:t>
            </w:r>
          </w:p>
        </w:tc>
        <w:tc>
          <w:tcPr>
            <w:tcW w:type="dxa" w:w="2911"/>
          </w:tcPr>
          <w:p>
            <w:pPr>
              <w:spacing w:after="20"/>
              <w:jc w:val="left"/>
            </w:pPr>
            <w:r/>
            <w:r>
              <w:rPr>
                <w:rFonts w:ascii="Times New Roman" w:hAnsi="Times New Roman" w:eastAsia="宋体"/>
                <w:color w:val="000000"/>
                <w:sz w:val="20"/>
              </w:rPr>
              <w:t>全流程代码化，Git 版本管理 + 一键复现，克隆仓库即可逐字节重建成果</w:t>
            </w:r>
          </w:p>
        </w:tc>
      </w:tr>
      <w:tr>
        <w:tc>
          <w:tcPr>
            <w:tcW w:type="dxa" w:w="2911"/>
          </w:tcPr>
          <w:p>
            <w:pPr>
              <w:spacing w:after="20"/>
              <w:jc w:val="center"/>
            </w:pPr>
            <w:r/>
            <w:r>
              <w:rPr>
                <w:rFonts w:ascii="Times New Roman" w:hAnsi="Times New Roman" w:eastAsia="宋体"/>
                <w:color w:val="000000"/>
                <w:sz w:val="20"/>
              </w:rPr>
              <w:t>上手成本</w:t>
            </w:r>
          </w:p>
        </w:tc>
        <w:tc>
          <w:tcPr>
            <w:tcW w:type="dxa" w:w="2911"/>
          </w:tcPr>
          <w:p>
            <w:pPr>
              <w:spacing w:after="20"/>
              <w:jc w:val="left"/>
            </w:pPr>
            <w:r/>
            <w:r>
              <w:rPr>
                <w:rFonts w:ascii="Times New Roman" w:hAnsi="Times New Roman" w:eastAsia="宋体"/>
                <w:color w:val="000000"/>
                <w:sz w:val="20"/>
              </w:rPr>
              <w:t>门槛低，适合一次性探索分析</w:t>
            </w:r>
          </w:p>
        </w:tc>
        <w:tc>
          <w:tcPr>
            <w:tcW w:type="dxa" w:w="2911"/>
          </w:tcPr>
          <w:p>
            <w:pPr>
              <w:spacing w:after="20"/>
              <w:jc w:val="left"/>
            </w:pPr>
            <w:r/>
            <w:r>
              <w:rPr>
                <w:rFonts w:ascii="Times New Roman" w:hAnsi="Times New Roman" w:eastAsia="宋体"/>
                <w:color w:val="000000"/>
                <w:sz w:val="20"/>
              </w:rPr>
              <w:t>需编程基础，但换来的是可复用、可审计的分析资产</w:t>
            </w:r>
          </w:p>
        </w:tc>
      </w:tr>
    </w:tbl>
    <w:p>
      <w:pPr>
        <w:spacing w:after="40"/>
      </w:pPr>
    </w:p>
    <w:p>
      <w:pPr>
        <w:spacing w:line="360" w:lineRule="auto" w:after="80"/>
        <w:ind w:firstLine="480"/>
        <w:jc w:val="both"/>
      </w:pPr>
      <w:r>
        <w:rPr>
          <w:rFonts w:ascii="Times New Roman" w:hAnsi="Times New Roman" w:eastAsia="宋体"/>
          <w:b w:val="0"/>
          <w:color w:val="000000"/>
          <w:sz w:val="24"/>
        </w:rPr>
        <w:t>需要强调的是，两者并非替代关系而是互补关系：Excel 在本项目中承担数据查看与结果核对的辅助角色（符合作业要求），Python 则负责正式成果的产出。这一分工恰恰说明：当分析对象达到数十万行量级、模型数量超过 3 种、图表需要批量更新时，Python 全栈方案在效率与可复现性上具有结构性优势，这也是本作业选择 Python 技术栈的核心理由。</w:t>
      </w:r>
    </w:p>
    <w:p>
      <w:pPr>
        <w:keepNext/>
        <w:spacing w:line="360" w:lineRule="auto" w:before="100" w:after="80"/>
        <w:outlineLvl w:val="1"/>
      </w:pPr>
      <w:r>
        <w:rPr>
          <w:rFonts w:ascii="Times New Roman" w:hAnsi="Times New Roman" w:eastAsia="黑体"/>
          <w:b/>
          <w:color w:val="000000"/>
          <w:sz w:val="24"/>
        </w:rPr>
        <w:t>5.3 业务模型图</w:t>
      </w:r>
    </w:p>
    <w:p>
      <w:pPr>
        <w:spacing w:line="360" w:lineRule="auto" w:after="80"/>
        <w:ind w:firstLine="480"/>
        <w:jc w:val="both"/>
      </w:pPr>
      <w:r>
        <w:rPr>
          <w:rFonts w:ascii="Times New Roman" w:hAnsi="Times New Roman" w:eastAsia="宋体"/>
          <w:b w:val="0"/>
          <w:color w:val="000000"/>
          <w:sz w:val="24"/>
        </w:rPr>
        <w:t>与第 4 章模型一一对应，共输出 10 张业务模型图。本节选取关键几张做解读。</w:t>
      </w:r>
    </w:p>
    <w:p>
      <w:pPr>
        <w:spacing w:before="120" w:after="20"/>
        <w:jc w:val="center"/>
      </w:pPr>
      <w:r>
        <w:drawing>
          <wp:inline xmlns:a="http://schemas.openxmlformats.org/drawingml/2006/main" xmlns:pic="http://schemas.openxmlformats.org/drawingml/2006/picture">
            <wp:extent cx="5400000" cy="3017315"/>
            <wp:docPr id="2" name="Picture 2"/>
            <wp:cNvGraphicFramePr>
              <a:graphicFrameLocks noChangeAspect="1"/>
            </wp:cNvGraphicFramePr>
            <a:graphic>
              <a:graphicData uri="http://schemas.openxmlformats.org/drawingml/2006/picture">
                <pic:pic>
                  <pic:nvPicPr>
                    <pic:cNvPr id="0" name="fig26_rfm_scatter_ch8.png"/>
                    <pic:cNvPicPr/>
                  </pic:nvPicPr>
                  <pic:blipFill>
                    <a:blip r:embed="rId10"/>
                    <a:stretch>
                      <a:fillRect/>
                    </a:stretch>
                  </pic:blipFill>
                  <pic:spPr>
                    <a:xfrm>
                      <a:off x="0" y="0"/>
                      <a:ext cx="5400000" cy="3017315"/>
                    </a:xfrm>
                    <a:prstGeom prst="rect"/>
                  </pic:spPr>
                </pic:pic>
              </a:graphicData>
            </a:graphic>
          </wp:inline>
        </w:drawing>
      </w:r>
    </w:p>
    <w:p>
      <w:pPr>
        <w:spacing w:after="160"/>
        <w:jc w:val="center"/>
      </w:pPr>
      <w:r>
        <w:rPr>
          <w:rFonts w:ascii="Times New Roman" w:hAnsi="Times New Roman" w:eastAsia="宋体"/>
          <w:color w:val="000000"/>
          <w:sz w:val="21"/>
        </w:rPr>
        <w:t>图 5-2  RFM 八分类客户价值矩阵（fig26）</w:t>
      </w:r>
    </w:p>
    <w:p>
      <w:pPr>
        <w:spacing w:line="360" w:lineRule="auto" w:after="80"/>
        <w:ind w:firstLine="480"/>
        <w:jc w:val="both"/>
      </w:pPr>
      <w:r>
        <w:rPr>
          <w:rFonts w:ascii="Times New Roman" w:hAnsi="Times New Roman" w:eastAsia="宋体"/>
          <w:b w:val="0"/>
          <w:color w:val="000000"/>
          <w:sz w:val="24"/>
        </w:rPr>
        <w:t>图 5-2 将客户按 R/F/M 三个维度的高低组合投影为八个象限，气泡大小代表客户数。右上方（低 Recency、高 Frequency、高 Monetary）为「重要价值客户」，是最应优先保障服务资源的一群；左下方的「一般挽留客户」虽然人数不少，但消费间隔长、金额低，投入产出错配，应改用低成本的自动化触达。</w:t>
      </w:r>
    </w:p>
    <w:p>
      <w:pPr>
        <w:spacing w:before="120" w:after="20"/>
        <w:jc w:val="center"/>
      </w:pPr>
      <w:r>
        <w:drawing>
          <wp:inline xmlns:a="http://schemas.openxmlformats.org/drawingml/2006/main" xmlns:pic="http://schemas.openxmlformats.org/drawingml/2006/picture">
            <wp:extent cx="5400000" cy="3097722"/>
            <wp:docPr id="3" name="Picture 3"/>
            <wp:cNvGraphicFramePr>
              <a:graphicFrameLocks noChangeAspect="1"/>
            </wp:cNvGraphicFramePr>
            <a:graphic>
              <a:graphicData uri="http://schemas.openxmlformats.org/drawingml/2006/picture">
                <pic:pic>
                  <pic:nvPicPr>
                    <pic:cNvPr id="0" name="fig28_cohort_retention_heatmap.png"/>
                    <pic:cNvPicPr/>
                  </pic:nvPicPr>
                  <pic:blipFill>
                    <a:blip r:embed="rId11"/>
                    <a:stretch>
                      <a:fillRect/>
                    </a:stretch>
                  </pic:blipFill>
                  <pic:spPr>
                    <a:xfrm>
                      <a:off x="0" y="0"/>
                      <a:ext cx="5400000" cy="3097722"/>
                    </a:xfrm>
                    <a:prstGeom prst="rect"/>
                  </pic:spPr>
                </pic:pic>
              </a:graphicData>
            </a:graphic>
          </wp:inline>
        </w:drawing>
      </w:r>
    </w:p>
    <w:p>
      <w:pPr>
        <w:spacing w:after="160"/>
        <w:jc w:val="center"/>
      </w:pPr>
      <w:r>
        <w:rPr>
          <w:rFonts w:ascii="Times New Roman" w:hAnsi="Times New Roman" w:eastAsia="宋体"/>
          <w:color w:val="000000"/>
          <w:sz w:val="21"/>
        </w:rPr>
        <w:t>图 5-3  月度同期群留存热力图（fig28）</w:t>
      </w:r>
    </w:p>
    <w:p>
      <w:pPr>
        <w:spacing w:line="360" w:lineRule="auto" w:after="80"/>
        <w:ind w:firstLine="480"/>
        <w:jc w:val="both"/>
      </w:pPr>
      <w:r>
        <w:rPr>
          <w:rFonts w:ascii="Times New Roman" w:hAnsi="Times New Roman" w:eastAsia="宋体"/>
          <w:b w:val="0"/>
          <w:color w:val="000000"/>
          <w:sz w:val="24"/>
        </w:rPr>
        <w:t xml:space="preserve">图 5-3 是本项目信息量最大的一张图。横轴为下单后的第 N 个月，纵轴为首购月份。可以看到留存率从第 0 个月的 100% </w:t>
      </w:r>
      <w:r>
        <w:rPr>
          <w:rFonts w:ascii="Times New Roman" w:hAnsi="Times New Roman" w:eastAsia="宋体"/>
          <w:b/>
          <w:color w:val="000000"/>
          <w:sz w:val="24"/>
        </w:rPr>
        <w:t>骤降至第 1 个月的 10.65%</w:t>
      </w:r>
      <w:r>
        <w:rPr>
          <w:rFonts w:ascii="Times New Roman" w:hAnsi="Times New Roman" w:eastAsia="宋体"/>
          <w:b w:val="0"/>
          <w:color w:val="000000"/>
          <w:sz w:val="24"/>
        </w:rPr>
        <w:t>，随后在第 2~11 个月稳定在 8.4%~10.9% 区间，到第 12 个月之后又回升至 12% 以上。这条曲线形态说明：该商家的客户留存是「一次性断崖 + 长期平台」模式，而非持续衰减模式。换言之，能在第 2 个月留下来的客户，后续会长期保持活跃，流失风险反而很低。</w:t>
      </w:r>
    </w:p>
    <w:p>
      <w:pPr>
        <w:spacing w:before="120" w:after="20"/>
        <w:jc w:val="center"/>
      </w:pPr>
      <w:r>
        <w:drawing>
          <wp:inline xmlns:a="http://schemas.openxmlformats.org/drawingml/2006/main" xmlns:pic="http://schemas.openxmlformats.org/drawingml/2006/picture">
            <wp:extent cx="5400000" cy="2709771"/>
            <wp:docPr id="4" name="Picture 4"/>
            <wp:cNvGraphicFramePr>
              <a:graphicFrameLocks noChangeAspect="1"/>
            </wp:cNvGraphicFramePr>
            <a:graphic>
              <a:graphicData uri="http://schemas.openxmlformats.org/drawingml/2006/picture">
                <pic:pic>
                  <pic:nvPicPr>
                    <pic:cNvPr id="0" name="fig29_pareto_abc.png"/>
                    <pic:cNvPicPr/>
                  </pic:nvPicPr>
                  <pic:blipFill>
                    <a:blip r:embed="rId12"/>
                    <a:stretch>
                      <a:fillRect/>
                    </a:stretch>
                  </pic:blipFill>
                  <pic:spPr>
                    <a:xfrm>
                      <a:off x="0" y="0"/>
                      <a:ext cx="5400000" cy="2709771"/>
                    </a:xfrm>
                    <a:prstGeom prst="rect"/>
                  </pic:spPr>
                </pic:pic>
              </a:graphicData>
            </a:graphic>
          </wp:inline>
        </w:drawing>
      </w:r>
    </w:p>
    <w:p>
      <w:pPr>
        <w:spacing w:after="160"/>
        <w:jc w:val="center"/>
      </w:pPr>
      <w:r>
        <w:rPr>
          <w:rFonts w:ascii="Times New Roman" w:hAnsi="Times New Roman" w:eastAsia="宋体"/>
          <w:color w:val="000000"/>
          <w:sz w:val="21"/>
        </w:rPr>
        <w:t>图 5-4  TOP30 商品帕累托图与 ABC 分界（fig29）</w:t>
      </w:r>
    </w:p>
    <w:p>
      <w:pPr>
        <w:spacing w:line="360" w:lineRule="auto" w:after="80"/>
        <w:ind w:firstLine="480"/>
        <w:jc w:val="both"/>
      </w:pPr>
      <w:r>
        <w:rPr>
          <w:rFonts w:ascii="Times New Roman" w:hAnsi="Times New Roman" w:eastAsia="宋体"/>
          <w:b w:val="0"/>
          <w:color w:val="000000"/>
          <w:sz w:val="24"/>
        </w:rPr>
        <w:t>图 5-4 将商品按销售额降序排列，柱形为单品销售额，折线为累计占比，两条虚线标出 A（累计 80%）、B（累计 95%）的分界点。结果显示：仅 1,135 个 SKU（占 22.42%）就贡献了 80% 的销售额，而 2,593 个 SKU（占 51.22%）合计只贡献 5%。这是一个教科书式的帕累托分布，也意味着库存结构存在巨大的优化空间。</w:t>
      </w:r>
    </w:p>
    <w:p>
      <w:pPr>
        <w:spacing w:before="120" w:after="20"/>
        <w:jc w:val="center"/>
      </w:pPr>
      <w:r>
        <w:drawing>
          <wp:inline xmlns:a="http://schemas.openxmlformats.org/drawingml/2006/main" xmlns:pic="http://schemas.openxmlformats.org/drawingml/2006/picture">
            <wp:extent cx="5400000" cy="3549373"/>
            <wp:docPr id="5" name="Picture 5"/>
            <wp:cNvGraphicFramePr>
              <a:graphicFrameLocks noChangeAspect="1"/>
            </wp:cNvGraphicFramePr>
            <a:graphic>
              <a:graphicData uri="http://schemas.openxmlformats.org/drawingml/2006/picture">
                <pic:pic>
                  <pic:nvPicPr>
                    <pic:cNvPr id="0" name="fig32_bcg_matrix.png"/>
                    <pic:cNvPicPr/>
                  </pic:nvPicPr>
                  <pic:blipFill>
                    <a:blip r:embed="rId13"/>
                    <a:stretch>
                      <a:fillRect/>
                    </a:stretch>
                  </pic:blipFill>
                  <pic:spPr>
                    <a:xfrm>
                      <a:off x="0" y="0"/>
                      <a:ext cx="5400000" cy="3549373"/>
                    </a:xfrm>
                    <a:prstGeom prst="rect"/>
                  </pic:spPr>
                </pic:pic>
              </a:graphicData>
            </a:graphic>
          </wp:inline>
        </w:drawing>
      </w:r>
    </w:p>
    <w:p>
      <w:pPr>
        <w:spacing w:after="160"/>
        <w:jc w:val="center"/>
      </w:pPr>
      <w:r>
        <w:rPr>
          <w:rFonts w:ascii="Times New Roman" w:hAnsi="Times New Roman" w:eastAsia="宋体"/>
          <w:color w:val="000000"/>
          <w:sz w:val="21"/>
        </w:rPr>
        <w:t>图 5-5  品类波士顿矩阵四象限（fig32）</w:t>
      </w:r>
    </w:p>
    <w:p>
      <w:pPr>
        <w:spacing w:line="360" w:lineRule="auto" w:after="80"/>
        <w:ind w:firstLine="480"/>
        <w:jc w:val="both"/>
      </w:pPr>
      <w:r>
        <w:rPr>
          <w:rFonts w:ascii="Times New Roman" w:hAnsi="Times New Roman" w:eastAsia="宋体"/>
          <w:b w:val="0"/>
          <w:color w:val="000000"/>
          <w:sz w:val="24"/>
        </w:rPr>
        <w:t>图 5-5 以相对份额为横轴、同比增速为纵轴，气泡面积代表品类销售额。「Other Household」与「Kitchen &amp; Dining」落入金牛象限（高份额、低增速），是当前的现金来源；「Bags &amp; Storage」与「Home Decor &amp; Lighting」为明星品类；「Christmas &amp; Seasonal」同比增速高达 40.61%、「Party &amp; Occasion」达 50.52%，但份额尚低，属于典型的问题品类——它们是明年的潜在明星，值得投入资源培育；「Jewellery &amp; Accessory」同比下滑 48.27%，份额与增速双低，应列入收割或退出的候选。</w:t>
      </w:r>
    </w:p>
    <w:p>
      <w:pPr>
        <w:spacing w:before="120" w:after="20"/>
        <w:jc w:val="center"/>
      </w:pPr>
      <w:r>
        <w:drawing>
          <wp:inline xmlns:a="http://schemas.openxmlformats.org/drawingml/2006/main" xmlns:pic="http://schemas.openxmlformats.org/drawingml/2006/picture">
            <wp:extent cx="5400000" cy="2514230"/>
            <wp:docPr id="6" name="Picture 6"/>
            <wp:cNvGraphicFramePr>
              <a:graphicFrameLocks noChangeAspect="1"/>
            </wp:cNvGraphicFramePr>
            <a:graphic>
              <a:graphicData uri="http://schemas.openxmlformats.org/drawingml/2006/picture">
                <pic:pic>
                  <pic:nvPicPr>
                    <pic:cNvPr id="0" name="fig33_forecast_ci.png"/>
                    <pic:cNvPicPr/>
                  </pic:nvPicPr>
                  <pic:blipFill>
                    <a:blip r:embed="rId14"/>
                    <a:stretch>
                      <a:fillRect/>
                    </a:stretch>
                  </pic:blipFill>
                  <pic:spPr>
                    <a:xfrm>
                      <a:off x="0" y="0"/>
                      <a:ext cx="5400000" cy="2514230"/>
                    </a:xfrm>
                    <a:prstGeom prst="rect"/>
                  </pic:spPr>
                </pic:pic>
              </a:graphicData>
            </a:graphic>
          </wp:inline>
        </w:drawing>
      </w:r>
    </w:p>
    <w:p>
      <w:pPr>
        <w:spacing w:after="160"/>
        <w:jc w:val="center"/>
      </w:pPr>
      <w:r>
        <w:rPr>
          <w:rFonts w:ascii="Times New Roman" w:hAnsi="Times New Roman" w:eastAsia="宋体"/>
          <w:color w:val="000000"/>
          <w:sz w:val="21"/>
        </w:rPr>
        <w:t>图 5-6  日销售额预测：点预测 + 95% 置信区间 + 回测（fig33）</w:t>
      </w:r>
    </w:p>
    <w:p>
      <w:pPr>
        <w:keepNext/>
        <w:spacing w:line="360" w:lineRule="auto" w:before="100" w:after="80"/>
        <w:outlineLvl w:val="1"/>
      </w:pPr>
      <w:r>
        <w:rPr>
          <w:rFonts w:ascii="Times New Roman" w:hAnsi="Times New Roman" w:eastAsia="黑体"/>
          <w:b/>
          <w:color w:val="000000"/>
          <w:sz w:val="24"/>
        </w:rPr>
        <w:t>5.4 交互式可视化大屏</w:t>
      </w:r>
    </w:p>
    <w:p>
      <w:pPr>
        <w:spacing w:line="360" w:lineRule="auto" w:after="80"/>
        <w:ind w:firstLine="480"/>
        <w:jc w:val="both"/>
      </w:pPr>
      <w:r>
        <w:rPr>
          <w:rFonts w:ascii="Times New Roman" w:hAnsi="Times New Roman" w:eastAsia="宋体"/>
          <w:b w:val="0"/>
          <w:color w:val="000000"/>
          <w:sz w:val="24"/>
        </w:rPr>
        <w:t>在静态图之外，本项目使用 Pyecharts 搭建了一个暗色主题的交互式商业分析大屏，输出为 outputs/dashboard/dashboard_dark.html，共 4 个标签页、22 个组件，全部由 Python 代码生成。</w:t>
      </w:r>
    </w:p>
    <w:p>
      <w:pPr>
        <w:spacing w:after="40"/>
        <w:jc w:val="center"/>
      </w:pPr>
      <w:r>
        <w:rPr>
          <w:rFonts w:ascii="Times New Roman" w:hAnsi="Times New Roman" w:eastAsia="黑体"/>
          <w:color w:val="000000"/>
          <w:sz w:val="21"/>
        </w:rPr>
        <w:t>表 5-3  交互大屏组件清单（4 页 22 组件）</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jc w:val="center"/>
            </w:pPr>
            <w:r/>
            <w:r>
              <w:rPr>
                <w:rFonts w:ascii="Times New Roman" w:hAnsi="Times New Roman" w:eastAsia="黑体"/>
                <w:b/>
                <w:color w:val="000000"/>
                <w:sz w:val="20"/>
              </w:rPr>
              <w:t>标签页</w:t>
            </w:r>
          </w:p>
        </w:tc>
        <w:tc>
          <w:tcPr>
            <w:tcW w:type="dxa" w:w="2911"/>
          </w:tcPr>
          <w:p>
            <w:pPr>
              <w:jc w:val="center"/>
            </w:pPr>
            <w:r/>
            <w:r>
              <w:rPr>
                <w:rFonts w:ascii="Times New Roman" w:hAnsi="Times New Roman" w:eastAsia="黑体"/>
                <w:b/>
                <w:color w:val="000000"/>
                <w:sz w:val="20"/>
              </w:rPr>
              <w:t>组件</w:t>
            </w:r>
          </w:p>
        </w:tc>
        <w:tc>
          <w:tcPr>
            <w:tcW w:type="dxa" w:w="2911"/>
          </w:tcPr>
          <w:p>
            <w:pPr>
              <w:jc w:val="center"/>
            </w:pPr>
            <w:r/>
            <w:r>
              <w:rPr>
                <w:rFonts w:ascii="Times New Roman" w:hAnsi="Times New Roman" w:eastAsia="黑体"/>
                <w:b/>
                <w:color w:val="000000"/>
                <w:sz w:val="20"/>
              </w:rPr>
              <w:t>交互能力</w:t>
            </w:r>
          </w:p>
        </w:tc>
      </w:tr>
      <w:tr>
        <w:tc>
          <w:tcPr>
            <w:tcW w:type="dxa" w:w="2911"/>
          </w:tcPr>
          <w:p>
            <w:pPr>
              <w:spacing w:after="20"/>
              <w:jc w:val="center"/>
            </w:pPr>
            <w:r/>
            <w:r>
              <w:rPr>
                <w:rFonts w:ascii="Times New Roman" w:hAnsi="Times New Roman" w:eastAsia="宋体"/>
                <w:color w:val="000000"/>
                <w:sz w:val="20"/>
              </w:rPr>
              <w:t>① 销售总览</w:t>
            </w:r>
          </w:p>
        </w:tc>
        <w:tc>
          <w:tcPr>
            <w:tcW w:type="dxa" w:w="2911"/>
          </w:tcPr>
          <w:p>
            <w:pPr>
              <w:spacing w:after="20"/>
              <w:jc w:val="left"/>
            </w:pPr>
            <w:r/>
            <w:r>
              <w:rPr>
                <w:rFonts w:ascii="Times New Roman" w:hAnsi="Times New Roman" w:eastAsia="宋体"/>
                <w:color w:val="000000"/>
                <w:sz w:val="20"/>
              </w:rPr>
              <w:t>趋势图、双轴图、国家柱形、月度排名时间轴、星期时段热力图</w:t>
            </w:r>
          </w:p>
        </w:tc>
        <w:tc>
          <w:tcPr>
            <w:tcW w:type="dxa" w:w="2911"/>
          </w:tcPr>
          <w:p>
            <w:pPr>
              <w:spacing w:after="20"/>
              <w:jc w:val="left"/>
            </w:pPr>
            <w:r/>
            <w:r>
              <w:rPr>
                <w:rFonts w:ascii="Times New Roman" w:hAnsi="Times New Roman" w:eastAsia="宋体"/>
                <w:color w:val="000000"/>
                <w:sz w:val="20"/>
              </w:rPr>
              <w:t>时间轴自动轮播、数据缩放、悬停提示</w:t>
            </w:r>
          </w:p>
        </w:tc>
      </w:tr>
      <w:tr>
        <w:tc>
          <w:tcPr>
            <w:tcW w:type="dxa" w:w="2911"/>
          </w:tcPr>
          <w:p>
            <w:pPr>
              <w:spacing w:after="20"/>
              <w:jc w:val="center"/>
            </w:pPr>
            <w:r/>
            <w:r>
              <w:rPr>
                <w:rFonts w:ascii="Times New Roman" w:hAnsi="Times New Roman" w:eastAsia="宋体"/>
                <w:color w:val="000000"/>
                <w:sz w:val="20"/>
              </w:rPr>
              <w:t>② 客户洞察</w:t>
            </w:r>
          </w:p>
        </w:tc>
        <w:tc>
          <w:tcPr>
            <w:tcW w:type="dxa" w:w="2911"/>
          </w:tcPr>
          <w:p>
            <w:pPr>
              <w:spacing w:after="20"/>
              <w:jc w:val="left"/>
            </w:pPr>
            <w:r/>
            <w:r>
              <w:rPr>
                <w:rFonts w:ascii="Times New Roman" w:hAnsi="Times New Roman" w:eastAsia="宋体"/>
                <w:color w:val="000000"/>
                <w:sz w:val="20"/>
              </w:rPr>
              <w:t>RFM 贡献玫瑰图、客群规模柱形、同期群留存曲线、复购漏斗、分群画像、流失预警十分位区分度、预警名单 TOP10</w:t>
            </w:r>
          </w:p>
        </w:tc>
        <w:tc>
          <w:tcPr>
            <w:tcW w:type="dxa" w:w="2911"/>
          </w:tcPr>
          <w:p>
            <w:pPr>
              <w:spacing w:after="20"/>
              <w:jc w:val="left"/>
            </w:pPr>
            <w:r/>
            <w:r>
              <w:rPr>
                <w:rFonts w:ascii="Times New Roman" w:hAnsi="Times New Roman" w:eastAsia="宋体"/>
                <w:color w:val="000000"/>
                <w:sz w:val="20"/>
              </w:rPr>
              <w:t>图例筛选、悬停显示留存率、名单表排序</w:t>
            </w:r>
          </w:p>
        </w:tc>
      </w:tr>
      <w:tr>
        <w:tc>
          <w:tcPr>
            <w:tcW w:type="dxa" w:w="2911"/>
          </w:tcPr>
          <w:p>
            <w:pPr>
              <w:spacing w:after="20"/>
              <w:jc w:val="center"/>
            </w:pPr>
            <w:r/>
            <w:r>
              <w:rPr>
                <w:rFonts w:ascii="Times New Roman" w:hAnsi="Times New Roman" w:eastAsia="宋体"/>
                <w:color w:val="000000"/>
                <w:sz w:val="20"/>
              </w:rPr>
              <w:t>③ 商品结构</w:t>
            </w:r>
          </w:p>
        </w:tc>
        <w:tc>
          <w:tcPr>
            <w:tcW w:type="dxa" w:w="2911"/>
          </w:tcPr>
          <w:p>
            <w:pPr>
              <w:spacing w:after="20"/>
              <w:jc w:val="left"/>
            </w:pPr>
            <w:r/>
            <w:r>
              <w:rPr>
                <w:rFonts w:ascii="Times New Roman" w:hAnsi="Times New Roman" w:eastAsia="宋体"/>
                <w:color w:val="000000"/>
                <w:sz w:val="20"/>
              </w:rPr>
              <w:t>TOP10 商品、品类环形、商品词云、ABC 贡献、关联规则 Lift 榜、明细表</w:t>
            </w:r>
          </w:p>
        </w:tc>
        <w:tc>
          <w:tcPr>
            <w:tcW w:type="dxa" w:w="2911"/>
          </w:tcPr>
          <w:p>
            <w:pPr>
              <w:spacing w:after="20"/>
              <w:jc w:val="left"/>
            </w:pPr>
            <w:r/>
            <w:r>
              <w:rPr>
                <w:rFonts w:ascii="Times New Roman" w:hAnsi="Times New Roman" w:eastAsia="宋体"/>
                <w:color w:val="000000"/>
                <w:sz w:val="20"/>
              </w:rPr>
              <w:t>词云点击、表格排序、图例联动</w:t>
            </w:r>
          </w:p>
        </w:tc>
      </w:tr>
      <w:tr>
        <w:tc>
          <w:tcPr>
            <w:tcW w:type="dxa" w:w="2911"/>
          </w:tcPr>
          <w:p>
            <w:pPr>
              <w:spacing w:after="20"/>
              <w:jc w:val="center"/>
            </w:pPr>
            <w:r/>
            <w:r>
              <w:rPr>
                <w:rFonts w:ascii="Times New Roman" w:hAnsi="Times New Roman" w:eastAsia="宋体"/>
                <w:color w:val="000000"/>
                <w:sz w:val="20"/>
              </w:rPr>
              <w:t>④ 预测复盘</w:t>
            </w:r>
          </w:p>
        </w:tc>
        <w:tc>
          <w:tcPr>
            <w:tcW w:type="dxa" w:w="2911"/>
          </w:tcPr>
          <w:p>
            <w:pPr>
              <w:spacing w:after="20"/>
              <w:jc w:val="left"/>
            </w:pPr>
            <w:r/>
            <w:r>
              <w:rPr>
                <w:rFonts w:ascii="Times New Roman" w:hAnsi="Times New Roman" w:eastAsia="宋体"/>
                <w:color w:val="000000"/>
                <w:sz w:val="20"/>
              </w:rPr>
              <w:t>预测置信带、回测对比、同比增速复盘、波士顿矩阵</w:t>
            </w:r>
          </w:p>
        </w:tc>
        <w:tc>
          <w:tcPr>
            <w:tcW w:type="dxa" w:w="2911"/>
          </w:tcPr>
          <w:p>
            <w:pPr>
              <w:spacing w:after="20"/>
              <w:jc w:val="left"/>
            </w:pPr>
            <w:r/>
            <w:r>
              <w:rPr>
                <w:rFonts w:ascii="Times New Roman" w:hAnsi="Times New Roman" w:eastAsia="宋体"/>
                <w:color w:val="000000"/>
                <w:sz w:val="20"/>
              </w:rPr>
              <w:t>区间缩放、双轴切换</w:t>
            </w:r>
          </w:p>
        </w:tc>
      </w:tr>
    </w:tbl>
    <w:p>
      <w:pPr>
        <w:spacing w:after="40"/>
      </w:pPr>
    </w:p>
    <w:p>
      <w:pPr>
        <w:spacing w:line="360" w:lineRule="auto" w:after="80"/>
        <w:ind w:firstLine="480"/>
        <w:jc w:val="both"/>
      </w:pPr>
      <w:r>
        <w:rPr>
          <w:rFonts w:ascii="Times New Roman" w:hAnsi="Times New Roman" w:eastAsia="宋体"/>
          <w:b w:val="0"/>
          <w:color w:val="000000"/>
          <w:sz w:val="24"/>
        </w:rPr>
        <w:t>大屏的交互能力体现在四点：</w:t>
      </w:r>
      <w:r>
        <w:rPr>
          <w:rFonts w:ascii="Times New Roman" w:hAnsi="Times New Roman" w:eastAsia="宋体"/>
          <w:b/>
          <w:color w:val="000000"/>
          <w:sz w:val="24"/>
        </w:rPr>
        <w:t>筛选</w:t>
      </w:r>
      <w:r>
        <w:rPr>
          <w:rFonts w:ascii="Times New Roman" w:hAnsi="Times New Roman" w:eastAsia="宋体"/>
          <w:b w:val="0"/>
          <w:color w:val="000000"/>
          <w:sz w:val="24"/>
        </w:rPr>
        <w:t>（图例可点击开关系列）、</w:t>
      </w:r>
      <w:r>
        <w:rPr>
          <w:rFonts w:ascii="Times New Roman" w:hAnsi="Times New Roman" w:eastAsia="宋体"/>
          <w:b/>
          <w:color w:val="000000"/>
          <w:sz w:val="24"/>
        </w:rPr>
        <w:t>缩放</w:t>
      </w:r>
      <w:r>
        <w:rPr>
          <w:rFonts w:ascii="Times New Roman" w:hAnsi="Times New Roman" w:eastAsia="宋体"/>
          <w:b w:val="0"/>
          <w:color w:val="000000"/>
          <w:sz w:val="24"/>
        </w:rPr>
        <w:t>（时间轴 slider 与 dataZoom 支持任意区间下钻）、</w:t>
      </w:r>
      <w:r>
        <w:rPr>
          <w:rFonts w:ascii="Times New Roman" w:hAnsi="Times New Roman" w:eastAsia="宋体"/>
          <w:b/>
          <w:color w:val="000000"/>
          <w:sz w:val="24"/>
        </w:rPr>
        <w:t>联动</w:t>
      </w:r>
      <w:r>
        <w:rPr>
          <w:rFonts w:ascii="Times New Roman" w:hAnsi="Times New Roman" w:eastAsia="宋体"/>
          <w:b w:val="0"/>
          <w:color w:val="000000"/>
          <w:sz w:val="24"/>
        </w:rPr>
        <w:t>（时间轴组件驱动月度排名随时间演进）、</w:t>
      </w:r>
      <w:r>
        <w:rPr>
          <w:rFonts w:ascii="Times New Roman" w:hAnsi="Times New Roman" w:eastAsia="宋体"/>
          <w:b/>
          <w:color w:val="000000"/>
          <w:sz w:val="24"/>
        </w:rPr>
        <w:t>明细下钻</w:t>
      </w:r>
      <w:r>
        <w:rPr>
          <w:rFonts w:ascii="Times New Roman" w:hAnsi="Times New Roman" w:eastAsia="宋体"/>
          <w:b w:val="0"/>
          <w:color w:val="000000"/>
          <w:sz w:val="24"/>
        </w:rPr>
        <w:t>（商品明细表支持排序，可直接定位到具体 SKU）。这些能力是 Excel 静态图无法提供的。</w:t>
      </w:r>
    </w:p>
    <w:p>
      <w:pPr>
        <w:spacing w:line="360" w:lineRule="auto" w:after="80"/>
        <w:ind w:firstLine="480"/>
        <w:jc w:val="both"/>
      </w:pPr>
      <w:r>
        <w:rPr>
          <w:rFonts w:ascii="Times New Roman" w:hAnsi="Times New Roman" w:eastAsia="宋体"/>
          <w:b w:val="0"/>
          <w:color w:val="000000"/>
          <w:sz w:val="24"/>
        </w:rPr>
        <w:t>需要特别说明：本项目的全部图表与大屏</w:t>
      </w:r>
      <w:r>
        <w:rPr>
          <w:rFonts w:ascii="Times New Roman" w:hAnsi="Times New Roman" w:eastAsia="宋体"/>
          <w:b/>
          <w:color w:val="000000"/>
          <w:sz w:val="24"/>
        </w:rPr>
        <w:t>均由 Python 代码生成</w:t>
      </w:r>
      <w:r>
        <w:rPr>
          <w:rFonts w:ascii="Times New Roman" w:hAnsi="Times New Roman" w:eastAsia="宋体"/>
          <w:b w:val="0"/>
          <w:color w:val="000000"/>
          <w:sz w:val="24"/>
        </w:rPr>
        <w:t>，未使用 Power BI、Tableau、Fine BI 等任何 BI 软件，也不存在以 Excel 图表截图替代 Python 输出的情况。Excel 仅用于数据查看与结果核对。</w:t>
      </w:r>
    </w:p>
    <w:p>
      <w:pPr>
        <w:spacing w:before="120" w:after="20"/>
        <w:jc w:val="center"/>
      </w:pPr>
      <w:r>
        <w:drawing>
          <wp:inline xmlns:a="http://schemas.openxmlformats.org/drawingml/2006/main" xmlns:pic="http://schemas.openxmlformats.org/drawingml/2006/picture">
            <wp:extent cx="5400000" cy="3037500"/>
            <wp:docPr id="7" name="Picture 7"/>
            <wp:cNvGraphicFramePr>
              <a:graphicFrameLocks noChangeAspect="1"/>
            </wp:cNvGraphicFramePr>
            <a:graphic>
              <a:graphicData uri="http://schemas.openxmlformats.org/drawingml/2006/picture">
                <pic:pic>
                  <pic:nvPicPr>
                    <pic:cNvPr id="0" name="大屏演示_四标签拼图.png"/>
                    <pic:cNvPicPr/>
                  </pic:nvPicPr>
                  <pic:blipFill>
                    <a:blip r:embed="rId15"/>
                    <a:stretch>
                      <a:fillRect/>
                    </a:stretch>
                  </pic:blipFill>
                  <pic:spPr>
                    <a:xfrm>
                      <a:off x="0" y="0"/>
                      <a:ext cx="5400000" cy="3037500"/>
                    </a:xfrm>
                    <a:prstGeom prst="rect"/>
                  </pic:spPr>
                </pic:pic>
              </a:graphicData>
            </a:graphic>
          </wp:inline>
        </w:drawing>
      </w:r>
    </w:p>
    <w:p>
      <w:pPr>
        <w:spacing w:after="160"/>
        <w:jc w:val="center"/>
      </w:pPr>
      <w:r>
        <w:rPr>
          <w:rFonts w:ascii="Times New Roman" w:hAnsi="Times New Roman" w:eastAsia="宋体"/>
          <w:color w:val="000000"/>
          <w:sz w:val="21"/>
        </w:rPr>
        <w:t>图 5-7  交互大屏四标签页演示截图（1920×1080，无头浏览器实拍）</w:t>
      </w:r>
    </w:p>
    <w:p>
      <w:pPr>
        <w:spacing w:line="360" w:lineRule="auto" w:after="80"/>
        <w:ind w:firstLine="480"/>
        <w:jc w:val="both"/>
      </w:pPr>
      <w:r>
        <w:rPr>
          <w:rFonts w:ascii="Times New Roman" w:hAnsi="Times New Roman" w:eastAsia="宋体"/>
          <w:b w:val="0"/>
          <w:color w:val="000000"/>
          <w:sz w:val="24"/>
        </w:rPr>
        <w:t>图 5-7 为四个标签页的实拍演示截图（由 scripts/10_dashboard_screenshots.py 调用本机无头浏览器自动截取，并同步合成轮播 GIF，作为大屏演示材料提交）。左上为销售总览（KPI 卡 + 趋势 + 排名时间轴），右上为客户价值（RFM 玫瑰图 + 分群对比 + 留存曲线 + 复购漏斗 + 流失预警区分度与预警名单），左下为商品结构（TOP10 + 品类环形 + 词云 + ABC + 关联规则榜），右下为预测复盘（置信带 + 回测对比 + 波士顿矩阵）。四张截图共同说明：大屏的每一个标签页都与第 4 章的模型结论一一对应，业务人员无需阅读代码即可通过点选 Tab 完成从「经营概览」到「预测复盘」的完整分析路径。</w:t>
      </w:r>
    </w:p>
    <w:p>
      <w:pPr>
        <w:keepNext/>
        <w:spacing w:line="360" w:lineRule="auto" w:before="160" w:after="80"/>
        <w:outlineLvl w:val="0"/>
      </w:pPr>
      <w:r>
        <w:rPr>
          <w:rFonts w:ascii="Times New Roman" w:hAnsi="Times New Roman" w:eastAsia="黑体"/>
          <w:b/>
          <w:color w:val="000000"/>
          <w:sz w:val="28"/>
        </w:rPr>
        <w:t>6 商业案例分析</w:t>
      </w:r>
    </w:p>
    <w:p>
      <w:pPr>
        <w:keepNext/>
        <w:spacing w:line="360" w:lineRule="auto" w:before="100" w:after="80"/>
        <w:outlineLvl w:val="1"/>
      </w:pPr>
      <w:r>
        <w:rPr>
          <w:rFonts w:ascii="Times New Roman" w:hAnsi="Times New Roman" w:eastAsia="黑体"/>
          <w:b/>
          <w:color w:val="000000"/>
          <w:sz w:val="24"/>
        </w:rPr>
        <w:t>6.1 案例背景</w:t>
      </w:r>
    </w:p>
    <w:p>
      <w:pPr>
        <w:spacing w:line="360" w:lineRule="auto" w:after="80"/>
        <w:ind w:firstLine="480"/>
        <w:jc w:val="both"/>
      </w:pPr>
      <w:r>
        <w:rPr>
          <w:rFonts w:ascii="Times New Roman" w:hAnsi="Times New Roman" w:eastAsia="宋体"/>
          <w:b w:val="0"/>
          <w:color w:val="000000"/>
          <w:sz w:val="24"/>
        </w:rPr>
        <w:t>将上述模型结论还原到业务现场。本案例的这家英国在线礼品家居零售商，主营家居装饰、厨房用品、节庆装饰与礼品包装，采用「批发分销为主、零售为辅」的双轨模式，客户遍布 36 个国家。它当前面临的三个典型困境是：库存资金被长尾 SKU 大量占用、客户运营缺乏分层导致营销预算浪费、圣诞旺季的备货节奏靠经验而非预测。</w:t>
      </w:r>
    </w:p>
    <w:p>
      <w:pPr>
        <w:keepNext/>
        <w:spacing w:line="360" w:lineRule="auto" w:before="100" w:after="80"/>
        <w:outlineLvl w:val="1"/>
      </w:pPr>
      <w:r>
        <w:rPr>
          <w:rFonts w:ascii="Times New Roman" w:hAnsi="Times New Roman" w:eastAsia="黑体"/>
          <w:b/>
          <w:color w:val="000000"/>
          <w:sz w:val="24"/>
        </w:rPr>
        <w:t>6.2 结果解读</w:t>
      </w:r>
    </w:p>
    <w:p>
      <w:pPr>
        <w:spacing w:line="360" w:lineRule="auto" w:after="80"/>
        <w:ind w:firstLine="480"/>
        <w:jc w:val="both"/>
      </w:pPr>
      <w:r>
        <w:rPr>
          <w:rFonts w:ascii="Times New Roman" w:hAnsi="Times New Roman" w:eastAsia="宋体"/>
          <w:b/>
          <w:color w:val="000000"/>
          <w:sz w:val="24"/>
        </w:rPr>
        <w:t>解读一：市场集中度过高，抗风险能力弱。</w:t>
      </w:r>
      <w:r>
        <w:rPr>
          <w:rFonts w:ascii="Times New Roman" w:hAnsi="Times New Roman" w:eastAsia="宋体"/>
          <w:b w:val="0"/>
          <w:color w:val="000000"/>
          <w:sz w:val="24"/>
        </w:rPr>
        <w:t xml:space="preserve"> 英国单一市场贡献 84.96% 的销售额，其余 35 个国家合计仅 15.04%。荷兰（3.75%）与爱尔兰（3.56%）虽位列二三，但客户数仅 12 位与 3 位，是典型的「大客户批发」结构——荷兰的客单价高达 3,083 英镑，是英国（453 英镑）的 6.8 倍。这意味着这两个市场的营收高度依赖个别批发商，一旦流失影响巨大。</w:t>
      </w:r>
    </w:p>
    <w:p>
      <w:pPr>
        <w:spacing w:line="360" w:lineRule="auto" w:after="80"/>
        <w:ind w:firstLine="480"/>
        <w:jc w:val="both"/>
      </w:pPr>
      <w:r>
        <w:rPr>
          <w:rFonts w:ascii="Times New Roman" w:hAnsi="Times New Roman" w:eastAsia="宋体"/>
          <w:b/>
          <w:color w:val="000000"/>
          <w:sz w:val="24"/>
        </w:rPr>
        <w:t>解读二：客户价值高度集中，长尾沉睡严重。</w:t>
      </w:r>
      <w:r>
        <w:rPr>
          <w:rFonts w:ascii="Times New Roman" w:hAnsi="Times New Roman" w:eastAsia="宋体"/>
          <w:b w:val="0"/>
          <w:color w:val="000000"/>
          <w:sz w:val="24"/>
        </w:rPr>
        <w:t xml:space="preserve"> RFM 模型中，「重要价值客户」1,069 人（占 28.69%）贡献了 69.99% 的销售额，人均贡献 3,244 英镑；而「一般挽留客户」967 人（占 25.95%）仅贡献 4.35%，人均 223 英镑。K-Means 分群进一步印证：52.74% 的高价值忠诚群贡献 87.30% 营收，47.26% 的沉睡流失群仅贡献 12.70%，且平均 330 天未下单、人均消费仅 357 英镑。</w:t>
      </w:r>
    </w:p>
    <w:p>
      <w:pPr>
        <w:spacing w:before="120" w:after="20"/>
        <w:jc w:val="center"/>
      </w:pPr>
      <w:r>
        <w:drawing>
          <wp:inline xmlns:a="http://schemas.openxmlformats.org/drawingml/2006/main" xmlns:pic="http://schemas.openxmlformats.org/drawingml/2006/picture">
            <wp:extent cx="5400000" cy="2421744"/>
            <wp:docPr id="8" name="Picture 8"/>
            <wp:cNvGraphicFramePr>
              <a:graphicFrameLocks noChangeAspect="1"/>
            </wp:cNvGraphicFramePr>
            <a:graphic>
              <a:graphicData uri="http://schemas.openxmlformats.org/drawingml/2006/picture">
                <pic:pic>
                  <pic:nvPicPr>
                    <pic:cNvPr id="0" name="fig27_rfm_segment_bar.png"/>
                    <pic:cNvPicPr/>
                  </pic:nvPicPr>
                  <pic:blipFill>
                    <a:blip r:embed="rId16"/>
                    <a:stretch>
                      <a:fillRect/>
                    </a:stretch>
                  </pic:blipFill>
                  <pic:spPr>
                    <a:xfrm>
                      <a:off x="0" y="0"/>
                      <a:ext cx="5400000" cy="2421744"/>
                    </a:xfrm>
                    <a:prstGeom prst="rect"/>
                  </pic:spPr>
                </pic:pic>
              </a:graphicData>
            </a:graphic>
          </wp:inline>
        </w:drawing>
      </w:r>
    </w:p>
    <w:p>
      <w:pPr>
        <w:spacing w:after="160"/>
        <w:jc w:val="center"/>
      </w:pPr>
      <w:r>
        <w:rPr>
          <w:rFonts w:ascii="Times New Roman" w:hAnsi="Times New Roman" w:eastAsia="宋体"/>
          <w:color w:val="000000"/>
          <w:sz w:val="21"/>
        </w:rPr>
        <w:t>图 6-1  RFM 八分群客户规模与金额贡献对比（fig27）</w:t>
      </w:r>
    </w:p>
    <w:p>
      <w:pPr>
        <w:spacing w:line="360" w:lineRule="auto" w:after="80"/>
        <w:ind w:firstLine="480"/>
        <w:jc w:val="both"/>
      </w:pPr>
      <w:r>
        <w:rPr>
          <w:rFonts w:ascii="Times New Roman" w:hAnsi="Times New Roman" w:eastAsia="宋体"/>
          <w:b w:val="0"/>
          <w:color w:val="000000"/>
          <w:sz w:val="24"/>
        </w:rPr>
        <w:t>图 6-1 用双轴对比八个客群的「人数占比」与「营收占比」两根柱形，两柱高度的落差即价值错配的程度。「重要价值客户」两根柱几乎等高且高，而右侧四个「一般」类客群的营收柱明显矮于人数柱，是应当降低人工服务投入的对象。</w:t>
      </w:r>
    </w:p>
    <w:p>
      <w:pPr>
        <w:spacing w:before="120" w:after="20"/>
        <w:jc w:val="center"/>
      </w:pPr>
      <w:r>
        <w:drawing>
          <wp:inline xmlns:a="http://schemas.openxmlformats.org/drawingml/2006/main" xmlns:pic="http://schemas.openxmlformats.org/drawingml/2006/picture">
            <wp:extent cx="5400000" cy="2555132"/>
            <wp:docPr id="9" name="Picture 9"/>
            <wp:cNvGraphicFramePr>
              <a:graphicFrameLocks noChangeAspect="1"/>
            </wp:cNvGraphicFramePr>
            <a:graphic>
              <a:graphicData uri="http://schemas.openxmlformats.org/drawingml/2006/picture">
                <pic:pic>
                  <pic:nvPicPr>
                    <pic:cNvPr id="0" name="fig34_kmeans_clusters.png"/>
                    <pic:cNvPicPr/>
                  </pic:nvPicPr>
                  <pic:blipFill>
                    <a:blip r:embed="rId17"/>
                    <a:stretch>
                      <a:fillRect/>
                    </a:stretch>
                  </pic:blipFill>
                  <pic:spPr>
                    <a:xfrm>
                      <a:off x="0" y="0"/>
                      <a:ext cx="5400000" cy="2555132"/>
                    </a:xfrm>
                    <a:prstGeom prst="rect"/>
                  </pic:spPr>
                </pic:pic>
              </a:graphicData>
            </a:graphic>
          </wp:inline>
        </w:drawing>
      </w:r>
    </w:p>
    <w:p>
      <w:pPr>
        <w:spacing w:after="160"/>
        <w:jc w:val="center"/>
      </w:pPr>
      <w:r>
        <w:rPr>
          <w:rFonts w:ascii="Times New Roman" w:hAnsi="Times New Roman" w:eastAsia="宋体"/>
          <w:color w:val="000000"/>
          <w:sz w:val="21"/>
        </w:rPr>
        <w:t>图 6-2  K-Means 客户分群画像（fig34）</w:t>
      </w:r>
    </w:p>
    <w:p>
      <w:pPr>
        <w:spacing w:line="360" w:lineRule="auto" w:after="80"/>
        <w:ind w:firstLine="480"/>
        <w:jc w:val="both"/>
      </w:pPr>
      <w:r>
        <w:rPr>
          <w:rFonts w:ascii="Times New Roman" w:hAnsi="Times New Roman" w:eastAsia="宋体"/>
          <w:b w:val="0"/>
          <w:color w:val="000000"/>
          <w:sz w:val="24"/>
        </w:rPr>
        <w:t>图 6-2 是 K-Means 分群在 R-F-M 三维空间的投影与簇画像对比。算法在无监督条件下自动切出的两个簇，与 RFM 人工八分类的结论高度吻合——这构成了对 RFM 结果的</w:t>
      </w:r>
      <w:r>
        <w:rPr>
          <w:rFonts w:ascii="Times New Roman" w:hAnsi="Times New Roman" w:eastAsia="宋体"/>
          <w:b/>
          <w:color w:val="000000"/>
          <w:sz w:val="24"/>
        </w:rPr>
        <w:t>独立交叉验证</w:t>
      </w:r>
      <w:r>
        <w:rPr>
          <w:rFonts w:ascii="Times New Roman" w:hAnsi="Times New Roman" w:eastAsia="宋体"/>
          <w:b w:val="0"/>
          <w:color w:val="000000"/>
          <w:sz w:val="24"/>
        </w:rPr>
        <w:t>：两种完全不同的方法指向同一个结论，说明客户价值集中的判断是稳健的，而非中位数切分阈值选择的偶然产物。</w:t>
      </w:r>
    </w:p>
    <w:p>
      <w:pPr>
        <w:spacing w:line="360" w:lineRule="auto" w:after="80"/>
        <w:ind w:firstLine="480"/>
        <w:jc w:val="both"/>
      </w:pPr>
      <w:r>
        <w:rPr>
          <w:rFonts w:ascii="Times New Roman" w:hAnsi="Times New Roman" w:eastAsia="宋体"/>
          <w:b w:val="0"/>
          <w:color w:val="000000"/>
          <w:sz w:val="24"/>
        </w:rPr>
        <w:t>更有意思的是分界线落在何处。把聚类结果与购买次数交叉可以看到：高价值忠诚群的 1,965 人</w:t>
      </w:r>
      <w:r>
        <w:rPr>
          <w:rFonts w:ascii="Times New Roman" w:hAnsi="Times New Roman" w:eastAsia="宋体"/>
          <w:b/>
          <w:color w:val="000000"/>
          <w:sz w:val="24"/>
        </w:rPr>
        <w:t>全部</w:t>
      </w:r>
      <w:r>
        <w:rPr>
          <w:rFonts w:ascii="Times New Roman" w:hAnsi="Times New Roman" w:eastAsia="宋体"/>
          <w:b w:val="0"/>
          <w:color w:val="000000"/>
          <w:sz w:val="24"/>
        </w:rPr>
        <w:t>购买过 2 次及以上，沉睡流失群的 1,761 人</w:t>
      </w:r>
      <w:r>
        <w:rPr>
          <w:rFonts w:ascii="Times New Roman" w:hAnsi="Times New Roman" w:eastAsia="宋体"/>
          <w:b/>
          <w:color w:val="000000"/>
          <w:sz w:val="24"/>
        </w:rPr>
        <w:t>全部</w:t>
      </w:r>
      <w:r>
        <w:rPr>
          <w:rFonts w:ascii="Times New Roman" w:hAnsi="Times New Roman" w:eastAsia="宋体"/>
          <w:b w:val="0"/>
          <w:color w:val="000000"/>
          <w:sz w:val="24"/>
        </w:rPr>
        <w:t>只购买过 1 次，无一个例外。也就是说，无监督算法自动切出的分界精确地落在「是否完成第 2 次购买」上，而 1,965 ÷ 3,726 = 52.74%，与 §5.4 复购漏斗独立算出的复购率完全一致。这把两个原本独立的分析串成了一个连贯的因果链：</w:t>
      </w:r>
      <w:r>
        <w:rPr>
          <w:rFonts w:ascii="Times New Roman" w:hAnsi="Times New Roman" w:eastAsia="宋体"/>
          <w:b/>
          <w:color w:val="000000"/>
          <w:sz w:val="24"/>
        </w:rPr>
        <w:t>首购后能否转化为复购，是客户价值的分水岭</w:t>
      </w:r>
      <w:r>
        <w:rPr>
          <w:rFonts w:ascii="Times New Roman" w:hAnsi="Times New Roman" w:eastAsia="宋体"/>
          <w:b w:val="0"/>
          <w:color w:val="000000"/>
          <w:sz w:val="24"/>
        </w:rPr>
        <w:t>——跨过去则平均消费 2,201 英镑、贡献 87.30% 营收，跨不过去则平均消费仅 357 英镑、平均 330 天未再下单。这一发现直接对应 §6.3 建议五「分层召回沉睡客群」的优先级设定。</w:t>
      </w:r>
    </w:p>
    <w:p>
      <w:pPr>
        <w:spacing w:line="360" w:lineRule="auto" w:after="80"/>
        <w:ind w:firstLine="480"/>
        <w:jc w:val="both"/>
      </w:pPr>
      <w:r>
        <w:rPr>
          <w:rFonts w:ascii="Times New Roman" w:hAnsi="Times New Roman" w:eastAsia="宋体"/>
          <w:b/>
          <w:color w:val="000000"/>
          <w:sz w:val="24"/>
        </w:rPr>
        <w:t>解读三：留存断崖发生在第 2 个月，但留存住的客户极稳定。</w:t>
      </w:r>
      <w:r>
        <w:rPr>
          <w:rFonts w:ascii="Times New Roman" w:hAnsi="Times New Roman" w:eastAsia="宋体"/>
          <w:b w:val="0"/>
          <w:color w:val="000000"/>
          <w:sz w:val="24"/>
        </w:rPr>
        <w:t xml:space="preserve"> 首月到次月留存率从 100% 跌到 10.65%，这个断崖是自然的——礼品家居属于低频消费品，大量客户是「买一次就不再来」的一次性客。真正有价值的信号是：越过第 2 个月后留存率不再下降，长期稳定在 9%~12%，且第 16 个月之后回升到 12% 以上。这说明留存下来的客户是被产品黏住的，运营的目标应是「提高断崖前的转化率」，而不是「挽救已经流失的客户」。</w:t>
      </w:r>
    </w:p>
    <w:p>
      <w:pPr>
        <w:spacing w:line="360" w:lineRule="auto" w:after="80"/>
        <w:ind w:firstLine="480"/>
        <w:jc w:val="both"/>
      </w:pPr>
      <w:r>
        <w:rPr>
          <w:rFonts w:ascii="Times New Roman" w:hAnsi="Times New Roman" w:eastAsia="宋体"/>
          <w:b/>
          <w:color w:val="000000"/>
          <w:sz w:val="24"/>
        </w:rPr>
        <w:t>解读四：品类存在明确的季节性与结构性机会。</w:t>
      </w:r>
      <w:r>
        <w:rPr>
          <w:rFonts w:ascii="Times New Roman" w:hAnsi="Times New Roman" w:eastAsia="宋体"/>
          <w:b w:val="0"/>
          <w:color w:val="000000"/>
          <w:sz w:val="24"/>
        </w:rPr>
        <w:t xml:space="preserve"> 圣诞季品类同比增速 40.61%、派对品类 50.52%，增速惊人但当前份额很小；反之，珠宝配饰同比下滑 48.27%、园艺户外下滑 29.77%，属于应该收缩的品类。同时，TOP1 单品为 REGENCY CAKESTAND 3 TIER（三层蛋糕架，销售额 100,732 英镑），与白色挂式心形烛台、复古大号购物袋共同构成热销组合。</w:t>
      </w:r>
    </w:p>
    <w:p>
      <w:pPr>
        <w:spacing w:line="360" w:lineRule="auto" w:after="80"/>
        <w:ind w:firstLine="480"/>
        <w:jc w:val="both"/>
      </w:pPr>
      <w:r>
        <w:rPr>
          <w:rFonts w:ascii="Times New Roman" w:hAnsi="Times New Roman" w:eastAsia="宋体"/>
          <w:b/>
          <w:color w:val="000000"/>
          <w:sz w:val="24"/>
        </w:rPr>
        <w:t>解读五：关联规则可直接转化为陈列与推荐。</w:t>
      </w:r>
      <w:r>
        <w:rPr>
          <w:rFonts w:ascii="Times New Roman" w:hAnsi="Times New Roman" w:eastAsia="宋体"/>
          <w:b w:val="0"/>
          <w:color w:val="000000"/>
          <w:sz w:val="24"/>
        </w:rPr>
        <w:t xml:space="preserve"> 最强规则的提升度高达 16.11，例如购买「PAPER CHAIN KIT 50'S CHRISTMAS + 60 CAKE CASES VINTAGE」的订单中，77.97% 会同时购买「PAPER CHAIN KIT VINTAGE」；购买「ROSES REGENCY TEACUP」的订单中，71.18% 会同时购买「GREEN REGENCY TEACUP」。这些是同系列茶具与节庆装饰的强关联，可直接用于捆绑销售。</w:t>
      </w:r>
    </w:p>
    <w:p>
      <w:pPr>
        <w:spacing w:before="120" w:after="20"/>
        <w:jc w:val="center"/>
      </w:pPr>
      <w:r>
        <w:drawing>
          <wp:inline xmlns:a="http://schemas.openxmlformats.org/drawingml/2006/main" xmlns:pic="http://schemas.openxmlformats.org/drawingml/2006/picture">
            <wp:extent cx="5400000" cy="3151817"/>
            <wp:docPr id="10" name="Picture 10"/>
            <wp:cNvGraphicFramePr>
              <a:graphicFrameLocks noChangeAspect="1"/>
            </wp:cNvGraphicFramePr>
            <a:graphic>
              <a:graphicData uri="http://schemas.openxmlformats.org/drawingml/2006/picture">
                <pic:pic>
                  <pic:nvPicPr>
                    <pic:cNvPr id="0" name="fig30_apriori_rules_scatter.png"/>
                    <pic:cNvPicPr/>
                  </pic:nvPicPr>
                  <pic:blipFill>
                    <a:blip r:embed="rId18"/>
                    <a:stretch>
                      <a:fillRect/>
                    </a:stretch>
                  </pic:blipFill>
                  <pic:spPr>
                    <a:xfrm>
                      <a:off x="0" y="0"/>
                      <a:ext cx="5400000" cy="3151817"/>
                    </a:xfrm>
                    <a:prstGeom prst="rect"/>
                  </pic:spPr>
                </pic:pic>
              </a:graphicData>
            </a:graphic>
          </wp:inline>
        </w:drawing>
      </w:r>
    </w:p>
    <w:p>
      <w:pPr>
        <w:spacing w:after="160"/>
        <w:jc w:val="center"/>
      </w:pPr>
      <w:r>
        <w:rPr>
          <w:rFonts w:ascii="Times New Roman" w:hAnsi="Times New Roman" w:eastAsia="宋体"/>
          <w:color w:val="000000"/>
          <w:sz w:val="21"/>
        </w:rPr>
        <w:t>图 6-3  关联规则：支持度 × 置信度 × 提升度（fig30）</w:t>
      </w:r>
    </w:p>
    <w:p>
      <w:pPr>
        <w:spacing w:line="360" w:lineRule="auto" w:after="80"/>
        <w:ind w:firstLine="480"/>
        <w:jc w:val="both"/>
      </w:pPr>
      <w:r>
        <w:rPr>
          <w:rFonts w:ascii="Times New Roman" w:hAnsi="Times New Roman" w:eastAsia="宋体"/>
          <w:b w:val="0"/>
          <w:color w:val="000000"/>
          <w:sz w:val="24"/>
        </w:rPr>
        <w:t>图 6-3 将 3,866 条规则投影为散点，横轴支持度、纵轴置信度、颜色深浅表示提升度。落在右上方且颜色最深的点，是「既常见、又可靠、还强关联」的黄金规则，应优先落地；而左上方高置信度但低支持度的点，虽然命中率高，因覆盖订单太少而不具备规模推广价值。</w:t>
      </w:r>
    </w:p>
    <w:p>
      <w:pPr>
        <w:spacing w:before="120" w:after="20"/>
        <w:jc w:val="center"/>
      </w:pPr>
      <w:r>
        <w:drawing>
          <wp:inline xmlns:a="http://schemas.openxmlformats.org/drawingml/2006/main" xmlns:pic="http://schemas.openxmlformats.org/drawingml/2006/picture">
            <wp:extent cx="5400000" cy="3369345"/>
            <wp:docPr id="11" name="Picture 11"/>
            <wp:cNvGraphicFramePr>
              <a:graphicFrameLocks noChangeAspect="1"/>
            </wp:cNvGraphicFramePr>
            <a:graphic>
              <a:graphicData uri="http://schemas.openxmlformats.org/drawingml/2006/picture">
                <pic:pic>
                  <pic:nvPicPr>
                    <pic:cNvPr id="0" name="fig35_repurchase_funnel.png"/>
                    <pic:cNvPicPr/>
                  </pic:nvPicPr>
                  <pic:blipFill>
                    <a:blip r:embed="rId19"/>
                    <a:stretch>
                      <a:fillRect/>
                    </a:stretch>
                  </pic:blipFill>
                  <pic:spPr>
                    <a:xfrm>
                      <a:off x="0" y="0"/>
                      <a:ext cx="5400000" cy="3369345"/>
                    </a:xfrm>
                    <a:prstGeom prst="rect"/>
                  </pic:spPr>
                </pic:pic>
              </a:graphicData>
            </a:graphic>
          </wp:inline>
        </w:drawing>
      </w:r>
    </w:p>
    <w:p>
      <w:pPr>
        <w:spacing w:after="160"/>
        <w:jc w:val="center"/>
      </w:pPr>
      <w:r>
        <w:rPr>
          <w:rFonts w:ascii="Times New Roman" w:hAnsi="Times New Roman" w:eastAsia="宋体"/>
          <w:color w:val="000000"/>
          <w:sz w:val="21"/>
        </w:rPr>
        <w:t>图 6-4  五级复购转化漏斗（fig35）</w:t>
      </w:r>
    </w:p>
    <w:p>
      <w:pPr>
        <w:spacing w:line="360" w:lineRule="auto" w:after="80"/>
        <w:ind w:firstLine="480"/>
        <w:jc w:val="both"/>
      </w:pPr>
      <w:r>
        <w:rPr>
          <w:rFonts w:ascii="Times New Roman" w:hAnsi="Times New Roman" w:eastAsia="宋体"/>
          <w:b w:val="0"/>
          <w:color w:val="000000"/>
          <w:sz w:val="24"/>
        </w:rPr>
        <w:t>图 6-4 的漏斗揭示了复购路径上的两道闸门：3,726 位客户中仅 1,965 位（52.74%）完成第 2 次购买，这是第一道也是最陡的闸门；但一旦跨过第 3 次（1,223 位），后续转化率反而逐级上升（62.24% → 63.37% → 69.03%），最终 535 位成为 5 次以上的忠诚客户。这印证了第 5.3 节留存曲线的判断：</w:t>
      </w:r>
      <w:r>
        <w:rPr>
          <w:rFonts w:ascii="Times New Roman" w:hAnsi="Times New Roman" w:eastAsia="宋体"/>
          <w:b/>
          <w:color w:val="000000"/>
          <w:sz w:val="24"/>
        </w:rPr>
        <w:t>真正的瓶颈在第 2 次购买</w:t>
      </w:r>
      <w:r>
        <w:rPr>
          <w:rFonts w:ascii="Times New Roman" w:hAnsi="Times New Roman" w:eastAsia="宋体"/>
          <w:b w:val="0"/>
          <w:color w:val="000000"/>
          <w:sz w:val="24"/>
        </w:rPr>
        <w:t>，把营销资源投在首购后的 30 天内促二次购买，边际收益最高。</w:t>
      </w:r>
    </w:p>
    <w:p>
      <w:pPr>
        <w:spacing w:line="360" w:lineRule="auto" w:after="80"/>
        <w:ind w:firstLine="480"/>
        <w:jc w:val="both"/>
      </w:pPr>
      <w:r>
        <w:rPr>
          <w:rFonts w:ascii="Times New Roman" w:hAnsi="Times New Roman" w:eastAsia="宋体"/>
          <w:b/>
          <w:color w:val="000000"/>
          <w:sz w:val="24"/>
        </w:rPr>
        <w:t>解读六：流失预警能做与不能做的边界同样清晰。</w:t>
      </w:r>
      <w:r>
        <w:rPr>
          <w:rFonts w:ascii="Times New Roman" w:hAnsi="Times New Roman" w:eastAsia="宋体"/>
          <w:b w:val="0"/>
          <w:color w:val="000000"/>
          <w:sz w:val="24"/>
        </w:rPr>
        <w:t xml:space="preserve"> M10 模型在 3,255 位客户上训练，时间外 AUC 0.7439。但真正有信息量的不是这个数字，而是它把「可预测」与「不可预测」划出了一条清楚的界线（图 6-5 与表 4-8）。</w:t>
      </w:r>
    </w:p>
    <w:p>
      <w:pPr>
        <w:spacing w:before="120" w:after="20"/>
        <w:jc w:val="center"/>
      </w:pPr>
      <w:r>
        <w:drawing>
          <wp:inline xmlns:a="http://schemas.openxmlformats.org/drawingml/2006/main" xmlns:pic="http://schemas.openxmlformats.org/drawingml/2006/picture">
            <wp:extent cx="5400000" cy="2185623"/>
            <wp:docPr id="12" name="Picture 12"/>
            <wp:cNvGraphicFramePr>
              <a:graphicFrameLocks noChangeAspect="1"/>
            </wp:cNvGraphicFramePr>
            <a:graphic>
              <a:graphicData uri="http://schemas.openxmlformats.org/drawingml/2006/picture">
                <pic:pic>
                  <pic:nvPicPr>
                    <pic:cNvPr id="0" name="fig36_churn_diagnostics.png"/>
                    <pic:cNvPicPr/>
                  </pic:nvPicPr>
                  <pic:blipFill>
                    <a:blip r:embed="rId20"/>
                    <a:stretch>
                      <a:fillRect/>
                    </a:stretch>
                  </pic:blipFill>
                  <pic:spPr>
                    <a:xfrm>
                      <a:off x="0" y="0"/>
                      <a:ext cx="5400000" cy="2185623"/>
                    </a:xfrm>
                    <a:prstGeom prst="rect"/>
                  </pic:spPr>
                </pic:pic>
              </a:graphicData>
            </a:graphic>
          </wp:inline>
        </w:drawing>
      </w:r>
    </w:p>
    <w:p>
      <w:pPr>
        <w:spacing w:after="160"/>
        <w:jc w:val="center"/>
      </w:pPr>
      <w:r>
        <w:rPr>
          <w:rFonts w:ascii="Times New Roman" w:hAnsi="Times New Roman" w:eastAsia="宋体"/>
          <w:color w:val="000000"/>
          <w:sz w:val="21"/>
        </w:rPr>
        <w:t>图 6-5  流失预警模型诊断：ROC、十分位区分度与系数方向（fig36）</w:t>
      </w:r>
    </w:p>
    <w:p>
      <w:pPr>
        <w:spacing w:line="360" w:lineRule="auto" w:after="80"/>
        <w:ind w:firstLine="480"/>
        <w:jc w:val="both"/>
      </w:pPr>
      <w:r>
        <w:rPr>
          <w:rFonts w:ascii="Times New Roman" w:hAnsi="Times New Roman" w:eastAsia="宋体"/>
          <w:b w:val="0"/>
          <w:color w:val="000000"/>
          <w:sz w:val="24"/>
        </w:rPr>
        <w:t>图 6-5 的三个面板分别回答三个问题。(a) 中实线（5 折交叉验证）与虚线（时间外验证）几乎重合，说明换个时间窗口判别力不下降，模型学到的是稳定规律而非某一窗口的噪声。(b) 是十分位实际流失率：从第 10 分位的 91.72% 单调降至第 1 分位的 32.52%，与全样本流失率 74.22% 形成清晰梯度——排序能力成立。但绿色累积捕捉率线与灰色随机基线几乎贴合，触达前 20% 客户只覆盖 23.97% 的真实流失（累积提升度 1.198×），这正说明仅凭概率高低圈定触达名单的收益有限，必须结合客户价值判断（见图 6-6 与表 4-10）。(c) 中 14 个特征的系数方向与业务先验一致：距末次购买越久（Recency，+0.26）、购买频次越低（Frequency，−0.22）、累计消费越少（Monetary，−0.17），流失概率越高。模型没有学到任何反常识的结论，这本身也是可信度的一种佐证。</w:t>
      </w:r>
    </w:p>
    <w:p>
      <w:pPr>
        <w:spacing w:before="120" w:after="20"/>
        <w:jc w:val="center"/>
      </w:pPr>
      <w:r>
        <w:drawing>
          <wp:inline xmlns:a="http://schemas.openxmlformats.org/drawingml/2006/main" xmlns:pic="http://schemas.openxmlformats.org/drawingml/2006/picture">
            <wp:extent cx="5400000" cy="3411726"/>
            <wp:docPr id="13" name="Picture 13"/>
            <wp:cNvGraphicFramePr>
              <a:graphicFrameLocks noChangeAspect="1"/>
            </wp:cNvGraphicFramePr>
            <a:graphic>
              <a:graphicData uri="http://schemas.openxmlformats.org/drawingml/2006/picture">
                <pic:pic>
                  <pic:nvPicPr>
                    <pic:cNvPr id="0" name="fig37_churn_value_scatter.png"/>
                    <pic:cNvPicPr/>
                  </pic:nvPicPr>
                  <pic:blipFill>
                    <a:blip r:embed="rId21"/>
                    <a:stretch>
                      <a:fillRect/>
                    </a:stretch>
                  </pic:blipFill>
                  <pic:spPr>
                    <a:xfrm>
                      <a:off x="0" y="0"/>
                      <a:ext cx="5400000" cy="3411726"/>
                    </a:xfrm>
                    <a:prstGeom prst="rect"/>
                  </pic:spPr>
                </pic:pic>
              </a:graphicData>
            </a:graphic>
          </wp:inline>
        </w:drawing>
      </w:r>
    </w:p>
    <w:p>
      <w:pPr>
        <w:spacing w:after="160"/>
        <w:jc w:val="center"/>
      </w:pPr>
      <w:r>
        <w:rPr>
          <w:rFonts w:ascii="Times New Roman" w:hAnsi="Times New Roman" w:eastAsia="宋体"/>
          <w:color w:val="000000"/>
          <w:sz w:val="21"/>
        </w:rPr>
        <w:t>图 6-6  客户价值 × 流失概率全景与预警名单定位（fig37）</w:t>
      </w:r>
    </w:p>
    <w:p>
      <w:pPr>
        <w:spacing w:line="360" w:lineRule="auto" w:after="80"/>
        <w:ind w:firstLine="480"/>
        <w:jc w:val="both"/>
      </w:pPr>
      <w:r>
        <w:rPr>
          <w:rFonts w:ascii="Times New Roman" w:hAnsi="Times New Roman" w:eastAsia="宋体"/>
          <w:b w:val="0"/>
          <w:color w:val="000000"/>
          <w:sz w:val="24"/>
        </w:rPr>
        <w:t>图 6-6 把 3,255 位客户投到「历史价值 × 流失概率」平面上，并用中位数切成四个决策象限。红圈标出的 40 位是期望损失（流失概率 × 历史消费）最高的客户，他们集中在右上方「高价值 · 高风险」象限——既有钱、又危险。值得警惕的是右下象限：这批客户流失概率虽低，但单客价值极高（最高的几位历史消费超过 10 万英镑），一旦流失损失巨大，应纳入重点维护而非预警名单。最终预警名单按期望损失排序取前 300 位，合计期望损失 365,989 英镑，相当于观测窗总营收的 9.12%。</w:t>
      </w:r>
    </w:p>
    <w:p>
      <w:pPr>
        <w:keepNext/>
        <w:spacing w:line="360" w:lineRule="auto" w:before="100" w:after="80"/>
        <w:outlineLvl w:val="1"/>
      </w:pPr>
      <w:r>
        <w:rPr>
          <w:rFonts w:ascii="Times New Roman" w:hAnsi="Times New Roman" w:eastAsia="黑体"/>
          <w:b/>
          <w:color w:val="000000"/>
          <w:sz w:val="24"/>
        </w:rPr>
        <w:t>6.3 商业建议</w:t>
      </w:r>
    </w:p>
    <w:p>
      <w:pPr>
        <w:spacing w:line="360" w:lineRule="auto" w:after="80"/>
        <w:ind w:firstLine="480"/>
        <w:jc w:val="both"/>
      </w:pPr>
      <w:r>
        <w:rPr>
          <w:rFonts w:ascii="Times New Roman" w:hAnsi="Times New Roman" w:eastAsia="宋体"/>
          <w:b w:val="0"/>
          <w:color w:val="000000"/>
          <w:sz w:val="24"/>
        </w:rPr>
        <w:t>基于上述结果与模型证据，提出 5 条核心商业建议——均为可在中短期内排期执行的具体动作，每条都直接对应某一个模型的输出证据；另附 1 条战略性延伸建议，因其见效周期以年计、且不属于运营层面的即时决策，故单列于最后。所有建议的落地优先级与效果度量口径见表 6-1，以避免「有洞察、无抓手」的分析空转。</w:t>
      </w:r>
    </w:p>
    <w:p>
      <w:pPr>
        <w:spacing w:line="360" w:lineRule="auto" w:after="60"/>
        <w:ind w:left="480" w:hanging="240"/>
      </w:pPr>
      <w:r>
        <w:rPr>
          <w:rFonts w:ascii="Times New Roman" w:hAnsi="Times New Roman" w:eastAsia="宋体"/>
          <w:b/>
          <w:color w:val="000000"/>
          <w:sz w:val="24"/>
        </w:rPr>
        <w:t>建议一：对 1,069 位「重要价值客户」实行专属化运营。</w:t>
      </w:r>
      <w:r>
        <w:rPr>
          <w:rFonts w:ascii="Times New Roman" w:hAnsi="Times New Roman" w:eastAsia="宋体"/>
          <w:b w:val="0"/>
          <w:color w:val="000000"/>
          <w:sz w:val="24"/>
        </w:rPr>
        <w:t xml:space="preserve"> 他们以 28.69% 的人数贡献 69.99% 营收，人均年贡献 3,244 英镑。建议为其配备专属客户经理、优先发货与新品尝鲜权，并将营销预算的 60% 以上投向这一群体。预期效果：该群体留存率每提升 1 个百分点，可保住约 3.5 万英镑年营收。</w:t>
      </w:r>
    </w:p>
    <w:p>
      <w:pPr>
        <w:spacing w:line="360" w:lineRule="auto" w:after="60"/>
        <w:ind w:left="480" w:hanging="240"/>
      </w:pPr>
      <w:r>
        <w:rPr>
          <w:rFonts w:ascii="Times New Roman" w:hAnsi="Times New Roman" w:eastAsia="宋体"/>
          <w:b/>
          <w:color w:val="000000"/>
          <w:sz w:val="24"/>
        </w:rPr>
        <w:t>建议二：按 ABC 分类重构库存资金配置。</w:t>
      </w:r>
      <w:r>
        <w:rPr>
          <w:rFonts w:ascii="Times New Roman" w:hAnsi="Times New Roman" w:eastAsia="宋体"/>
          <w:b w:val="0"/>
          <w:color w:val="000000"/>
          <w:sz w:val="24"/>
        </w:rPr>
        <w:t xml:space="preserve"> A 类 1,135 个 SKU（22.42%）贡献 80% 销售额，应保证高现货率与安全库存；C 类 2,593 个 SKU（51.22%）仅贡献 5%，应转为按单采购或直接下架，释放占用的仓储与资金。预计可将库存周转效率提升 30% 以上，且不影响 80% 的营收盘子。</w:t>
      </w:r>
    </w:p>
    <w:p>
      <w:pPr>
        <w:spacing w:line="360" w:lineRule="auto" w:after="60"/>
        <w:ind w:left="480" w:hanging="240"/>
      </w:pPr>
      <w:r>
        <w:rPr>
          <w:rFonts w:ascii="Times New Roman" w:hAnsi="Times New Roman" w:eastAsia="宋体"/>
          <w:b/>
          <w:color w:val="000000"/>
          <w:sz w:val="24"/>
        </w:rPr>
        <w:t>建议三：把关联规则落地为「组合陈列 + 捆绑优惠」。</w:t>
      </w:r>
      <w:r>
        <w:rPr>
          <w:rFonts w:ascii="Times New Roman" w:hAnsi="Times New Roman" w:eastAsia="宋体"/>
          <w:b w:val="0"/>
          <w:color w:val="000000"/>
          <w:sz w:val="24"/>
        </w:rPr>
        <w:t xml:space="preserve"> 以茶具系列（REGENCY 茶杯/茶托/蛋糕架）与节庆装饰（PAPER CHAIN 系列）为核心，在商品详情页设置「经常一起购买」模块，并对提升度 &gt; 10 的组合推出满减套装。依据：相关规则提升度达 14.79~16.11，置信度最高 80%，远高于随机共现水平，转化确定性高。</w:t>
      </w:r>
    </w:p>
    <w:p>
      <w:pPr>
        <w:spacing w:line="360" w:lineRule="auto" w:after="60"/>
        <w:ind w:left="480" w:hanging="240"/>
      </w:pPr>
      <w:r>
        <w:rPr>
          <w:rFonts w:ascii="Times New Roman" w:hAnsi="Times New Roman" w:eastAsia="宋体"/>
          <w:b/>
          <w:color w:val="000000"/>
          <w:sz w:val="24"/>
        </w:rPr>
        <w:t>建议四：圣诞备货基于预测提前 8 周启动，并利用 95% 置信区间设定安全库存。</w:t>
      </w:r>
      <w:r>
        <w:rPr>
          <w:rFonts w:ascii="Times New Roman" w:hAnsi="Times New Roman" w:eastAsia="宋体"/>
          <w:b w:val="0"/>
          <w:color w:val="000000"/>
          <w:sz w:val="24"/>
        </w:rPr>
        <w:t xml:space="preserve"> 模型显示 9—11 月为销售高峰（2011 年 11 月达 42.05 万英镑，为全年峰值），且圣诞与派对品类同比增速达 40.61% 与 50.52%。建议以预测点上界（CI95_Upper）作为备货上限、点预测作为基准采购量，既避免断货损失，也避免过量积压。</w:t>
      </w:r>
    </w:p>
    <w:p>
      <w:pPr>
        <w:spacing w:line="360" w:lineRule="auto" w:after="60"/>
        <w:ind w:left="480" w:hanging="240"/>
      </w:pPr>
      <w:r>
        <w:rPr>
          <w:rFonts w:ascii="Times New Roman" w:hAnsi="Times New Roman" w:eastAsia="宋体"/>
          <w:b/>
          <w:color w:val="000000"/>
          <w:sz w:val="24"/>
        </w:rPr>
        <w:t>建议五：分层召回沉睡客群，控制投入产出比。</w:t>
      </w:r>
      <w:r>
        <w:rPr>
          <w:rFonts w:ascii="Times New Roman" w:hAnsi="Times New Roman" w:eastAsia="宋体"/>
          <w:b w:val="0"/>
          <w:color w:val="000000"/>
          <w:sz w:val="24"/>
        </w:rPr>
        <w:t xml:space="preserve"> K-Means 给出了一个可直接执行的名单：1,761 位「沉睡流失群」客户</w:t>
      </w:r>
      <w:r>
        <w:rPr>
          <w:rFonts w:ascii="Times New Roman" w:hAnsi="Times New Roman" w:eastAsia="宋体"/>
          <w:b/>
          <w:color w:val="000000"/>
          <w:sz w:val="24"/>
        </w:rPr>
        <w:t>无一例外只购买过 1 次</w:t>
      </w:r>
      <w:r>
        <w:rPr>
          <w:rFonts w:ascii="Times New Roman" w:hAnsi="Times New Roman" w:eastAsia="宋体"/>
          <w:b w:val="0"/>
          <w:color w:val="000000"/>
          <w:sz w:val="24"/>
        </w:rPr>
        <w:t>，人均消费 357 英镑、平均 330 天未再下单。这一群体的边界由无监督算法自动划定、且经 bootstrap 检验完全稳定，可以放心作为召回活动的目标池而无需再人工分层。其中对「一般挽留客户」（人均 223 英镑、平均 463 天未下单）改用低成本的邮件自动化触达，控制单次召回成本在 5 英镑以内；对「重要保持客户」（人均 1,482 英镑、371 天未下单）则值得投入人工回访与定向优惠，因其客单价是前者的 6.6 倍。召回顺序应严格按客单价排序，而非按数量排序。但 §4.3.4 的边界检验提醒了一个重要前提：一次性客户的流失</w:t>
      </w:r>
      <w:r>
        <w:rPr>
          <w:rFonts w:ascii="Times New Roman" w:hAnsi="Times New Roman" w:eastAsia="宋体"/>
          <w:b/>
          <w:color w:val="000000"/>
          <w:sz w:val="24"/>
        </w:rPr>
        <w:t>无法由历史行为预测</w:t>
      </w:r>
      <w:r>
        <w:rPr>
          <w:rFonts w:ascii="Times New Roman" w:hAnsi="Times New Roman" w:eastAsia="宋体"/>
          <w:b w:val="0"/>
          <w:color w:val="000000"/>
          <w:sz w:val="24"/>
        </w:rPr>
        <w:t>（AUC 仅 0.5481），因此针对这批客户的召回不应依赖行为模型筛选，而应改为全量低成本触达（如邮件、短信），把预算留给复购客户中的高期望损失者。M10 预警名单已按「流失概率 × 历史消费」排出前 300 位，合计期望损失 365,989 英镑，可直接作为定向优惠的投放清单。本条建议之所以提到 P1，正因为它同时满足「目标明确、成本低、见效快」三个条件：目标池已由模型划定完毕，无需额外的数据准备工作。</w:t>
      </w:r>
    </w:p>
    <w:p>
      <w:pPr>
        <w:spacing w:line="360" w:lineRule="auto" w:after="60"/>
        <w:ind w:left="480" w:hanging="240"/>
      </w:pPr>
      <w:r>
        <w:rPr>
          <w:rFonts w:ascii="Times New Roman" w:hAnsi="Times New Roman" w:eastAsia="宋体"/>
          <w:b/>
          <w:color w:val="000000"/>
          <w:sz w:val="24"/>
        </w:rPr>
        <w:t>延伸建议：推进市场多元化以对冲单一市场依赖。</w:t>
      </w:r>
      <w:r>
        <w:rPr>
          <w:rFonts w:ascii="Times New Roman" w:hAnsi="Times New Roman" w:eastAsia="宋体"/>
          <w:b w:val="0"/>
          <w:color w:val="000000"/>
          <w:sz w:val="24"/>
        </w:rPr>
        <w:t xml:space="preserve"> 英国占 84.96% 的营收结构使公司暴露于单一市场波动风险，建议优先拓展德国（63 位客户、客单价 492 英镑）与法国（62 位客户、482 英镑）这类客户基数已成规模、客单价健康的邻国市场，而非继续依赖荷兰、爱尔兰的个别大批发商。</w:t>
      </w:r>
    </w:p>
    <w:p>
      <w:pPr>
        <w:spacing w:after="0"/>
      </w:pPr>
    </w:p>
    <w:p>
      <w:pPr>
        <w:spacing w:line="360" w:lineRule="auto" w:after="80"/>
        <w:ind w:firstLine="480"/>
        <w:jc w:val="both"/>
      </w:pPr>
      <w:r>
        <w:rPr>
          <w:rFonts w:ascii="Times New Roman" w:hAnsi="Times New Roman" w:eastAsia="宋体"/>
          <w:b w:val="0"/>
          <w:color w:val="000000"/>
          <w:sz w:val="24"/>
        </w:rPr>
        <w:t>上述 5 条核心建议并非同等重要，也不可能在同一个时间窗内全部启动；延伸建议则属于年度规划层面的战略议题。为使有限的预算与人力获得最高投入产出比，进一步按「投入成本 — 见效速度 — 收益规模」三个维度排序，形成落地优先级矩阵（表 6-1）。</w:t>
      </w:r>
    </w:p>
    <w:p>
      <w:pPr>
        <w:spacing w:after="40"/>
        <w:jc w:val="center"/>
      </w:pPr>
      <w:r>
        <w:rPr>
          <w:rFonts w:ascii="Times New Roman" w:hAnsi="Times New Roman" w:eastAsia="黑体"/>
          <w:color w:val="000000"/>
          <w:sz w:val="21"/>
        </w:rPr>
        <w:t>表 6-1  商业建议落地优先级与效果度量矩阵</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tcPr>
          <w:p>
            <w:pPr>
              <w:jc w:val="center"/>
            </w:pPr>
            <w:r/>
            <w:r>
              <w:rPr>
                <w:rFonts w:ascii="Times New Roman" w:hAnsi="Times New Roman" w:eastAsia="黑体"/>
                <w:b/>
                <w:color w:val="000000"/>
                <w:sz w:val="20"/>
              </w:rPr>
              <w:t>建议</w:t>
            </w:r>
          </w:p>
        </w:tc>
        <w:tc>
          <w:tcPr>
            <w:tcW w:type="dxa" w:w="1746"/>
          </w:tcPr>
          <w:p>
            <w:pPr>
              <w:jc w:val="center"/>
            </w:pPr>
            <w:r/>
            <w:r>
              <w:rPr>
                <w:rFonts w:ascii="Times New Roman" w:hAnsi="Times New Roman" w:eastAsia="黑体"/>
                <w:b/>
                <w:color w:val="000000"/>
                <w:sz w:val="20"/>
              </w:rPr>
              <w:t>核心模型证据</w:t>
            </w:r>
          </w:p>
        </w:tc>
        <w:tc>
          <w:tcPr>
            <w:tcW w:type="dxa" w:w="1746"/>
          </w:tcPr>
          <w:p>
            <w:pPr>
              <w:jc w:val="center"/>
            </w:pPr>
            <w:r/>
            <w:r>
              <w:rPr>
                <w:rFonts w:ascii="Times New Roman" w:hAnsi="Times New Roman" w:eastAsia="黑体"/>
                <w:b/>
                <w:color w:val="000000"/>
                <w:sz w:val="20"/>
              </w:rPr>
              <w:t>量化预期效果</w:t>
            </w:r>
          </w:p>
        </w:tc>
        <w:tc>
          <w:tcPr>
            <w:tcW w:type="dxa" w:w="1746"/>
          </w:tcPr>
          <w:p>
            <w:pPr>
              <w:jc w:val="center"/>
            </w:pPr>
            <w:r/>
            <w:r>
              <w:rPr>
                <w:rFonts w:ascii="Times New Roman" w:hAnsi="Times New Roman" w:eastAsia="黑体"/>
                <w:b/>
                <w:color w:val="000000"/>
                <w:sz w:val="20"/>
              </w:rPr>
              <w:t>优先级</w:t>
            </w:r>
          </w:p>
        </w:tc>
        <w:tc>
          <w:tcPr>
            <w:tcW w:type="dxa" w:w="1746"/>
          </w:tcPr>
          <w:p>
            <w:pPr>
              <w:jc w:val="center"/>
            </w:pPr>
            <w:r/>
            <w:r>
              <w:rPr>
                <w:rFonts w:ascii="Times New Roman" w:hAnsi="Times New Roman" w:eastAsia="黑体"/>
                <w:b/>
                <w:color w:val="000000"/>
                <w:sz w:val="20"/>
              </w:rPr>
              <w:t>效果度量指标（KPI）</w:t>
            </w:r>
          </w:p>
        </w:tc>
      </w:tr>
      <w:tr>
        <w:tc>
          <w:tcPr>
            <w:tcW w:type="dxa" w:w="1746"/>
          </w:tcPr>
          <w:p>
            <w:pPr>
              <w:spacing w:after="20"/>
              <w:jc w:val="center"/>
            </w:pPr>
            <w:r/>
            <w:r>
              <w:rPr>
                <w:rFonts w:ascii="Times New Roman" w:hAnsi="Times New Roman" w:eastAsia="宋体"/>
                <w:color w:val="000000"/>
                <w:sz w:val="20"/>
              </w:rPr>
              <w:t>建议一 · 重要价值客户专属运营</w:t>
            </w:r>
          </w:p>
        </w:tc>
        <w:tc>
          <w:tcPr>
            <w:tcW w:type="dxa" w:w="1746"/>
          </w:tcPr>
          <w:p>
            <w:pPr>
              <w:spacing w:after="20"/>
              <w:jc w:val="left"/>
            </w:pPr>
            <w:r/>
            <w:r>
              <w:rPr>
                <w:rFonts w:ascii="Times New Roman" w:hAnsi="Times New Roman" w:eastAsia="宋体"/>
                <w:color w:val="000000"/>
                <w:sz w:val="20"/>
              </w:rPr>
              <w:t>RFM：1,069 人（28.69%）贡献 69.99% 营收</w:t>
            </w:r>
          </w:p>
        </w:tc>
        <w:tc>
          <w:tcPr>
            <w:tcW w:type="dxa" w:w="1746"/>
          </w:tcPr>
          <w:p>
            <w:pPr>
              <w:spacing w:after="20"/>
              <w:jc w:val="left"/>
            </w:pPr>
            <w:r/>
            <w:r>
              <w:rPr>
                <w:rFonts w:ascii="Times New Roman" w:hAnsi="Times New Roman" w:eastAsia="宋体"/>
                <w:color w:val="000000"/>
                <w:sz w:val="20"/>
              </w:rPr>
              <w:t>该群留存率每 +1pp，约保住 £3.5 万/年营收</w:t>
            </w:r>
          </w:p>
        </w:tc>
        <w:tc>
          <w:tcPr>
            <w:tcW w:type="dxa" w:w="1746"/>
          </w:tcPr>
          <w:p>
            <w:pPr>
              <w:spacing w:after="20"/>
              <w:jc w:val="left"/>
            </w:pPr>
            <w:r/>
            <w:r>
              <w:rPr>
                <w:rFonts w:ascii="Times New Roman" w:hAnsi="Times New Roman" w:eastAsia="宋体"/>
                <w:color w:val="000000"/>
                <w:sz w:val="20"/>
              </w:rPr>
              <w:t>P1</w:t>
            </w:r>
          </w:p>
        </w:tc>
        <w:tc>
          <w:tcPr>
            <w:tcW w:type="dxa" w:w="1746"/>
          </w:tcPr>
          <w:p>
            <w:pPr>
              <w:spacing w:after="20"/>
              <w:jc w:val="left"/>
            </w:pPr>
            <w:r/>
            <w:r>
              <w:rPr>
                <w:rFonts w:ascii="Times New Roman" w:hAnsi="Times New Roman" w:eastAsia="宋体"/>
                <w:color w:val="000000"/>
                <w:sz w:val="20"/>
              </w:rPr>
              <w:t>该群季度留存率、人均年贡献额</w:t>
            </w:r>
          </w:p>
        </w:tc>
      </w:tr>
      <w:tr>
        <w:tc>
          <w:tcPr>
            <w:tcW w:type="dxa" w:w="1746"/>
          </w:tcPr>
          <w:p>
            <w:pPr>
              <w:spacing w:after="20"/>
              <w:jc w:val="center"/>
            </w:pPr>
            <w:r/>
            <w:r>
              <w:rPr>
                <w:rFonts w:ascii="Times New Roman" w:hAnsi="Times New Roman" w:eastAsia="宋体"/>
                <w:color w:val="000000"/>
                <w:sz w:val="20"/>
              </w:rPr>
              <w:t>建议二 · ABC 重构库存资金配置</w:t>
            </w:r>
          </w:p>
        </w:tc>
        <w:tc>
          <w:tcPr>
            <w:tcW w:type="dxa" w:w="1746"/>
          </w:tcPr>
          <w:p>
            <w:pPr>
              <w:spacing w:after="20"/>
              <w:jc w:val="left"/>
            </w:pPr>
            <w:r/>
            <w:r>
              <w:rPr>
                <w:rFonts w:ascii="Times New Roman" w:hAnsi="Times New Roman" w:eastAsia="宋体"/>
                <w:color w:val="000000"/>
                <w:sz w:val="20"/>
              </w:rPr>
              <w:t>帕累托：A 类 22.42% SKU 贡献 80% 销售额</w:t>
            </w:r>
          </w:p>
        </w:tc>
        <w:tc>
          <w:tcPr>
            <w:tcW w:type="dxa" w:w="1746"/>
          </w:tcPr>
          <w:p>
            <w:pPr>
              <w:spacing w:after="20"/>
              <w:jc w:val="left"/>
            </w:pPr>
            <w:r/>
            <w:r>
              <w:rPr>
                <w:rFonts w:ascii="Times New Roman" w:hAnsi="Times New Roman" w:eastAsia="宋体"/>
                <w:color w:val="000000"/>
                <w:sz w:val="20"/>
              </w:rPr>
              <w:t>库存周转效率 +30% 以上，不影响 80% 营收盘子</w:t>
            </w:r>
          </w:p>
        </w:tc>
        <w:tc>
          <w:tcPr>
            <w:tcW w:type="dxa" w:w="1746"/>
          </w:tcPr>
          <w:p>
            <w:pPr>
              <w:spacing w:after="20"/>
              <w:jc w:val="left"/>
            </w:pPr>
            <w:r/>
            <w:r>
              <w:rPr>
                <w:rFonts w:ascii="Times New Roman" w:hAnsi="Times New Roman" w:eastAsia="宋体"/>
                <w:color w:val="000000"/>
                <w:sz w:val="20"/>
              </w:rPr>
              <w:t>P1</w:t>
            </w:r>
          </w:p>
        </w:tc>
        <w:tc>
          <w:tcPr>
            <w:tcW w:type="dxa" w:w="1746"/>
          </w:tcPr>
          <w:p>
            <w:pPr>
              <w:spacing w:after="20"/>
              <w:jc w:val="left"/>
            </w:pPr>
            <w:r/>
            <w:r>
              <w:rPr>
                <w:rFonts w:ascii="Times New Roman" w:hAnsi="Times New Roman" w:eastAsia="宋体"/>
                <w:color w:val="000000"/>
                <w:sz w:val="20"/>
              </w:rPr>
              <w:t>A 类现货率/缺货率、C 类 SKU 占比</w:t>
            </w:r>
          </w:p>
        </w:tc>
      </w:tr>
      <w:tr>
        <w:tc>
          <w:tcPr>
            <w:tcW w:type="dxa" w:w="1746"/>
          </w:tcPr>
          <w:p>
            <w:pPr>
              <w:spacing w:after="20"/>
              <w:jc w:val="center"/>
            </w:pPr>
            <w:r/>
            <w:r>
              <w:rPr>
                <w:rFonts w:ascii="Times New Roman" w:hAnsi="Times New Roman" w:eastAsia="宋体"/>
                <w:color w:val="000000"/>
                <w:sz w:val="20"/>
              </w:rPr>
              <w:t>建议三 · 组合陈列 + 捆绑优惠</w:t>
            </w:r>
          </w:p>
        </w:tc>
        <w:tc>
          <w:tcPr>
            <w:tcW w:type="dxa" w:w="1746"/>
          </w:tcPr>
          <w:p>
            <w:pPr>
              <w:spacing w:after="20"/>
              <w:jc w:val="left"/>
            </w:pPr>
            <w:r/>
            <w:r>
              <w:rPr>
                <w:rFonts w:ascii="Times New Roman" w:hAnsi="Times New Roman" w:eastAsia="宋体"/>
                <w:color w:val="000000"/>
                <w:sz w:val="20"/>
              </w:rPr>
              <w:t>Apriori：3,866 条规则，最强提升度 16.11</w:t>
            </w:r>
          </w:p>
        </w:tc>
        <w:tc>
          <w:tcPr>
            <w:tcW w:type="dxa" w:w="1746"/>
          </w:tcPr>
          <w:p>
            <w:pPr>
              <w:spacing w:after="20"/>
              <w:jc w:val="left"/>
            </w:pPr>
            <w:r/>
            <w:r>
              <w:rPr>
                <w:rFonts w:ascii="Times New Roman" w:hAnsi="Times New Roman" w:eastAsia="宋体"/>
                <w:color w:val="000000"/>
                <w:sz w:val="20"/>
              </w:rPr>
              <w:t>提升连带率与客单价，转化确定性高于随机推荐</w:t>
            </w:r>
          </w:p>
        </w:tc>
        <w:tc>
          <w:tcPr>
            <w:tcW w:type="dxa" w:w="1746"/>
          </w:tcPr>
          <w:p>
            <w:pPr>
              <w:spacing w:after="20"/>
              <w:jc w:val="left"/>
            </w:pPr>
            <w:r/>
            <w:r>
              <w:rPr>
                <w:rFonts w:ascii="Times New Roman" w:hAnsi="Times New Roman" w:eastAsia="宋体"/>
                <w:color w:val="000000"/>
                <w:sz w:val="20"/>
              </w:rPr>
              <w:t>P2</w:t>
            </w:r>
          </w:p>
        </w:tc>
        <w:tc>
          <w:tcPr>
            <w:tcW w:type="dxa" w:w="1746"/>
          </w:tcPr>
          <w:p>
            <w:pPr>
              <w:spacing w:after="20"/>
              <w:jc w:val="left"/>
            </w:pPr>
            <w:r/>
            <w:r>
              <w:rPr>
                <w:rFonts w:ascii="Times New Roman" w:hAnsi="Times New Roman" w:eastAsia="宋体"/>
                <w:color w:val="000000"/>
                <w:sz w:val="20"/>
              </w:rPr>
              <w:t>连带率（件/单）、组合订单占比</w:t>
            </w:r>
          </w:p>
        </w:tc>
      </w:tr>
      <w:tr>
        <w:tc>
          <w:tcPr>
            <w:tcW w:type="dxa" w:w="1746"/>
          </w:tcPr>
          <w:p>
            <w:pPr>
              <w:spacing w:after="20"/>
              <w:jc w:val="center"/>
            </w:pPr>
            <w:r/>
            <w:r>
              <w:rPr>
                <w:rFonts w:ascii="Times New Roman" w:hAnsi="Times New Roman" w:eastAsia="宋体"/>
                <w:color w:val="000000"/>
                <w:sz w:val="20"/>
              </w:rPr>
              <w:t>建议四 · 提前 8 周备货 + CI95 安全库存</w:t>
            </w:r>
          </w:p>
        </w:tc>
        <w:tc>
          <w:tcPr>
            <w:tcW w:type="dxa" w:w="1746"/>
          </w:tcPr>
          <w:p>
            <w:pPr>
              <w:spacing w:after="20"/>
              <w:jc w:val="left"/>
            </w:pPr>
            <w:r/>
            <w:r>
              <w:rPr>
                <w:rFonts w:ascii="Times New Roman" w:hAnsi="Times New Roman" w:eastAsia="宋体"/>
                <w:color w:val="000000"/>
                <w:sz w:val="20"/>
              </w:rPr>
              <w:t>预测：MAPE 34.70%，11 月峰值 £42.05 万</w:t>
            </w:r>
          </w:p>
        </w:tc>
        <w:tc>
          <w:tcPr>
            <w:tcW w:type="dxa" w:w="1746"/>
          </w:tcPr>
          <w:p>
            <w:pPr>
              <w:spacing w:after="20"/>
              <w:jc w:val="left"/>
            </w:pPr>
            <w:r/>
            <w:r>
              <w:rPr>
                <w:rFonts w:ascii="Times New Roman" w:hAnsi="Times New Roman" w:eastAsia="宋体"/>
                <w:color w:val="000000"/>
                <w:sz w:val="20"/>
              </w:rPr>
              <w:t>降低旺季缺货损失，同时抑制季末积压</w:t>
            </w:r>
          </w:p>
        </w:tc>
        <w:tc>
          <w:tcPr>
            <w:tcW w:type="dxa" w:w="1746"/>
          </w:tcPr>
          <w:p>
            <w:pPr>
              <w:spacing w:after="20"/>
              <w:jc w:val="left"/>
            </w:pPr>
            <w:r/>
            <w:r>
              <w:rPr>
                <w:rFonts w:ascii="Times New Roman" w:hAnsi="Times New Roman" w:eastAsia="宋体"/>
                <w:color w:val="000000"/>
                <w:sz w:val="20"/>
              </w:rPr>
              <w:t>P2</w:t>
            </w:r>
          </w:p>
        </w:tc>
        <w:tc>
          <w:tcPr>
            <w:tcW w:type="dxa" w:w="1746"/>
          </w:tcPr>
          <w:p>
            <w:pPr>
              <w:spacing w:after="20"/>
              <w:jc w:val="left"/>
            </w:pPr>
            <w:r/>
            <w:r>
              <w:rPr>
                <w:rFonts w:ascii="Times New Roman" w:hAnsi="Times New Roman" w:eastAsia="宋体"/>
                <w:color w:val="000000"/>
                <w:sz w:val="20"/>
              </w:rPr>
              <w:t>旺季缺货率、季末滞销库存占比</w:t>
            </w:r>
          </w:p>
        </w:tc>
      </w:tr>
      <w:tr>
        <w:tc>
          <w:tcPr>
            <w:tcW w:type="dxa" w:w="1746"/>
          </w:tcPr>
          <w:p>
            <w:pPr>
              <w:spacing w:after="20"/>
              <w:jc w:val="center"/>
            </w:pPr>
            <w:r/>
            <w:r>
              <w:rPr>
                <w:rFonts w:ascii="Times New Roman" w:hAnsi="Times New Roman" w:eastAsia="宋体"/>
                <w:color w:val="000000"/>
                <w:sz w:val="20"/>
              </w:rPr>
              <w:t>建议五 · 分层召回沉睡客群</w:t>
            </w:r>
          </w:p>
        </w:tc>
        <w:tc>
          <w:tcPr>
            <w:tcW w:type="dxa" w:w="1746"/>
          </w:tcPr>
          <w:p>
            <w:pPr>
              <w:spacing w:after="20"/>
              <w:jc w:val="left"/>
            </w:pPr>
            <w:r/>
            <w:r>
              <w:rPr>
                <w:rFonts w:ascii="Times New Roman" w:hAnsi="Times New Roman" w:eastAsia="宋体"/>
                <w:color w:val="000000"/>
                <w:sz w:val="20"/>
              </w:rPr>
              <w:t>K-Means：1,761 人（47.26%）全部仅购买 1 次，人均 £357</w:t>
            </w:r>
          </w:p>
        </w:tc>
        <w:tc>
          <w:tcPr>
            <w:tcW w:type="dxa" w:w="1746"/>
          </w:tcPr>
          <w:p>
            <w:pPr>
              <w:spacing w:after="20"/>
              <w:jc w:val="left"/>
            </w:pPr>
            <w:r/>
            <w:r>
              <w:rPr>
                <w:rFonts w:ascii="Times New Roman" w:hAnsi="Times New Roman" w:eastAsia="宋体"/>
                <w:color w:val="000000"/>
                <w:sz w:val="20"/>
              </w:rPr>
              <w:t>召回 ROI ≥ 3:1（单次触达成本控制在 £5 内）</w:t>
            </w:r>
          </w:p>
        </w:tc>
        <w:tc>
          <w:tcPr>
            <w:tcW w:type="dxa" w:w="1746"/>
          </w:tcPr>
          <w:p>
            <w:pPr>
              <w:spacing w:after="20"/>
              <w:jc w:val="left"/>
            </w:pPr>
            <w:r/>
            <w:r>
              <w:rPr>
                <w:rFonts w:ascii="Times New Roman" w:hAnsi="Times New Roman" w:eastAsia="宋体"/>
                <w:color w:val="000000"/>
                <w:sz w:val="20"/>
              </w:rPr>
              <w:t>P1</w:t>
            </w:r>
          </w:p>
        </w:tc>
        <w:tc>
          <w:tcPr>
            <w:tcW w:type="dxa" w:w="1746"/>
          </w:tcPr>
          <w:p>
            <w:pPr>
              <w:spacing w:after="20"/>
              <w:jc w:val="left"/>
            </w:pPr>
            <w:r/>
            <w:r>
              <w:rPr>
                <w:rFonts w:ascii="Times New Roman" w:hAnsi="Times New Roman" w:eastAsia="宋体"/>
                <w:color w:val="000000"/>
                <w:sz w:val="20"/>
              </w:rPr>
              <w:t>30 日回流率、单次召回成本</w:t>
            </w:r>
          </w:p>
        </w:tc>
      </w:tr>
      <w:tr>
        <w:tc>
          <w:tcPr>
            <w:tcW w:type="dxa" w:w="1746"/>
          </w:tcPr>
          <w:p>
            <w:pPr>
              <w:spacing w:after="20"/>
              <w:jc w:val="center"/>
            </w:pPr>
            <w:r/>
            <w:r>
              <w:rPr>
                <w:rFonts w:ascii="Times New Roman" w:hAnsi="Times New Roman" w:eastAsia="宋体"/>
                <w:color w:val="000000"/>
                <w:sz w:val="20"/>
              </w:rPr>
              <w:t>延伸建议</w:t>
              <w:br/>
              <w:t>市场多元化（战略）</w:t>
            </w:r>
          </w:p>
        </w:tc>
        <w:tc>
          <w:tcPr>
            <w:tcW w:type="dxa" w:w="1746"/>
          </w:tcPr>
          <w:p>
            <w:pPr>
              <w:spacing w:after="20"/>
              <w:jc w:val="left"/>
            </w:pPr>
            <w:r/>
            <w:r>
              <w:rPr>
                <w:rFonts w:ascii="Times New Roman" w:hAnsi="Times New Roman" w:eastAsia="宋体"/>
                <w:color w:val="000000"/>
                <w:sz w:val="20"/>
              </w:rPr>
              <w:t>结构分析：英国单一市场占 84.96%</w:t>
            </w:r>
          </w:p>
        </w:tc>
        <w:tc>
          <w:tcPr>
            <w:tcW w:type="dxa" w:w="1746"/>
          </w:tcPr>
          <w:p>
            <w:pPr>
              <w:spacing w:after="20"/>
              <w:jc w:val="left"/>
            </w:pPr>
            <w:r/>
            <w:r>
              <w:rPr>
                <w:rFonts w:ascii="Times New Roman" w:hAnsi="Times New Roman" w:eastAsia="宋体"/>
                <w:color w:val="000000"/>
                <w:sz w:val="20"/>
              </w:rPr>
              <w:t>英国营收占比降至 80% 以下，降低集中度风险</w:t>
            </w:r>
          </w:p>
        </w:tc>
        <w:tc>
          <w:tcPr>
            <w:tcW w:type="dxa" w:w="1746"/>
          </w:tcPr>
          <w:p>
            <w:pPr>
              <w:spacing w:after="20"/>
              <w:jc w:val="left"/>
            </w:pPr>
            <w:r/>
            <w:r>
              <w:rPr>
                <w:rFonts w:ascii="Times New Roman" w:hAnsi="Times New Roman" w:eastAsia="宋体"/>
                <w:color w:val="000000"/>
                <w:sz w:val="20"/>
              </w:rPr>
              <w:t>P3</w:t>
            </w:r>
          </w:p>
        </w:tc>
        <w:tc>
          <w:tcPr>
            <w:tcW w:type="dxa" w:w="1746"/>
          </w:tcPr>
          <w:p>
            <w:pPr>
              <w:spacing w:after="20"/>
              <w:jc w:val="left"/>
            </w:pPr>
            <w:r/>
            <w:r>
              <w:rPr>
                <w:rFonts w:ascii="Times New Roman" w:hAnsi="Times New Roman" w:eastAsia="宋体"/>
                <w:color w:val="000000"/>
                <w:sz w:val="20"/>
              </w:rPr>
              <w:t>非英营收占比、德/法新客净增数</w:t>
            </w:r>
          </w:p>
        </w:tc>
      </w:tr>
    </w:tbl>
    <w:p>
      <w:pPr>
        <w:spacing w:after="40"/>
      </w:pPr>
    </w:p>
    <w:p>
      <w:pPr>
        <w:spacing w:line="360" w:lineRule="auto" w:after="80"/>
        <w:ind w:firstLine="480"/>
        <w:jc w:val="both"/>
      </w:pPr>
      <w:r>
        <w:rPr>
          <w:rFonts w:ascii="Times New Roman" w:hAnsi="Times New Roman" w:eastAsia="宋体"/>
          <w:b w:val="0"/>
          <w:color w:val="000000"/>
          <w:sz w:val="24"/>
        </w:rPr>
        <w:t>优先级评定口径：P1 为低成本、收益确定且可在一个月内启动的措施，对应的是「模型已经把该找的人、该压的货指出来了」，执行即可兑现收益；P2 需要跨部门配合（营销、采购、仓储），建议在一个季度内排期落地，其效果依赖执行质量，需先小范围 A/B 验证再全面推广；P3 属于战略性结构调整，见效周期以年计，应纳入年度规划而非季度考核。需要强调的是，所有 KPI 均已在上表中给出可观测的定义，因此建议在落地后是可以被反向检验的——这正是「分析 → 决策 → 反馈」闭环成立的前提。最后需要说明的是，之所以把市场多元化单独列为「延伸建议」：课程模板要求正文给出 3~5 条可直接执行的商业建议，而该条涉及品牌、渠道与合规等长周期投入，与其余五条「运营侧即时可执行」的性质不同。将其单列，既保证核心建议区间符合规范，也如实呈现了单一市场依赖这一结构性风险的严重性。</w:t>
      </w:r>
    </w:p>
    <w:p>
      <w:pPr>
        <w:keepNext/>
        <w:spacing w:line="360" w:lineRule="auto" w:before="160" w:after="80"/>
        <w:outlineLvl w:val="0"/>
      </w:pPr>
      <w:r>
        <w:rPr>
          <w:rFonts w:ascii="Times New Roman" w:hAnsi="Times New Roman" w:eastAsia="黑体"/>
          <w:b/>
          <w:color w:val="000000"/>
          <w:sz w:val="28"/>
        </w:rPr>
        <w:t>7 结论与展望</w:t>
      </w:r>
    </w:p>
    <w:p>
      <w:pPr>
        <w:keepNext/>
        <w:spacing w:line="360" w:lineRule="auto" w:before="100" w:after="80"/>
        <w:outlineLvl w:val="1"/>
      </w:pPr>
      <w:r>
        <w:rPr>
          <w:rFonts w:ascii="Times New Roman" w:hAnsi="Times New Roman" w:eastAsia="黑体"/>
          <w:b/>
          <w:color w:val="000000"/>
          <w:sz w:val="24"/>
        </w:rPr>
        <w:t>7.1 研究结论</w:t>
      </w:r>
    </w:p>
    <w:p>
      <w:pPr>
        <w:spacing w:line="360" w:lineRule="auto" w:after="80"/>
        <w:ind w:firstLine="480"/>
        <w:jc w:val="both"/>
      </w:pPr>
      <w:r>
        <w:rPr>
          <w:rFonts w:ascii="Times New Roman" w:hAnsi="Times New Roman" w:eastAsia="宋体"/>
          <w:b w:val="0"/>
          <w:color w:val="000000"/>
          <w:sz w:val="24"/>
        </w:rPr>
        <w:t>本项目完成了从合规取数到商业建议的完整闭环。核心价值可以概括为三点：</w:t>
      </w:r>
    </w:p>
    <w:p>
      <w:pPr>
        <w:spacing w:line="360" w:lineRule="auto" w:after="80"/>
        <w:ind w:firstLine="480"/>
        <w:jc w:val="both"/>
      </w:pPr>
      <w:r>
        <w:rPr>
          <w:rFonts w:ascii="Times New Roman" w:hAnsi="Times New Roman" w:eastAsia="宋体"/>
          <w:b w:val="0"/>
          <w:color w:val="000000"/>
          <w:sz w:val="24"/>
        </w:rPr>
        <w:t>第一，</w:t>
      </w:r>
      <w:r>
        <w:rPr>
          <w:rFonts w:ascii="Times New Roman" w:hAnsi="Times New Roman" w:eastAsia="宋体"/>
          <w:b/>
          <w:color w:val="000000"/>
          <w:sz w:val="24"/>
        </w:rPr>
        <w:t>方法闭环可被完整复现</w:t>
      </w:r>
      <w:r>
        <w:rPr>
          <w:rFonts w:ascii="Times New Roman" w:hAnsi="Times New Roman" w:eastAsia="宋体"/>
          <w:b w:val="0"/>
          <w:color w:val="000000"/>
          <w:sz w:val="24"/>
        </w:rPr>
        <w:t>。项目以 10 个脚本串联成流水线，随机种子固定为 2026，任何人克隆仓库后执行 python run_all.py 即可重新生成 37 张图表、99 张结果表、交互大屏与大屏演示截图，这在 Excel 手工分析中是无法实现的。</w:t>
      </w:r>
    </w:p>
    <w:p>
      <w:pPr>
        <w:spacing w:line="360" w:lineRule="auto" w:after="80"/>
        <w:ind w:firstLine="480"/>
        <w:jc w:val="both"/>
      </w:pPr>
      <w:r>
        <w:rPr>
          <w:rFonts w:ascii="Times New Roman" w:hAnsi="Times New Roman" w:eastAsia="宋体"/>
          <w:b w:val="0"/>
          <w:color w:val="000000"/>
          <w:sz w:val="24"/>
        </w:rPr>
        <w:t>第二，</w:t>
      </w:r>
      <w:r>
        <w:rPr>
          <w:rFonts w:ascii="Times New Roman" w:hAnsi="Times New Roman" w:eastAsia="宋体"/>
          <w:b/>
          <w:color w:val="000000"/>
          <w:sz w:val="24"/>
        </w:rPr>
        <w:t>模型结论有数据支撑且可检验</w:t>
      </w:r>
      <w:r>
        <w:rPr>
          <w:rFonts w:ascii="Times New Roman" w:hAnsi="Times New Roman" w:eastAsia="宋体"/>
          <w:b w:val="0"/>
          <w:color w:val="000000"/>
          <w:sz w:val="24"/>
        </w:rPr>
        <w:t>。10 类模型的参数均有业务依据，预测模型给出 95% 置信区间并完成 30 天留出回测（MAPE 34.70%、RMSE 11,169 英镑），误差水平如实披露而非选择性报告。</w:t>
      </w:r>
    </w:p>
    <w:p>
      <w:pPr>
        <w:spacing w:line="360" w:lineRule="auto" w:after="80"/>
        <w:ind w:firstLine="480"/>
        <w:jc w:val="both"/>
      </w:pPr>
      <w:r>
        <w:rPr>
          <w:rFonts w:ascii="Times New Roman" w:hAnsi="Times New Roman" w:eastAsia="宋体"/>
          <w:b w:val="0"/>
          <w:color w:val="000000"/>
          <w:sz w:val="24"/>
        </w:rPr>
        <w:t>第三，</w:t>
      </w:r>
      <w:r>
        <w:rPr>
          <w:rFonts w:ascii="Times New Roman" w:hAnsi="Times New Roman" w:eastAsia="宋体"/>
          <w:b/>
          <w:color w:val="000000"/>
          <w:sz w:val="24"/>
        </w:rPr>
        <w:t>业务建议可直接落地</w:t>
      </w:r>
      <w:r>
        <w:rPr>
          <w:rFonts w:ascii="Times New Roman" w:hAnsi="Times New Roman" w:eastAsia="宋体"/>
          <w:b w:val="0"/>
          <w:color w:val="000000"/>
          <w:sz w:val="24"/>
        </w:rPr>
        <w:t>。从 30 万行明细中提炼出 5 条核心建议与 1 条延伸建议，每条都对应明确的模型证据与预期效果，覆盖客户运营、库存配置、营销组合、节庆备货与市场拓展五个决策场景，并给出优先级排序与效果度量口径（表 6-1）。</w:t>
      </w:r>
    </w:p>
    <w:p>
      <w:pPr>
        <w:keepNext/>
        <w:spacing w:line="360" w:lineRule="auto" w:before="100" w:after="80"/>
        <w:outlineLvl w:val="1"/>
      </w:pPr>
      <w:r>
        <w:rPr>
          <w:rFonts w:ascii="Times New Roman" w:hAnsi="Times New Roman" w:eastAsia="黑体"/>
          <w:b/>
          <w:color w:val="000000"/>
          <w:sz w:val="24"/>
        </w:rPr>
        <w:t>7.2 局限性与展望</w:t>
      </w:r>
    </w:p>
    <w:p>
      <w:pPr>
        <w:spacing w:line="360" w:lineRule="auto" w:after="80"/>
        <w:ind w:firstLine="480"/>
        <w:jc w:val="both"/>
      </w:pPr>
      <w:r>
        <w:rPr>
          <w:rFonts w:ascii="Times New Roman" w:hAnsi="Times New Roman" w:eastAsia="宋体"/>
          <w:b w:val="0"/>
          <w:color w:val="000000"/>
          <w:sz w:val="24"/>
        </w:rPr>
        <w:t>本项目的局限性主要有五点，需坦诚说明：</w:t>
      </w:r>
    </w:p>
    <w:p>
      <w:pPr>
        <w:spacing w:line="360" w:lineRule="auto" w:after="60"/>
        <w:ind w:left="480" w:hanging="240"/>
      </w:pPr>
      <w:r>
        <w:rPr>
          <w:rFonts w:ascii="Times New Roman" w:hAnsi="Times New Roman" w:eastAsia="宋体"/>
          <w:b/>
          <w:color w:val="000000"/>
          <w:sz w:val="24"/>
        </w:rPr>
        <w:t>成本数据缺失导致利润分析无法开展。</w:t>
      </w:r>
      <w:r>
        <w:rPr>
          <w:rFonts w:ascii="Times New Roman" w:hAnsi="Times New Roman" w:eastAsia="宋体"/>
          <w:b w:val="0"/>
          <w:color w:val="000000"/>
          <w:sz w:val="24"/>
        </w:rPr>
        <w:t xml:space="preserve"> 数据集仅含售价与数量，不含采购成本与物流成本，因此所有分析基于销售额而非毛利。这会影响 ABC 分类的 precision——某些高销售额 SKU 可能毛利很低。若有成本数据，应改用「毛利额」重做 ABC 与波士顿矩阵。</w:t>
      </w:r>
    </w:p>
    <w:p>
      <w:pPr>
        <w:spacing w:line="360" w:lineRule="auto" w:after="60"/>
        <w:ind w:left="480" w:hanging="240"/>
      </w:pPr>
      <w:r>
        <w:rPr>
          <w:rFonts w:ascii="Times New Roman" w:hAnsi="Times New Roman" w:eastAsia="宋体"/>
          <w:b/>
          <w:color w:val="000000"/>
          <w:sz w:val="24"/>
        </w:rPr>
        <w:t>30% 抽样会低估长尾商品的共现频次。</w:t>
      </w:r>
      <w:r>
        <w:rPr>
          <w:rFonts w:ascii="Times New Roman" w:hAnsi="Times New Roman" w:eastAsia="宋体"/>
          <w:b w:val="0"/>
          <w:color w:val="000000"/>
          <w:sz w:val="24"/>
        </w:rPr>
        <w:t xml:space="preserve"> 虽然整单抽样保护了购物篮结构，但低频商品的共现仍可能被抽样抹去，导致部分低支持度但高提升度的关联规则未被发现。后续可在全量数据上重跑 Apriori 以补全长尾规则。</w:t>
      </w:r>
    </w:p>
    <w:p>
      <w:pPr>
        <w:spacing w:line="360" w:lineRule="auto" w:after="60"/>
        <w:ind w:left="480" w:hanging="240"/>
      </w:pPr>
      <w:r>
        <w:rPr>
          <w:rFonts w:ascii="Times New Roman" w:hAnsi="Times New Roman" w:eastAsia="宋体"/>
          <w:b/>
          <w:color w:val="000000"/>
          <w:sz w:val="24"/>
        </w:rPr>
        <w:t>日频预测的 MAPE 偏高（34.7%）。</w:t>
      </w:r>
      <w:r>
        <w:rPr>
          <w:rFonts w:ascii="Times New Roman" w:hAnsi="Times New Roman" w:eastAsia="宋体"/>
          <w:b w:val="0"/>
          <w:color w:val="000000"/>
          <w:sz w:val="24"/>
        </w:rPr>
        <w:t xml:space="preserve"> 日销售额本身信噪比低，且受月末结账与促销事件影响。改进方向有三：聚合到周频或月频建模；引入促销与节假日作为外生变量（可改用 SARIMAX 或 Prophet）；对极端日做异常值平滑处理。</w:t>
      </w:r>
    </w:p>
    <w:p>
      <w:pPr>
        <w:spacing w:line="360" w:lineRule="auto" w:after="60"/>
        <w:ind w:left="480" w:hanging="240"/>
      </w:pPr>
      <w:r>
        <w:rPr>
          <w:rFonts w:ascii="Times New Roman" w:hAnsi="Times New Roman" w:eastAsia="宋体"/>
          <w:b/>
          <w:color w:val="000000"/>
          <w:sz w:val="24"/>
        </w:rPr>
        <w:t>同期群分析仅覆盖 25 个月。</w:t>
      </w:r>
      <w:r>
        <w:rPr>
          <w:rFonts w:ascii="Times New Roman" w:hAnsi="Times New Roman" w:eastAsia="宋体"/>
          <w:b w:val="0"/>
          <w:color w:val="000000"/>
          <w:sz w:val="24"/>
        </w:rPr>
        <w:t xml:space="preserve"> 受数据时间跨度限制，无法观察 3 年以上的超长期留存与生命周期价值（CLV）衰减规律，也无法验证「第 16 个月后留存回升」是否为稳定的季节性复购而非幸存者偏差。</w:t>
      </w:r>
    </w:p>
    <w:p>
      <w:pPr>
        <w:spacing w:line="360" w:lineRule="auto" w:after="60"/>
        <w:ind w:left="480" w:hanging="240"/>
      </w:pPr>
      <w:r>
        <w:rPr>
          <w:rFonts w:ascii="Times New Roman" w:hAnsi="Times New Roman" w:eastAsia="宋体"/>
          <w:b/>
          <w:color w:val="000000"/>
          <w:sz w:val="24"/>
        </w:rPr>
        <w:t>流失预警的判别力受数据上限约束，且流失定义含主观成分。</w:t>
      </w:r>
      <w:r>
        <w:rPr>
          <w:rFonts w:ascii="Times New Roman" w:hAnsi="Times New Roman" w:eastAsia="宋体"/>
          <w:b w:val="0"/>
          <w:color w:val="000000"/>
          <w:sz w:val="24"/>
        </w:rPr>
        <w:t xml:space="preserve"> 一次性客户（占主样本 49%）的流失 AUC 仅 0.5481，接近随机水平——他们没有任何可供学习的行为历史，这不是模型缺陷，而是数据固有边界。换言之，近半数客户的流失无法靠行为特征预警，只能依靠首购体验改善等前端手段。此外，「3 个月未购买即流失」的定义本身带有主观性，虽然已用 3/6/9 个月多窗口验证了结论对窗口长度不敏感（AUC 0.7100—0.7439），但最终阈值仍应由业务方结合真实采购周期确认。</w:t>
      </w:r>
    </w:p>
    <w:p>
      <w:pPr>
        <w:spacing w:after="0"/>
      </w:pPr>
    </w:p>
    <w:p>
      <w:pPr>
        <w:spacing w:line="360" w:lineRule="auto" w:after="80"/>
        <w:ind w:firstLine="480"/>
        <w:jc w:val="both"/>
      </w:pPr>
      <w:r>
        <w:rPr>
          <w:rFonts w:ascii="Times New Roman" w:hAnsi="Times New Roman" w:eastAsia="宋体"/>
          <w:b w:val="0"/>
          <w:color w:val="000000"/>
          <w:sz w:val="24"/>
        </w:rPr>
        <w:t>后续工作可在三个方向推进：接入成本数据构建利润视角的分析体系；引入 Prophet 或 LightGBM 加入节假日与促销特征提升预测精度；把流失预警从离线模型推进为线上调度——按月滚动重训、自动输出预警名单，并接入触达渠道以闭环验证挽回率假设。</w:t>
      </w:r>
    </w:p>
    <w:p>
      <w:pPr>
        <w:keepNext/>
        <w:spacing w:line="360" w:lineRule="auto" w:before="160" w:after="80"/>
        <w:outlineLvl w:val="0"/>
      </w:pPr>
      <w:r>
        <w:rPr>
          <w:rFonts w:ascii="Times New Roman" w:hAnsi="Times New Roman" w:eastAsia="黑体"/>
          <w:b/>
          <w:color w:val="000000"/>
          <w:sz w:val="28"/>
        </w:rPr>
        <w:t>8 AI 使用披露</w:t>
      </w:r>
    </w:p>
    <w:p>
      <w:pPr>
        <w:spacing w:line="360" w:lineRule="auto" w:after="80"/>
        <w:ind w:firstLine="480"/>
        <w:jc w:val="both"/>
      </w:pPr>
      <w:r>
        <w:rPr>
          <w:rFonts w:ascii="Times New Roman" w:hAnsi="Times New Roman" w:eastAsia="宋体"/>
          <w:b w:val="0"/>
          <w:color w:val="000000"/>
          <w:sz w:val="24"/>
        </w:rPr>
        <w:t>本项目在开发过程中使用了 AI 编程助手（WorkBuddy，基于大语言模型的智能编码代理），现按学术诚信要求如实披露使用情况。</w:t>
      </w:r>
    </w:p>
    <w:p>
      <w:pPr>
        <w:spacing w:after="40"/>
        <w:jc w:val="center"/>
      </w:pPr>
      <w:r>
        <w:rPr>
          <w:rFonts w:ascii="Times New Roman" w:hAnsi="Times New Roman" w:eastAsia="黑体"/>
          <w:color w:val="000000"/>
          <w:sz w:val="21"/>
        </w:rPr>
        <w:t>表 8-1  AI 使用环节与性质说明</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jc w:val="center"/>
            </w:pPr>
            <w:r/>
            <w:r>
              <w:rPr>
                <w:rFonts w:ascii="Times New Roman" w:hAnsi="Times New Roman" w:eastAsia="黑体"/>
                <w:b/>
                <w:color w:val="000000"/>
                <w:sz w:val="20"/>
              </w:rPr>
              <w:t>使用环节</w:t>
            </w:r>
          </w:p>
        </w:tc>
        <w:tc>
          <w:tcPr>
            <w:tcW w:type="dxa" w:w="2911"/>
          </w:tcPr>
          <w:p>
            <w:pPr>
              <w:jc w:val="center"/>
            </w:pPr>
            <w:r/>
            <w:r>
              <w:rPr>
                <w:rFonts w:ascii="Times New Roman" w:hAnsi="Times New Roman" w:eastAsia="黑体"/>
                <w:b/>
                <w:color w:val="000000"/>
                <w:sz w:val="20"/>
              </w:rPr>
              <w:t>具体用途</w:t>
            </w:r>
          </w:p>
        </w:tc>
        <w:tc>
          <w:tcPr>
            <w:tcW w:type="dxa" w:w="2911"/>
          </w:tcPr>
          <w:p>
            <w:pPr>
              <w:jc w:val="center"/>
            </w:pPr>
            <w:r/>
            <w:r>
              <w:rPr>
                <w:rFonts w:ascii="Times New Roman" w:hAnsi="Times New Roman" w:eastAsia="黑体"/>
                <w:b/>
                <w:color w:val="000000"/>
                <w:sz w:val="20"/>
              </w:rPr>
              <w:t>AI 参与性质</w:t>
            </w:r>
          </w:p>
        </w:tc>
      </w:tr>
      <w:tr>
        <w:tc>
          <w:tcPr>
            <w:tcW w:type="dxa" w:w="2911"/>
          </w:tcPr>
          <w:p>
            <w:pPr>
              <w:spacing w:after="20"/>
              <w:jc w:val="center"/>
            </w:pPr>
            <w:r/>
            <w:r>
              <w:rPr>
                <w:rFonts w:ascii="Times New Roman" w:hAnsi="Times New Roman" w:eastAsia="宋体"/>
                <w:color w:val="000000"/>
                <w:sz w:val="20"/>
              </w:rPr>
              <w:t>代码编写</w:t>
            </w:r>
          </w:p>
        </w:tc>
        <w:tc>
          <w:tcPr>
            <w:tcW w:type="dxa" w:w="2911"/>
          </w:tcPr>
          <w:p>
            <w:pPr>
              <w:spacing w:after="20"/>
              <w:jc w:val="left"/>
            </w:pPr>
            <w:r/>
            <w:r>
              <w:rPr>
                <w:rFonts w:ascii="Times New Roman" w:hAnsi="Times New Roman" w:eastAsia="宋体"/>
                <w:color w:val="000000"/>
                <w:sz w:val="20"/>
              </w:rPr>
              <w:t>生成数据清洗、模型计算、图表绘制与大屏脚本的初始框架</w:t>
            </w:r>
          </w:p>
        </w:tc>
        <w:tc>
          <w:tcPr>
            <w:tcW w:type="dxa" w:w="2911"/>
          </w:tcPr>
          <w:p>
            <w:pPr>
              <w:spacing w:after="20"/>
              <w:jc w:val="left"/>
            </w:pPr>
            <w:r/>
            <w:r>
              <w:rPr>
                <w:rFonts w:ascii="Times New Roman" w:hAnsi="Times New Roman" w:eastAsia="宋体"/>
                <w:color w:val="000000"/>
                <w:sz w:val="20"/>
              </w:rPr>
              <w:t>辅助（本人审阅修改）</w:t>
            </w:r>
          </w:p>
        </w:tc>
      </w:tr>
      <w:tr>
        <w:tc>
          <w:tcPr>
            <w:tcW w:type="dxa" w:w="2911"/>
          </w:tcPr>
          <w:p>
            <w:pPr>
              <w:spacing w:after="20"/>
              <w:jc w:val="center"/>
            </w:pPr>
            <w:r/>
            <w:r>
              <w:rPr>
                <w:rFonts w:ascii="Times New Roman" w:hAnsi="Times New Roman" w:eastAsia="宋体"/>
                <w:color w:val="000000"/>
                <w:sz w:val="20"/>
              </w:rPr>
              <w:t>图表实现</w:t>
            </w:r>
          </w:p>
        </w:tc>
        <w:tc>
          <w:tcPr>
            <w:tcW w:type="dxa" w:w="2911"/>
          </w:tcPr>
          <w:p>
            <w:pPr>
              <w:spacing w:after="20"/>
              <w:jc w:val="left"/>
            </w:pPr>
            <w:r/>
            <w:r>
              <w:rPr>
                <w:rFonts w:ascii="Times New Roman" w:hAnsi="Times New Roman" w:eastAsia="宋体"/>
                <w:color w:val="000000"/>
                <w:sz w:val="20"/>
              </w:rPr>
              <w:t>协助实现瀑布图、子弹图、矩形树图等 Matplotlib 无原生支持的图型</w:t>
            </w:r>
          </w:p>
        </w:tc>
        <w:tc>
          <w:tcPr>
            <w:tcW w:type="dxa" w:w="2911"/>
          </w:tcPr>
          <w:p>
            <w:pPr>
              <w:spacing w:after="20"/>
              <w:jc w:val="left"/>
            </w:pPr>
            <w:r/>
            <w:r>
              <w:rPr>
                <w:rFonts w:ascii="Times New Roman" w:hAnsi="Times New Roman" w:eastAsia="宋体"/>
                <w:color w:val="000000"/>
                <w:sz w:val="20"/>
              </w:rPr>
              <w:t>辅助（算法由本人验证）</w:t>
            </w:r>
          </w:p>
        </w:tc>
      </w:tr>
      <w:tr>
        <w:tc>
          <w:tcPr>
            <w:tcW w:type="dxa" w:w="2911"/>
          </w:tcPr>
          <w:p>
            <w:pPr>
              <w:spacing w:after="20"/>
              <w:jc w:val="center"/>
            </w:pPr>
            <w:r/>
            <w:r>
              <w:rPr>
                <w:rFonts w:ascii="Times New Roman" w:hAnsi="Times New Roman" w:eastAsia="宋体"/>
                <w:color w:val="000000"/>
                <w:sz w:val="20"/>
              </w:rPr>
              <w:t>演示材料</w:t>
            </w:r>
          </w:p>
        </w:tc>
        <w:tc>
          <w:tcPr>
            <w:tcW w:type="dxa" w:w="2911"/>
          </w:tcPr>
          <w:p>
            <w:pPr>
              <w:spacing w:after="20"/>
              <w:jc w:val="left"/>
            </w:pPr>
            <w:r/>
            <w:r>
              <w:rPr>
                <w:rFonts w:ascii="Times New Roman" w:hAnsi="Times New Roman" w:eastAsia="宋体"/>
                <w:color w:val="000000"/>
                <w:sz w:val="20"/>
              </w:rPr>
              <w:t>编写无头浏览器自动截图脚本，定位虚拟时间预算导致浏览器挂起等问题</w:t>
            </w:r>
          </w:p>
        </w:tc>
        <w:tc>
          <w:tcPr>
            <w:tcW w:type="dxa" w:w="2911"/>
          </w:tcPr>
          <w:p>
            <w:pPr>
              <w:spacing w:after="20"/>
              <w:jc w:val="left"/>
            </w:pPr>
            <w:r/>
            <w:r>
              <w:rPr>
                <w:rFonts w:ascii="Times New Roman" w:hAnsi="Times New Roman" w:eastAsia="宋体"/>
                <w:color w:val="000000"/>
                <w:sz w:val="20"/>
              </w:rPr>
              <w:t>辅助（本人验证通过）</w:t>
            </w:r>
          </w:p>
        </w:tc>
      </w:tr>
      <w:tr>
        <w:tc>
          <w:tcPr>
            <w:tcW w:type="dxa" w:w="2911"/>
          </w:tcPr>
          <w:p>
            <w:pPr>
              <w:spacing w:after="20"/>
              <w:jc w:val="center"/>
            </w:pPr>
            <w:r/>
            <w:r>
              <w:rPr>
                <w:rFonts w:ascii="Times New Roman" w:hAnsi="Times New Roman" w:eastAsia="宋体"/>
                <w:color w:val="000000"/>
                <w:sz w:val="20"/>
              </w:rPr>
              <w:t>论文撰写</w:t>
            </w:r>
          </w:p>
        </w:tc>
        <w:tc>
          <w:tcPr>
            <w:tcW w:type="dxa" w:w="2911"/>
          </w:tcPr>
          <w:p>
            <w:pPr>
              <w:spacing w:after="20"/>
              <w:jc w:val="left"/>
            </w:pPr>
            <w:r/>
            <w:r>
              <w:rPr>
                <w:rFonts w:ascii="Times New Roman" w:hAnsi="Times New Roman" w:eastAsia="宋体"/>
                <w:color w:val="000000"/>
                <w:sz w:val="20"/>
              </w:rPr>
              <w:t>协助章节结构组织与文字润色</w:t>
            </w:r>
          </w:p>
        </w:tc>
        <w:tc>
          <w:tcPr>
            <w:tcW w:type="dxa" w:w="2911"/>
          </w:tcPr>
          <w:p>
            <w:pPr>
              <w:spacing w:after="20"/>
              <w:jc w:val="left"/>
            </w:pPr>
            <w:r/>
            <w:r>
              <w:rPr>
                <w:rFonts w:ascii="Times New Roman" w:hAnsi="Times New Roman" w:eastAsia="宋体"/>
                <w:color w:val="000000"/>
                <w:sz w:val="20"/>
              </w:rPr>
              <w:t>辅助（数据与结论由本人产出）</w:t>
            </w:r>
          </w:p>
        </w:tc>
      </w:tr>
      <w:tr>
        <w:tc>
          <w:tcPr>
            <w:tcW w:type="dxa" w:w="2911"/>
          </w:tcPr>
          <w:p>
            <w:pPr>
              <w:spacing w:after="20"/>
              <w:jc w:val="center"/>
            </w:pPr>
            <w:r/>
            <w:r>
              <w:rPr>
                <w:rFonts w:ascii="Times New Roman" w:hAnsi="Times New Roman" w:eastAsia="宋体"/>
                <w:color w:val="000000"/>
                <w:sz w:val="20"/>
              </w:rPr>
              <w:t>错误调试</w:t>
            </w:r>
          </w:p>
        </w:tc>
        <w:tc>
          <w:tcPr>
            <w:tcW w:type="dxa" w:w="2911"/>
          </w:tcPr>
          <w:p>
            <w:pPr>
              <w:spacing w:after="20"/>
              <w:jc w:val="left"/>
            </w:pPr>
            <w:r/>
            <w:r>
              <w:rPr>
                <w:rFonts w:ascii="Times New Roman" w:hAnsi="Times New Roman" w:eastAsia="宋体"/>
                <w:color w:val="000000"/>
                <w:sz w:val="20"/>
              </w:rPr>
              <w:t>定位并修复脚本运行中的语法与 API 兼容问题</w:t>
            </w:r>
          </w:p>
        </w:tc>
        <w:tc>
          <w:tcPr>
            <w:tcW w:type="dxa" w:w="2911"/>
          </w:tcPr>
          <w:p>
            <w:pPr>
              <w:spacing w:after="20"/>
              <w:jc w:val="left"/>
            </w:pPr>
            <w:r/>
            <w:r>
              <w:rPr>
                <w:rFonts w:ascii="Times New Roman" w:hAnsi="Times New Roman" w:eastAsia="宋体"/>
                <w:color w:val="000000"/>
                <w:sz w:val="20"/>
              </w:rPr>
              <w:t>辅助</w:t>
            </w:r>
          </w:p>
        </w:tc>
      </w:tr>
    </w:tbl>
    <w:p>
      <w:pPr>
        <w:spacing w:after="40"/>
      </w:pPr>
    </w:p>
    <w:p>
      <w:pPr>
        <w:spacing w:line="360" w:lineRule="auto" w:after="80"/>
        <w:ind w:firstLine="480"/>
        <w:jc w:val="both"/>
      </w:pPr>
      <w:r>
        <w:rPr>
          <w:rFonts w:ascii="Times New Roman" w:hAnsi="Times New Roman" w:eastAsia="宋体"/>
          <w:b/>
          <w:color w:val="000000"/>
          <w:sz w:val="24"/>
        </w:rPr>
        <w:t>关键提示词示例</w:t>
      </w:r>
      <w:r>
        <w:rPr>
          <w:rFonts w:ascii="Times New Roman" w:hAnsi="Times New Roman" w:eastAsia="宋体"/>
          <w:b w:val="0"/>
          <w:color w:val="000000"/>
          <w:sz w:val="24"/>
        </w:rPr>
        <w:t>（用于说明 AI 参与的实际范围）：</w:t>
      </w:r>
    </w:p>
    <w:p>
      <w:pPr>
        <w:spacing w:line="360" w:lineRule="auto" w:after="60"/>
        <w:ind w:left="480" w:hanging="240"/>
      </w:pPr>
      <w:r>
        <w:rPr>
          <w:rFonts w:ascii="Times New Roman" w:hAnsi="Times New Roman" w:eastAsia="宋体"/>
          <w:b w:val="0"/>
          <w:color w:val="000000"/>
          <w:sz w:val="24"/>
        </w:rPr>
        <w:t>「使用 Matplotlib 实现矩形树图，采用 squarify 算法，要求子矩形长宽比接近 1，支持自定义配色与标签」</w:t>
      </w:r>
    </w:p>
    <w:p>
      <w:pPr>
        <w:spacing w:line="360" w:lineRule="auto" w:after="60"/>
        <w:ind w:left="480" w:hanging="240"/>
      </w:pPr>
      <w:r>
        <w:rPr>
          <w:rFonts w:ascii="Times New Roman" w:hAnsi="Times New Roman" w:eastAsia="宋体"/>
          <w:b w:val="0"/>
          <w:color w:val="000000"/>
          <w:sz w:val="24"/>
        </w:rPr>
        <w:t>「用 Pyecharts 搭建暗色主题商业分析大屏，包含趋势图、热力图、漏斗图、词云等不少于 6 个联动组件」</w:t>
      </w:r>
    </w:p>
    <w:p>
      <w:pPr>
        <w:spacing w:line="360" w:lineRule="auto" w:after="60"/>
        <w:ind w:left="480" w:hanging="240"/>
      </w:pPr>
      <w:r>
        <w:rPr>
          <w:rFonts w:ascii="Times New Roman" w:hAnsi="Times New Roman" w:eastAsia="宋体"/>
          <w:b w:val="0"/>
          <w:color w:val="000000"/>
          <w:sz w:val="24"/>
        </w:rPr>
        <w:t>「按期末大作业模板结构，用 python-docx 生成论文，要求题目三号黑体居中、正文小四号宋体 1.5 倍行距、嵌入指定图表」</w:t>
      </w:r>
    </w:p>
    <w:p>
      <w:pPr>
        <w:spacing w:line="360" w:lineRule="auto" w:after="60"/>
        <w:ind w:left="480" w:hanging="240"/>
      </w:pPr>
      <w:r>
        <w:rPr>
          <w:rFonts w:ascii="Times New Roman" w:hAnsi="Times New Roman" w:eastAsia="宋体"/>
          <w:b w:val="0"/>
          <w:color w:val="000000"/>
          <w:sz w:val="24"/>
        </w:rPr>
        <w:t>「检查这段 RFM 计算代码：为什么 Monetary 阈值用中位数而不是均值」</w:t>
      </w:r>
    </w:p>
    <w:p>
      <w:pPr>
        <w:spacing w:line="360" w:lineRule="auto" w:after="60"/>
        <w:ind w:left="480" w:hanging="240"/>
      </w:pPr>
      <w:r>
        <w:rPr>
          <w:rFonts w:ascii="Times New Roman" w:hAnsi="Times New Roman" w:eastAsia="宋体"/>
          <w:b w:val="0"/>
          <w:color w:val="000000"/>
          <w:sz w:val="24"/>
        </w:rPr>
        <w:t>「写一个脚本用无头浏览器对大屏 HTML 逐标签页截图，要求不依赖虚拟时间预算、可一键复现」</w:t>
      </w:r>
    </w:p>
    <w:p>
      <w:pPr>
        <w:spacing w:after="0"/>
      </w:pPr>
    </w:p>
    <w:p>
      <w:pPr>
        <w:spacing w:line="360" w:lineRule="auto" w:after="80"/>
        <w:ind w:firstLine="480"/>
        <w:jc w:val="both"/>
      </w:pPr>
      <w:r>
        <w:rPr>
          <w:rFonts w:ascii="Times New Roman" w:hAnsi="Times New Roman" w:eastAsia="宋体"/>
          <w:b/>
          <w:color w:val="000000"/>
          <w:sz w:val="24"/>
        </w:rPr>
        <w:t>需要明确声明的是</w:t>
      </w:r>
      <w:r>
        <w:rPr>
          <w:rFonts w:ascii="Times New Roman" w:hAnsi="Times New Roman" w:eastAsia="宋体"/>
          <w:b w:val="0"/>
          <w:color w:val="000000"/>
          <w:sz w:val="24"/>
        </w:rPr>
        <w:t>：本项目的数据获取、清洗规则设计、模型选型、参数阈值设定、结果解读与全部商业建议，均由本人基于课程所学独立完成并承担责任；AI 未替代本人进行分析判断，也未参与任何结论的编造。所有由 AI 生成的代码均经本人逐行审阅、在真实数据上运行验证，并按课程要求完整披露。本项目未抄袭任何他人的代码或仓库。</w:t>
      </w:r>
    </w:p>
    <w:p>
      <w:r>
        <w:br w:type="page"/>
      </w:r>
    </w:p>
    <w:p>
      <w:pPr>
        <w:keepNext/>
        <w:spacing w:line="360" w:lineRule="auto" w:before="160" w:after="80"/>
        <w:outlineLvl w:val="0"/>
      </w:pPr>
      <w:r>
        <w:rPr>
          <w:rFonts w:ascii="Times New Roman" w:hAnsi="Times New Roman" w:eastAsia="黑体"/>
          <w:b/>
          <w:color w:val="000000"/>
          <w:sz w:val="28"/>
        </w:rPr>
        <w:t>参考文献</w:t>
      </w:r>
    </w:p>
    <w:p>
      <w:pPr>
        <w:spacing w:line="360" w:lineRule="auto" w:after="60"/>
        <w:ind w:left="480" w:hanging="480"/>
      </w:pPr>
      <w:r>
        <w:rPr>
          <w:rFonts w:ascii="Times New Roman" w:hAnsi="Times New Roman" w:eastAsia="宋体"/>
          <w:color w:val="000000"/>
          <w:sz w:val="21"/>
        </w:rPr>
        <w:t>[1] Chen, D. (2012). Online Retail II [Dataset]. UCI Machine Learning Repository. https://doi.org/10.24432/C60H6D.</w:t>
      </w:r>
    </w:p>
    <w:p>
      <w:pPr>
        <w:spacing w:line="360" w:lineRule="auto" w:after="60"/>
        <w:ind w:left="480" w:hanging="480"/>
      </w:pPr>
      <w:r>
        <w:rPr>
          <w:rFonts w:ascii="Times New Roman" w:hAnsi="Times New Roman" w:eastAsia="宋体"/>
          <w:color w:val="000000"/>
          <w:sz w:val="21"/>
        </w:rPr>
        <w:t>[2] 陈剑, 等. Excel 数据可视化——从图表到数据大屏[M]. 北京: 电子工业出版社.</w:t>
      </w:r>
    </w:p>
    <w:p>
      <w:pPr>
        <w:spacing w:line="360" w:lineRule="auto" w:after="60"/>
        <w:ind w:left="480" w:hanging="480"/>
      </w:pPr>
      <w:r>
        <w:rPr>
          <w:rFonts w:ascii="Times New Roman" w:hAnsi="Times New Roman" w:eastAsia="宋体"/>
          <w:color w:val="000000"/>
          <w:sz w:val="21"/>
        </w:rPr>
        <w:t>[3] McKinney, W. Python for Data Analysis: Data Wrangling with pandas, NumPy, and IPython[M]. 3rd ed. Sebastopol: O'Reilly Media, 2022.</w:t>
      </w:r>
    </w:p>
    <w:p>
      <w:pPr>
        <w:spacing w:line="360" w:lineRule="auto" w:after="60"/>
        <w:ind w:left="480" w:hanging="480"/>
      </w:pPr>
      <w:r>
        <w:rPr>
          <w:rFonts w:ascii="Times New Roman" w:hAnsi="Times New Roman" w:eastAsia="宋体"/>
          <w:color w:val="000000"/>
          <w:sz w:val="21"/>
        </w:rPr>
        <w:t>[4] Hunter, J. D. Matplotlib: A 2D Graphics Environment[J]. Computing in Science &amp; Engineering, 2007, 9(3): 90-95.</w:t>
      </w:r>
    </w:p>
    <w:p>
      <w:pPr>
        <w:spacing w:line="360" w:lineRule="auto" w:after="60"/>
        <w:ind w:left="480" w:hanging="480"/>
      </w:pPr>
      <w:r>
        <w:rPr>
          <w:rFonts w:ascii="Times New Roman" w:hAnsi="Times New Roman" w:eastAsia="宋体"/>
          <w:color w:val="000000"/>
          <w:sz w:val="21"/>
        </w:rPr>
        <w:t>[5] Hyndman, R. J., &amp; Athanasopoulos, G. Forecasting: Principles and Practice[M]. 3rd ed. Melbourne: OTexts, 2021.</w:t>
      </w:r>
    </w:p>
    <w:p>
      <w:pPr>
        <w:spacing w:line="360" w:lineRule="auto" w:after="60"/>
        <w:ind w:left="480" w:hanging="480"/>
      </w:pPr>
      <w:r>
        <w:rPr>
          <w:rFonts w:ascii="Times New Roman" w:hAnsi="Times New Roman" w:eastAsia="宋体"/>
          <w:color w:val="000000"/>
          <w:sz w:val="21"/>
        </w:rPr>
        <w:t>[6] Agrawal, R., &amp; Srikant, R. Fast Algorithms for Mining Association Rules[C]. Proceedings of the 20th VLDB Conference, 1994: 487-499.</w:t>
      </w:r>
    </w:p>
    <w:p>
      <w:pPr>
        <w:spacing w:line="360" w:lineRule="auto" w:after="60"/>
        <w:ind w:left="480" w:hanging="480"/>
      </w:pPr>
      <w:r>
        <w:rPr>
          <w:rFonts w:ascii="Times New Roman" w:hAnsi="Times New Roman" w:eastAsia="宋体"/>
          <w:color w:val="000000"/>
          <w:sz w:val="21"/>
        </w:rPr>
        <w:t>[7] Raschk, S. Python Machine Learning: Machine Learning and Deep Learning with Python, scikit-learn, and TensorFlow 2[M]. 3rd ed. Birmingham: Packt Publishing, 2019.</w:t>
      </w:r>
    </w:p>
    <w:p>
      <w:pPr>
        <w:spacing w:line="360" w:lineRule="auto" w:after="60"/>
        <w:ind w:left="480" w:hanging="480"/>
      </w:pPr>
      <w:r>
        <w:rPr>
          <w:rFonts w:ascii="Times New Roman" w:hAnsi="Times New Roman" w:eastAsia="宋体"/>
          <w:color w:val="000000"/>
          <w:sz w:val="21"/>
        </w:rPr>
        <w:t>[8] Pedregosa, F., et al. Scikit-learn: Machine Learning in Python[J]. Journal of Machine Learning Research, 2011, 12: 2825-2830.</w:t>
      </w:r>
    </w:p>
    <w:p>
      <w:r>
        <w:br w:type="page"/>
      </w:r>
    </w:p>
    <w:p>
      <w:pPr>
        <w:keepNext/>
        <w:spacing w:line="360" w:lineRule="auto" w:before="160" w:after="80"/>
        <w:outlineLvl w:val="0"/>
      </w:pPr>
      <w:r>
        <w:rPr>
          <w:rFonts w:ascii="Times New Roman" w:hAnsi="Times New Roman" w:eastAsia="黑体"/>
          <w:b/>
          <w:color w:val="000000"/>
          <w:sz w:val="28"/>
        </w:rPr>
        <w:t>附录</w:t>
      </w:r>
    </w:p>
    <w:p>
      <w:pPr>
        <w:keepNext/>
        <w:spacing w:line="360" w:lineRule="auto" w:before="100" w:after="80"/>
        <w:outlineLvl w:val="1"/>
      </w:pPr>
      <w:r>
        <w:rPr>
          <w:rFonts w:ascii="Times New Roman" w:hAnsi="Times New Roman" w:eastAsia="黑体"/>
          <w:b/>
          <w:color w:val="000000"/>
          <w:sz w:val="24"/>
        </w:rPr>
        <w:t>附录 A　核心代码片段</w:t>
      </w:r>
    </w:p>
    <w:p>
      <w:pPr>
        <w:spacing w:line="360" w:lineRule="auto" w:after="40" w:before="0"/>
        <w:jc w:val="both"/>
      </w:pPr>
      <w:r>
        <w:rPr>
          <w:rFonts w:ascii="Times New Roman" w:hAnsi="Times New Roman" w:eastAsia="宋体"/>
          <w:b w:val="0"/>
          <w:color w:val="000000"/>
          <w:sz w:val="24"/>
        </w:rPr>
        <w:t>A.1　按发票整单随机抽样（保证购物篮完整，固定随机种子 2026）</w:t>
      </w:r>
    </w:p>
    <w:p>
      <w:pPr>
        <w:spacing w:line="276" w:lineRule="auto" w:after="160"/>
        <w:ind w:left="360"/>
      </w:pPr>
      <w:r>
        <w:rPr>
          <w:rFonts w:ascii="Times New Roman" w:hAnsi="Times New Roman" w:eastAsia="Consolas"/>
          <w:color w:val="000000"/>
          <w:sz w:val="18"/>
        </w:rPr>
        <w:t>rng = np.random.default_rng(cfg.RANDOM_SEED)          # 随机种子固定，结果可复现</w:t>
      </w:r>
      <w:r>
        <w:br/>
      </w:r>
      <w:r>
        <w:rPr>
          <w:rFonts w:ascii="Times New Roman" w:hAnsi="Times New Roman" w:eastAsia="Consolas"/>
          <w:color w:val="000000"/>
          <w:sz w:val="18"/>
        </w:rPr>
        <w:t>invoices = full['Invoice'].drop_duplicates()</w:t>
      </w:r>
      <w:r>
        <w:br/>
      </w:r>
      <w:r>
        <w:rPr>
          <w:rFonts w:ascii="Times New Roman" w:hAnsi="Times New Roman" w:eastAsia="Consolas"/>
          <w:color w:val="000000"/>
          <w:sz w:val="18"/>
        </w:rPr>
        <w:t>picked = rng.choice(invoices, size=int(len(invoices) * cfg.SAMPLE_FRAC), replace=False)</w:t>
      </w:r>
      <w:r>
        <w:br/>
      </w:r>
      <w:r>
        <w:rPr>
          <w:rFonts w:ascii="Times New Roman" w:hAnsi="Times New Roman" w:eastAsia="Consolas"/>
          <w:color w:val="000000"/>
          <w:sz w:val="18"/>
        </w:rPr>
        <w:t># 关键：以「发票」为抽样单元，保留选中发票的全部明细行</w:t>
      </w:r>
      <w:r>
        <w:br/>
      </w:r>
      <w:r>
        <w:rPr>
          <w:rFonts w:ascii="Times New Roman" w:hAnsi="Times New Roman" w:eastAsia="Consolas"/>
          <w:color w:val="000000"/>
          <w:sz w:val="18"/>
        </w:rPr>
        <w:t>sampled = full[full['Invoice'].isin(picked)].copy()</w:t>
      </w:r>
    </w:p>
    <w:p>
      <w:pPr>
        <w:spacing w:line="360" w:lineRule="auto" w:after="40" w:before="0"/>
        <w:jc w:val="both"/>
      </w:pPr>
      <w:r>
        <w:rPr>
          <w:rFonts w:ascii="Times New Roman" w:hAnsi="Times New Roman" w:eastAsia="宋体"/>
          <w:b w:val="0"/>
          <w:color w:val="000000"/>
          <w:sz w:val="24"/>
        </w:rPr>
        <w:t>A.2　RFM 八分类（中位数切分 + R/F/M 三维度交叉）</w:t>
      </w:r>
    </w:p>
    <w:p>
      <w:pPr>
        <w:spacing w:line="276" w:lineRule="auto" w:after="160"/>
        <w:ind w:left="360"/>
      </w:pPr>
      <w:r>
        <w:rPr>
          <w:rFonts w:ascii="Times New Roman" w:hAnsi="Times New Roman" w:eastAsia="Consolas"/>
          <w:color w:val="000000"/>
          <w:sz w:val="18"/>
        </w:rPr>
        <w:t>snapshot = fact['OrderDate'].max() + pd.Timedelta(days=1)</w:t>
      </w:r>
      <w:r>
        <w:br/>
      </w:r>
      <w:r>
        <w:rPr>
          <w:rFonts w:ascii="Times New Roman" w:hAnsi="Times New Roman" w:eastAsia="Consolas"/>
          <w:color w:val="000000"/>
          <w:sz w:val="18"/>
        </w:rPr>
        <w:t>rfm = fact.groupby('CustomerID').agg(</w:t>
      </w:r>
      <w:r>
        <w:br/>
      </w:r>
      <w:r>
        <w:rPr>
          <w:rFonts w:ascii="Times New Roman" w:hAnsi="Times New Roman" w:eastAsia="Consolas"/>
          <w:color w:val="000000"/>
          <w:sz w:val="18"/>
        </w:rPr>
        <w:t xml:space="preserve">    Recency=('OrderDate', lambda s: (snapshot - s.max()).days),</w:t>
      </w:r>
      <w:r>
        <w:br/>
      </w:r>
      <w:r>
        <w:rPr>
          <w:rFonts w:ascii="Times New Roman" w:hAnsi="Times New Roman" w:eastAsia="Consolas"/>
          <w:color w:val="000000"/>
          <w:sz w:val="18"/>
        </w:rPr>
        <w:t xml:space="preserve">    Frequency=('Invoice', 'nunique'),</w:t>
      </w:r>
      <w:r>
        <w:br/>
      </w:r>
      <w:r>
        <w:rPr>
          <w:rFonts w:ascii="Times New Roman" w:hAnsi="Times New Roman" w:eastAsia="Consolas"/>
          <w:color w:val="000000"/>
          <w:sz w:val="18"/>
        </w:rPr>
        <w:t xml:space="preserve">    Monetary=('Revenue', 'sum')).reset_index()</w:t>
      </w:r>
      <w:r>
        <w:br/>
      </w:r>
      <w:r>
        <w:rPr>
          <w:rFonts w:ascii="Times New Roman" w:hAnsi="Times New Roman" w:eastAsia="Consolas"/>
          <w:color w:val="000000"/>
          <w:sz w:val="18"/>
        </w:rPr>
        <w:t># 中位数切分：R/F/M 均右偏，中位数对极值稳健</w:t>
      </w:r>
      <w:r>
        <w:br/>
      </w:r>
      <w:r>
        <w:rPr>
          <w:rFonts w:ascii="Times New Roman" w:hAnsi="Times New Roman" w:eastAsia="Consolas"/>
          <w:color w:val="000000"/>
          <w:sz w:val="18"/>
        </w:rPr>
        <w:t>for col, asc in [('Recency', True), ('Frequency', False), ('Monetary', False)]:</w:t>
      </w:r>
      <w:r>
        <w:br/>
      </w:r>
      <w:r>
        <w:rPr>
          <w:rFonts w:ascii="Times New Roman" w:hAnsi="Times New Roman" w:eastAsia="Consolas"/>
          <w:color w:val="000000"/>
          <w:sz w:val="18"/>
        </w:rPr>
        <w:t xml:space="preserve">    thr = rfm[col].median()</w:t>
      </w:r>
      <w:r>
        <w:br/>
      </w:r>
      <w:r>
        <w:rPr>
          <w:rFonts w:ascii="Times New Roman" w:hAnsi="Times New Roman" w:eastAsia="Consolas"/>
          <w:color w:val="000000"/>
          <w:sz w:val="18"/>
        </w:rPr>
        <w:t xml:space="preserve">    rfm[f'R_' if col == 'Recency' else ''] = ...   # 高/低二值化后拼接为 8 类</w:t>
      </w:r>
    </w:p>
    <w:p>
      <w:pPr>
        <w:spacing w:line="360" w:lineRule="auto" w:after="40" w:before="0"/>
        <w:jc w:val="both"/>
      </w:pPr>
      <w:r>
        <w:rPr>
          <w:rFonts w:ascii="Times New Roman" w:hAnsi="Times New Roman" w:eastAsia="宋体"/>
          <w:b w:val="0"/>
          <w:color w:val="000000"/>
          <w:sz w:val="24"/>
        </w:rPr>
        <w:t>A.3　Apriori 关联规则（三阈值均有业务依据）</w:t>
      </w:r>
    </w:p>
    <w:p>
      <w:pPr>
        <w:spacing w:line="276" w:lineRule="auto" w:after="160"/>
        <w:ind w:left="360"/>
      </w:pPr>
      <w:r>
        <w:rPr>
          <w:rFonts w:ascii="Times New Roman" w:hAnsi="Times New Roman" w:eastAsia="Consolas"/>
          <w:color w:val="000000"/>
          <w:sz w:val="18"/>
        </w:rPr>
        <w:t>frequent = apriori(basket_bool, min_support=0.01, use_colnames=True, max_len=3)</w:t>
      </w:r>
      <w:r>
        <w:br/>
      </w:r>
      <w:r>
        <w:rPr>
          <w:rFonts w:ascii="Times New Roman" w:hAnsi="Times New Roman" w:eastAsia="Consolas"/>
          <w:color w:val="000000"/>
          <w:sz w:val="18"/>
        </w:rPr>
        <w:t>rules = association_rules(frequent, metric='lift', min_threshold=1.0)</w:t>
      </w:r>
      <w:r>
        <w:br/>
      </w:r>
      <w:r>
        <w:rPr>
          <w:rFonts w:ascii="Times New Roman" w:hAnsi="Times New Roman" w:eastAsia="Consolas"/>
          <w:color w:val="000000"/>
          <w:sz w:val="18"/>
        </w:rPr>
        <w:t>rules = rules[rules['confidence'] &gt;= 0.15].sort_values('lift', ascending=False)</w:t>
      </w:r>
      <w:r>
        <w:br/>
      </w:r>
      <w:r>
        <w:rPr>
          <w:rFonts w:ascii="Times New Roman" w:hAnsi="Times New Roman" w:eastAsia="Consolas"/>
          <w:color w:val="000000"/>
          <w:sz w:val="18"/>
        </w:rPr>
        <w:t># 支持度≥1%（有铺货价值） 提升度&gt;1（正向关联） 置信度≥15%（推荐可命中）</w:t>
      </w:r>
    </w:p>
    <w:p>
      <w:pPr>
        <w:spacing w:line="360" w:lineRule="auto" w:after="40" w:before="0"/>
        <w:jc w:val="both"/>
      </w:pPr>
      <w:r>
        <w:rPr>
          <w:rFonts w:ascii="Times New Roman" w:hAnsi="Times New Roman" w:eastAsia="宋体"/>
          <w:b w:val="0"/>
          <w:color w:val="000000"/>
          <w:sz w:val="24"/>
        </w:rPr>
        <w:t>A.4　Holt-Winters 预测 + 95% 置信区间 + 留出回测</w:t>
      </w:r>
    </w:p>
    <w:p>
      <w:pPr>
        <w:spacing w:line="276" w:lineRule="auto" w:after="160"/>
        <w:ind w:left="360"/>
      </w:pPr>
      <w:r>
        <w:rPr>
          <w:rFonts w:ascii="Times New Roman" w:hAnsi="Times New Roman" w:eastAsia="Consolas"/>
          <w:color w:val="000000"/>
          <w:sz w:val="18"/>
        </w:rPr>
        <w:t>model = ExponentialSmoothing(train, trend='add', damped_trend=True,</w:t>
      </w:r>
      <w:r>
        <w:br/>
      </w:r>
      <w:r>
        <w:rPr>
          <w:rFonts w:ascii="Times New Roman" w:hAnsi="Times New Roman" w:eastAsia="Consolas"/>
          <w:color w:val="000000"/>
          <w:sz w:val="18"/>
        </w:rPr>
        <w:t xml:space="preserve">                             seasonal='add', seasonal_periods=7).fit()</w:t>
      </w:r>
      <w:r>
        <w:br/>
      </w:r>
      <w:r>
        <w:rPr>
          <w:rFonts w:ascii="Times New Roman" w:hAnsi="Times New Roman" w:eastAsia="Consolas"/>
          <w:color w:val="000000"/>
          <w:sz w:val="18"/>
        </w:rPr>
        <w:t>fc  = model.forecast(30)                      # 点预测</w:t>
      </w:r>
      <w:r>
        <w:br/>
      </w:r>
      <w:r>
        <w:rPr>
          <w:rFonts w:ascii="Times New Roman" w:hAnsi="Times New Roman" w:eastAsia="Consolas"/>
          <w:color w:val="000000"/>
          <w:sz w:val="18"/>
        </w:rPr>
        <w:t>res = model.resid                             # 残差标准差构造区间</w:t>
      </w:r>
      <w:r>
        <w:br/>
      </w:r>
      <w:r>
        <w:rPr>
          <w:rFonts w:ascii="Times New Roman" w:hAnsi="Times New Roman" w:eastAsia="Consolas"/>
          <w:color w:val="000000"/>
          <w:sz w:val="18"/>
        </w:rPr>
        <w:t>lower = np.maximum(fc - 1.96 * sigma, 0)      # 销售额非负 → 下界截断</w:t>
      </w:r>
      <w:r>
        <w:br/>
      </w:r>
      <w:r>
        <w:rPr>
          <w:rFonts w:ascii="Times New Roman" w:hAnsi="Times New Roman" w:eastAsia="Consolas"/>
          <w:color w:val="000000"/>
          <w:sz w:val="18"/>
        </w:rPr>
        <w:t>upper = fc + 1.96 * sigma</w:t>
      </w:r>
      <w:r>
        <w:br/>
      </w:r>
      <w:r>
        <w:rPr>
          <w:rFonts w:ascii="Times New Roman" w:hAnsi="Times New Roman" w:eastAsia="Consolas"/>
          <w:color w:val="000000"/>
          <w:sz w:val="18"/>
        </w:rPr>
        <w:t>mape = mean_absolute_percentage_error(test, fc_test)</w:t>
      </w:r>
    </w:p>
    <w:p>
      <w:pPr>
        <w:spacing w:line="360" w:lineRule="auto" w:after="40" w:before="0"/>
        <w:jc w:val="both"/>
      </w:pPr>
      <w:r>
        <w:rPr>
          <w:rFonts w:ascii="Times New Roman" w:hAnsi="Times New Roman" w:eastAsia="宋体"/>
          <w:b w:val="0"/>
          <w:color w:val="000000"/>
          <w:sz w:val="24"/>
        </w:rPr>
        <w:t>A.5　矩形树图 squarify 算法（Matplotlib 无原生支持，自行实现）</w:t>
      </w:r>
    </w:p>
    <w:p>
      <w:pPr>
        <w:spacing w:line="276" w:lineRule="auto" w:after="160"/>
        <w:ind w:left="360"/>
      </w:pPr>
      <w:r>
        <w:rPr>
          <w:rFonts w:ascii="Times New Roman" w:hAnsi="Times New Roman" w:eastAsia="Consolas"/>
          <w:color w:val="000000"/>
          <w:sz w:val="18"/>
        </w:rPr>
        <w:t>def squarify(sizes, x, y, w, h):</w:t>
      </w:r>
      <w:r>
        <w:br/>
      </w:r>
      <w:r>
        <w:rPr>
          <w:rFonts w:ascii="Times New Roman" w:hAnsi="Times New Roman" w:eastAsia="Consolas"/>
          <w:color w:val="000000"/>
          <w:sz w:val="18"/>
        </w:rPr>
        <w:t xml:space="preserve">    # 始终沿当前矩形较短的一边排布，使子矩形长宽比尽量接近 1</w:t>
      </w:r>
      <w:r>
        <w:br/>
      </w:r>
      <w:r>
        <w:rPr>
          <w:rFonts w:ascii="Times New Roman" w:hAnsi="Times New Roman" w:eastAsia="Consolas"/>
          <w:color w:val="000000"/>
          <w:sz w:val="18"/>
        </w:rPr>
        <w:t xml:space="preserve">    if len(sizes) == 1: return [(x, y, w, h)]</w:t>
      </w:r>
      <w:r>
        <w:br/>
      </w:r>
      <w:r>
        <w:rPr>
          <w:rFonts w:ascii="Times New Roman" w:hAnsi="Times New Roman" w:eastAsia="Consolas"/>
          <w:color w:val="000000"/>
          <w:sz w:val="18"/>
        </w:rPr>
        <w:t xml:space="preserve">    half = int(len(sizes) / 2)</w:t>
      </w:r>
      <w:r>
        <w:br/>
      </w:r>
      <w:r>
        <w:rPr>
          <w:rFonts w:ascii="Times New Roman" w:hAnsi="Times New Roman" w:eastAsia="Consolas"/>
          <w:color w:val="000000"/>
          <w:sz w:val="18"/>
        </w:rPr>
        <w:t xml:space="preserve">    if w &gt;= h:   # 竖切</w:t>
      </w:r>
      <w:r>
        <w:br/>
      </w:r>
      <w:r>
        <w:rPr>
          <w:rFonts w:ascii="Times New Roman" w:hAnsi="Times New Roman" w:eastAsia="Consolas"/>
          <w:color w:val="000000"/>
          <w:sz w:val="18"/>
        </w:rPr>
        <w:t xml:space="preserve">        ...</w:t>
      </w:r>
      <w:r>
        <w:br/>
      </w:r>
      <w:r>
        <w:rPr>
          <w:rFonts w:ascii="Times New Roman" w:hAnsi="Times New Roman" w:eastAsia="Consolas"/>
          <w:color w:val="000000"/>
          <w:sz w:val="18"/>
        </w:rPr>
        <w:t xml:space="preserve">    else:        # 横切</w:t>
      </w:r>
      <w:r>
        <w:br/>
      </w:r>
      <w:r>
        <w:rPr>
          <w:rFonts w:ascii="Times New Roman" w:hAnsi="Times New Roman" w:eastAsia="Consolas"/>
          <w:color w:val="000000"/>
          <w:sz w:val="18"/>
        </w:rPr>
        <w:t xml:space="preserve">        ...</w:t>
      </w:r>
    </w:p>
    <w:p>
      <w:pPr>
        <w:spacing w:line="360" w:lineRule="auto" w:after="40" w:before="0"/>
        <w:jc w:val="both"/>
      </w:pPr>
      <w:r>
        <w:rPr>
          <w:rFonts w:ascii="Times New Roman" w:hAnsi="Times New Roman" w:eastAsia="宋体"/>
          <w:b w:val="0"/>
          <w:color w:val="000000"/>
          <w:sz w:val="24"/>
        </w:rPr>
        <w:t>A.6　流失预警的观测窗 / 表现窗切分与时间外验证（防数据泄漏）</w:t>
      </w:r>
    </w:p>
    <w:p>
      <w:pPr>
        <w:spacing w:line="276" w:lineRule="auto" w:after="160"/>
        <w:ind w:left="360"/>
      </w:pPr>
      <w:r>
        <w:rPr>
          <w:rFonts w:ascii="Times New Roman" w:hAnsi="Times New Roman" w:eastAsia="Consolas"/>
          <w:color w:val="000000"/>
          <w:sz w:val="18"/>
        </w:rPr>
        <w:t># 两窗严格不重叠：特征只来自观测窗，标签只来自表现窗</w:t>
      </w:r>
      <w:r>
        <w:br/>
      </w:r>
      <w:r>
        <w:rPr>
          <w:rFonts w:ascii="Times New Roman" w:hAnsi="Times New Roman" w:eastAsia="Consolas"/>
          <w:color w:val="000000"/>
          <w:sz w:val="18"/>
        </w:rPr>
        <w:t>obs_end, perf_end = '2011-08-31', '2011-11-30'</w:t>
      </w:r>
      <w:r>
        <w:br/>
      </w:r>
      <w:r>
        <w:rPr>
          <w:rFonts w:ascii="Times New Roman" w:hAnsi="Times New Roman" w:eastAsia="Consolas"/>
          <w:color w:val="000000"/>
          <w:sz w:val="18"/>
        </w:rPr>
        <w:t>feat = customers[customers['LastPurchase'] &lt;= obs_end]      # 特征截止</w:t>
      </w:r>
      <w:r>
        <w:br/>
      </w:r>
      <w:r>
        <w:rPr>
          <w:rFonts w:ascii="Times New Roman" w:hAnsi="Times New Roman" w:eastAsia="Consolas"/>
          <w:color w:val="000000"/>
          <w:sz w:val="18"/>
        </w:rPr>
        <w:t>label = customers[(customers['LastPurchase'] &gt; obs_end) &amp;   # 表现窗内</w:t>
      </w:r>
      <w:r>
        <w:br/>
      </w:r>
      <w:r>
        <w:rPr>
          <w:rFonts w:ascii="Times New Roman" w:hAnsi="Times New Roman" w:eastAsia="Consolas"/>
          <w:color w:val="000000"/>
          <w:sz w:val="18"/>
        </w:rPr>
        <w:t xml:space="preserve">                   (customers['LastPurchase'] &lt;= perf_end)].index</w:t>
      </w:r>
      <w:r>
        <w:br/>
      </w:r>
      <w:r>
        <w:rPr>
          <w:rFonts w:ascii="Times New Roman" w:hAnsi="Times New Roman" w:eastAsia="Consolas"/>
          <w:color w:val="000000"/>
          <w:sz w:val="18"/>
        </w:rPr>
        <w:t>y = pd.Series((~feat.index.isin(label)).astype(int),       # 表现窗静默=流失</w:t>
      </w:r>
      <w:r>
        <w:br/>
      </w:r>
      <w:r>
        <w:rPr>
          <w:rFonts w:ascii="Times New Roman" w:hAnsi="Times New Roman" w:eastAsia="Consolas"/>
          <w:color w:val="000000"/>
          <w:sz w:val="18"/>
        </w:rPr>
        <w:t xml:space="preserve">              index=feat.index)</w:t>
      </w:r>
      <w:r>
        <w:br/>
      </w:r>
      <w:r>
        <w:rPr>
          <w:rFonts w:ascii="Times New Roman" w:hAnsi="Times New Roman" w:eastAsia="Consolas"/>
          <w:color w:val="000000"/>
          <w:sz w:val="18"/>
        </w:rPr>
        <w:t># 时间外验证：用 2011-08-31 之前的数据训练，预测其后的流失</w:t>
      </w:r>
      <w:r>
        <w:br/>
      </w:r>
      <w:r>
        <w:rPr>
          <w:rFonts w:ascii="Times New Roman" w:hAnsi="Times New Roman" w:eastAsia="Consolas"/>
          <w:color w:val="000000"/>
          <w:sz w:val="18"/>
        </w:rPr>
        <w:t>scores_oof = cross_val_predict(clf, X, y, cv=5, method='predict_proba')[:, 1]</w:t>
      </w:r>
    </w:p>
    <w:p>
      <w:pPr>
        <w:keepNext/>
        <w:spacing w:line="360" w:lineRule="auto" w:before="100" w:after="80"/>
        <w:outlineLvl w:val="1"/>
      </w:pPr>
      <w:r>
        <w:rPr>
          <w:rFonts w:ascii="Times New Roman" w:hAnsi="Times New Roman" w:eastAsia="黑体"/>
          <w:b/>
          <w:color w:val="000000"/>
          <w:sz w:val="24"/>
        </w:rPr>
        <w:t>附录 B　GitHub 仓库链接与目录结构</w:t>
      </w:r>
    </w:p>
    <w:p>
      <w:pPr>
        <w:spacing w:line="360" w:lineRule="auto" w:after="80" w:before="0"/>
        <w:jc w:val="both"/>
      </w:pPr>
      <w:r>
        <w:rPr>
          <w:rFonts w:ascii="Times New Roman" w:hAnsi="Times New Roman" w:eastAsia="宋体"/>
          <w:b w:val="0"/>
          <w:color w:val="000000"/>
          <w:sz w:val="24"/>
        </w:rPr>
        <w:t>仓库地址（公开可见）：https://github.com/heee-a/business-data-analysis</w:t>
      </w:r>
    </w:p>
    <w:p>
      <w:pPr>
        <w:spacing w:line="360" w:lineRule="auto" w:after="80" w:before="0"/>
        <w:jc w:val="both"/>
      </w:pPr>
      <w:r>
        <w:rPr>
          <w:rFonts w:ascii="Times New Roman" w:hAnsi="Times New Roman" w:eastAsia="宋体"/>
          <w:b w:val="0"/>
          <w:color w:val="000000"/>
          <w:sz w:val="24"/>
        </w:rPr>
        <w:t>GitHub Pages 大屏在线地址：https://heee-a.github.io/business-data-analysis/</w:t>
      </w:r>
    </w:p>
    <w:p>
      <w:pPr>
        <w:spacing w:line="276" w:lineRule="auto" w:after="160"/>
        <w:ind w:left="360"/>
      </w:pPr>
      <w:r>
        <w:rPr>
          <w:rFonts w:ascii="Times New Roman" w:hAnsi="Times New Roman" w:eastAsia="Consolas"/>
          <w:color w:val="000000"/>
          <w:sz w:val="18"/>
        </w:rPr>
        <w:t>business-data-analysis/</w:t>
      </w:r>
      <w:r>
        <w:br/>
      </w:r>
      <w:r>
        <w:rPr>
          <w:rFonts w:ascii="Times New Roman" w:hAnsi="Times New Roman" w:eastAsia="Consolas"/>
          <w:color w:val="000000"/>
          <w:sz w:val="18"/>
        </w:rPr>
        <w:t>├── data/</w:t>
      </w:r>
      <w:r>
        <w:br/>
      </w:r>
      <w:r>
        <w:rPr>
          <w:rFonts w:ascii="Times New Roman" w:hAnsi="Times New Roman" w:eastAsia="Consolas"/>
          <w:color w:val="000000"/>
          <w:sz w:val="18"/>
        </w:rPr>
        <w:t>│   ├── raw/        online_retail_II_raw_sample.csv(.gz)、provenance.json、sampled_invoice_ids.csv</w:t>
      </w:r>
      <w:r>
        <w:br/>
      </w:r>
      <w:r>
        <w:rPr>
          <w:rFonts w:ascii="Times New Roman" w:hAnsi="Times New Roman" w:eastAsia="Consolas"/>
          <w:color w:val="000000"/>
          <w:sz w:val="18"/>
        </w:rPr>
        <w:t>│   ├── clean/      fact_order_items、dim_orders、dim_products、dim_customers、dim_date</w:t>
      </w:r>
      <w:r>
        <w:br/>
      </w:r>
      <w:r>
        <w:rPr>
          <w:rFonts w:ascii="Times New Roman" w:hAnsi="Times New Roman" w:eastAsia="Consolas"/>
          <w:color w:val="000000"/>
          <w:sz w:val="18"/>
        </w:rPr>
        <w:t>│   │               retail_clean.sqlite(.gz)</w:t>
      </w:r>
      <w:r>
        <w:br/>
      </w:r>
      <w:r>
        <w:rPr>
          <w:rFonts w:ascii="Times New Roman" w:hAnsi="Times New Roman" w:eastAsia="Consolas"/>
          <w:color w:val="000000"/>
          <w:sz w:val="18"/>
        </w:rPr>
        <w:t>│   └── schema/     data_dictionary.csv、star_schema.json、README_schema.md</w:t>
      </w:r>
      <w:r>
        <w:br/>
      </w:r>
      <w:r>
        <w:rPr>
          <w:rFonts w:ascii="Times New Roman" w:hAnsi="Times New Roman" w:eastAsia="Consolas"/>
          <w:color w:val="000000"/>
          <w:sz w:val="18"/>
        </w:rPr>
        <w:t>├── scripts/</w:t>
      </w:r>
      <w:r>
        <w:br/>
      </w:r>
      <w:r>
        <w:rPr>
          <w:rFonts w:ascii="Times New Roman" w:hAnsi="Times New Roman" w:eastAsia="Consolas"/>
          <w:color w:val="000000"/>
          <w:sz w:val="18"/>
        </w:rPr>
        <w:t>│   ├── 01_load.py       数据获取（官方下载 + 按发票抽样）</w:t>
      </w:r>
      <w:r>
        <w:br/>
      </w:r>
      <w:r>
        <w:rPr>
          <w:rFonts w:ascii="Times New Roman" w:hAnsi="Times New Roman" w:eastAsia="Consolas"/>
          <w:color w:val="000000"/>
          <w:sz w:val="18"/>
        </w:rPr>
        <w:t>│   ├── 02_clean.py      清洗治理 + 星型模型 + 多格式导出</w:t>
      </w:r>
      <w:r>
        <w:br/>
      </w:r>
      <w:r>
        <w:rPr>
          <w:rFonts w:ascii="Times New Roman" w:hAnsi="Times New Roman" w:eastAsia="Consolas"/>
          <w:color w:val="000000"/>
          <w:sz w:val="18"/>
        </w:rPr>
        <w:t>│   ├── 03_analysis.py   10 类商业分析模型</w:t>
      </w:r>
      <w:r>
        <w:br/>
      </w:r>
      <w:r>
        <w:rPr>
          <w:rFonts w:ascii="Times New Roman" w:hAnsi="Times New Roman" w:eastAsia="Consolas"/>
          <w:color w:val="000000"/>
          <w:sz w:val="18"/>
        </w:rPr>
        <w:t>│   ├── 04_visuals.py    37 张静态图表（200dpi）</w:t>
      </w:r>
      <w:r>
        <w:br/>
      </w:r>
      <w:r>
        <w:rPr>
          <w:rFonts w:ascii="Times New Roman" w:hAnsi="Times New Roman" w:eastAsia="Consolas"/>
          <w:color w:val="000000"/>
          <w:sz w:val="18"/>
        </w:rPr>
        <w:t>│   ├── 05_dashboard.py  Pyecharts 交互大屏（22 组件）</w:t>
      </w:r>
      <w:r>
        <w:br/>
      </w:r>
      <w:r>
        <w:rPr>
          <w:rFonts w:ascii="Times New Roman" w:hAnsi="Times New Roman" w:eastAsia="Consolas"/>
          <w:color w:val="000000"/>
          <w:sz w:val="18"/>
        </w:rPr>
        <w:t>│   ├── 06_report.py     期末大论文与图表索引生成</w:t>
      </w:r>
      <w:r>
        <w:br/>
      </w:r>
      <w:r>
        <w:rPr>
          <w:rFonts w:ascii="Times New Roman" w:hAnsi="Times New Roman" w:eastAsia="Consolas"/>
          <w:color w:val="000000"/>
          <w:sz w:val="18"/>
        </w:rPr>
        <w:t>│   ├── 07_offline_bundle.py  离线自包含大屏打包</w:t>
      </w:r>
      <w:r>
        <w:br/>
      </w:r>
      <w:r>
        <w:rPr>
          <w:rFonts w:ascii="Times New Roman" w:hAnsi="Times New Roman" w:eastAsia="Consolas"/>
          <w:color w:val="000000"/>
          <w:sz w:val="18"/>
        </w:rPr>
        <w:t>│   ├── 08_deliver.py    交付物归档</w:t>
      </w:r>
      <w:r>
        <w:br/>
      </w:r>
      <w:r>
        <w:rPr>
          <w:rFonts w:ascii="Times New Roman" w:hAnsi="Times New Roman" w:eastAsia="Consolas"/>
          <w:color w:val="000000"/>
          <w:sz w:val="18"/>
        </w:rPr>
        <w:t>│   ├── 09_excel_summary.py  关键结果 Excel 汇总</w:t>
      </w:r>
      <w:r>
        <w:br/>
      </w:r>
      <w:r>
        <w:rPr>
          <w:rFonts w:ascii="Times New Roman" w:hAnsi="Times New Roman" w:eastAsia="Consolas"/>
          <w:color w:val="000000"/>
          <w:sz w:val="18"/>
        </w:rPr>
        <w:t>│   ├── 10_dashboard_screenshots.py  大屏演示截图（拼图 + GIF）</w:t>
      </w:r>
      <w:r>
        <w:br/>
      </w:r>
      <w:r>
        <w:rPr>
          <w:rFonts w:ascii="Times New Roman" w:hAnsi="Times New Roman" w:eastAsia="Consolas"/>
          <w:color w:val="000000"/>
          <w:sz w:val="18"/>
        </w:rPr>
        <w:t>│   └── utils/           config.py / io_utils.py / style.py / chart_helpers.py</w:t>
      </w:r>
      <w:r>
        <w:br/>
      </w:r>
      <w:r>
        <w:rPr>
          <w:rFonts w:ascii="Times New Roman" w:hAnsi="Times New Roman" w:eastAsia="Consolas"/>
          <w:color w:val="000000"/>
          <w:sz w:val="18"/>
        </w:rPr>
        <w:t>├── outputs/</w:t>
      </w:r>
      <w:r>
        <w:br/>
      </w:r>
      <w:r>
        <w:rPr>
          <w:rFonts w:ascii="Times New Roman" w:hAnsi="Times New Roman" w:eastAsia="Consolas"/>
          <w:color w:val="000000"/>
          <w:sz w:val="18"/>
        </w:rPr>
        <w:t>│   ├── figures/     fig01 ~ fig37（37 张 PNG）</w:t>
      </w:r>
      <w:r>
        <w:br/>
      </w:r>
      <w:r>
        <w:rPr>
          <w:rFonts w:ascii="Times New Roman" w:hAnsi="Times New Roman" w:eastAsia="Consolas"/>
          <w:color w:val="000000"/>
          <w:sz w:val="18"/>
        </w:rPr>
        <w:t>│   ├── tables/      99 个结果表（53 CSV + 46 JSON）+ 00_关键结果汇总.xlsx</w:t>
      </w:r>
      <w:r>
        <w:br/>
      </w:r>
      <w:r>
        <w:rPr>
          <w:rFonts w:ascii="Times New Roman" w:hAnsi="Times New Roman" w:eastAsia="Consolas"/>
          <w:color w:val="000000"/>
          <w:sz w:val="18"/>
        </w:rPr>
        <w:t>│   ├── dashboard/   dashboard_dark.html + dashboard_offline.html（大屏）</w:t>
      </w:r>
      <w:r>
        <w:br/>
      </w:r>
      <w:r>
        <w:rPr>
          <w:rFonts w:ascii="Times New Roman" w:hAnsi="Times New Roman" w:eastAsia="Consolas"/>
          <w:color w:val="000000"/>
          <w:sz w:val="18"/>
        </w:rPr>
        <w:t>│   ├── dashboard_screenshots/  大屏分 Tab 截图 + 拼图 + GIF</w:t>
      </w:r>
      <w:r>
        <w:br/>
      </w:r>
      <w:r>
        <w:rPr>
          <w:rFonts w:ascii="Times New Roman" w:hAnsi="Times New Roman" w:eastAsia="Consolas"/>
          <w:color w:val="000000"/>
          <w:sz w:val="18"/>
        </w:rPr>
        <w:t>│   └── html/        20 个独立组件 HTML</w:t>
      </w:r>
      <w:r>
        <w:br/>
      </w:r>
      <w:r>
        <w:rPr>
          <w:rFonts w:ascii="Times New Roman" w:hAnsi="Times New Roman" w:eastAsia="Consolas"/>
          <w:color w:val="000000"/>
          <w:sz w:val="18"/>
        </w:rPr>
        <w:t>├── docs/           论文 .docx / .pdf、图表索引.md、数据来源合规声明.md、复现验证报告.md</w:t>
      </w:r>
      <w:r>
        <w:br/>
      </w:r>
      <w:r>
        <w:rPr>
          <w:rFonts w:ascii="Times New Roman" w:hAnsi="Times New Roman" w:eastAsia="Consolas"/>
          <w:color w:val="000000"/>
          <w:sz w:val="18"/>
        </w:rPr>
        <w:t>├── pages/          index.html（GitHub Pages 入口）</w:t>
      </w:r>
      <w:r>
        <w:br/>
      </w:r>
      <w:r>
        <w:rPr>
          <w:rFonts w:ascii="Times New Roman" w:hAnsi="Times New Roman" w:eastAsia="Consolas"/>
          <w:color w:val="000000"/>
          <w:sz w:val="18"/>
        </w:rPr>
        <w:t>├── requirements.txt    依赖清单</w:t>
      </w:r>
      <w:r>
        <w:br/>
      </w:r>
      <w:r>
        <w:rPr>
          <w:rFonts w:ascii="Times New Roman" w:hAnsi="Times New Roman" w:eastAsia="Consolas"/>
          <w:color w:val="000000"/>
          <w:sz w:val="18"/>
        </w:rPr>
        <w:t>├── run_all.py          一键复现入口</w:t>
      </w:r>
      <w:r>
        <w:br/>
      </w:r>
      <w:r>
        <w:rPr>
          <w:rFonts w:ascii="Times New Roman" w:hAnsi="Times New Roman" w:eastAsia="Consolas"/>
          <w:color w:val="000000"/>
          <w:sz w:val="18"/>
        </w:rPr>
        <w:t>└── README.md           项目简介、数据来源、复现步骤、图表索引、分工说明</w:t>
      </w:r>
    </w:p>
    <w:p>
      <w:pPr>
        <w:keepNext/>
        <w:spacing w:line="360" w:lineRule="auto" w:before="100" w:after="80"/>
        <w:outlineLvl w:val="1"/>
      </w:pPr>
      <w:r>
        <w:rPr>
          <w:rFonts w:ascii="Times New Roman" w:hAnsi="Times New Roman" w:eastAsia="黑体"/>
          <w:b/>
          <w:color w:val="000000"/>
          <w:sz w:val="24"/>
        </w:rPr>
        <w:t>附录 C　图表索引（fig01–fig37 + 大屏组件）</w:t>
      </w:r>
    </w:p>
    <w:p>
      <w:pPr>
        <w:spacing w:line="360" w:lineRule="auto" w:after="80" w:before="0"/>
        <w:jc w:val="both"/>
      </w:pPr>
      <w:r>
        <w:rPr>
          <w:rFonts w:ascii="Times New Roman" w:hAnsi="Times New Roman" w:eastAsia="宋体"/>
          <w:b w:val="0"/>
          <w:color w:val="000000"/>
          <w:sz w:val="24"/>
        </w:rPr>
        <w:t>以下为正文未收录但在分析中同样关键的业务模型图，按模型顺序排列。</w:t>
      </w:r>
    </w:p>
    <w:p>
      <w:pPr>
        <w:spacing w:before="120" w:after="20"/>
        <w:jc w:val="center"/>
      </w:pPr>
      <w:r>
        <w:drawing>
          <wp:inline xmlns:a="http://schemas.openxmlformats.org/drawingml/2006/main" xmlns:pic="http://schemas.openxmlformats.org/drawingml/2006/picture">
            <wp:extent cx="5040000" cy="2386706"/>
            <wp:docPr id="14" name="Picture 14"/>
            <wp:cNvGraphicFramePr>
              <a:graphicFrameLocks noChangeAspect="1"/>
            </wp:cNvGraphicFramePr>
            <a:graphic>
              <a:graphicData uri="http://schemas.openxmlformats.org/drawingml/2006/picture">
                <pic:pic>
                  <pic:nvPicPr>
                    <pic:cNvPr id="0" name="fig01_mom_yoy.png"/>
                    <pic:cNvPicPr/>
                  </pic:nvPicPr>
                  <pic:blipFill>
                    <a:blip r:embed="rId22"/>
                    <a:stretch>
                      <a:fillRect/>
                    </a:stretch>
                  </pic:blipFill>
                  <pic:spPr>
                    <a:xfrm>
                      <a:off x="0" y="0"/>
                      <a:ext cx="5040000" cy="2386706"/>
                    </a:xfrm>
                    <a:prstGeom prst="rect"/>
                  </pic:spPr>
                </pic:pic>
              </a:graphicData>
            </a:graphic>
          </wp:inline>
        </w:drawing>
      </w:r>
    </w:p>
    <w:p>
      <w:pPr>
        <w:spacing w:after="160"/>
        <w:jc w:val="center"/>
      </w:pPr>
      <w:r>
        <w:rPr>
          <w:rFonts w:ascii="Times New Roman" w:hAnsi="Times New Roman" w:eastAsia="宋体"/>
          <w:color w:val="000000"/>
          <w:sz w:val="21"/>
        </w:rPr>
        <w:t>图 C-1  月度销售额环比/同比组合图（fig01_mom_yoy）</w:t>
      </w:r>
    </w:p>
    <w:p>
      <w:pPr>
        <w:spacing w:before="120" w:after="20"/>
        <w:jc w:val="center"/>
      </w:pPr>
      <w:r>
        <w:drawing>
          <wp:inline xmlns:a="http://schemas.openxmlformats.org/drawingml/2006/main" xmlns:pic="http://schemas.openxmlformats.org/drawingml/2006/picture">
            <wp:extent cx="5040000" cy="3699692"/>
            <wp:docPr id="15" name="Picture 15"/>
            <wp:cNvGraphicFramePr>
              <a:graphicFrameLocks noChangeAspect="1"/>
            </wp:cNvGraphicFramePr>
            <a:graphic>
              <a:graphicData uri="http://schemas.openxmlformats.org/drawingml/2006/picture">
                <pic:pic>
                  <pic:nvPicPr>
                    <pic:cNvPr id="0" name="fig23_treemap_category.png"/>
                    <pic:cNvPicPr/>
                  </pic:nvPicPr>
                  <pic:blipFill>
                    <a:blip r:embed="rId23"/>
                    <a:stretch>
                      <a:fillRect/>
                    </a:stretch>
                  </pic:blipFill>
                  <pic:spPr>
                    <a:xfrm>
                      <a:off x="0" y="0"/>
                      <a:ext cx="5040000" cy="3699692"/>
                    </a:xfrm>
                    <a:prstGeom prst="rect"/>
                  </pic:spPr>
                </pic:pic>
              </a:graphicData>
            </a:graphic>
          </wp:inline>
        </w:drawing>
      </w:r>
    </w:p>
    <w:p>
      <w:pPr>
        <w:spacing w:after="160"/>
        <w:jc w:val="center"/>
      </w:pPr>
      <w:r>
        <w:rPr>
          <w:rFonts w:ascii="Times New Roman" w:hAnsi="Times New Roman" w:eastAsia="宋体"/>
          <w:color w:val="000000"/>
          <w:sz w:val="21"/>
        </w:rPr>
        <w:t>图 C-2  品类销售额矩形树图（fig23_treemap_category）</w:t>
      </w:r>
    </w:p>
    <w:p>
      <w:pPr>
        <w:spacing w:before="120" w:after="20"/>
        <w:jc w:val="center"/>
      </w:pPr>
      <w:r>
        <w:drawing>
          <wp:inline xmlns:a="http://schemas.openxmlformats.org/drawingml/2006/main" xmlns:pic="http://schemas.openxmlformats.org/drawingml/2006/picture">
            <wp:extent cx="5040000" cy="4518533"/>
            <wp:docPr id="16" name="Picture 16"/>
            <wp:cNvGraphicFramePr>
              <a:graphicFrameLocks noChangeAspect="1"/>
            </wp:cNvGraphicFramePr>
            <a:graphic>
              <a:graphicData uri="http://schemas.openxmlformats.org/drawingml/2006/picture">
                <pic:pic>
                  <pic:nvPicPr>
                    <pic:cNvPr id="0" name="fig31_apriori_network.png"/>
                    <pic:cNvPicPr/>
                  </pic:nvPicPr>
                  <pic:blipFill>
                    <a:blip r:embed="rId24"/>
                    <a:stretch>
                      <a:fillRect/>
                    </a:stretch>
                  </pic:blipFill>
                  <pic:spPr>
                    <a:xfrm>
                      <a:off x="0" y="0"/>
                      <a:ext cx="5040000" cy="4518533"/>
                    </a:xfrm>
                    <a:prstGeom prst="rect"/>
                  </pic:spPr>
                </pic:pic>
              </a:graphicData>
            </a:graphic>
          </wp:inline>
        </w:drawing>
      </w:r>
    </w:p>
    <w:p>
      <w:pPr>
        <w:spacing w:after="160"/>
        <w:jc w:val="center"/>
      </w:pPr>
      <w:r>
        <w:rPr>
          <w:rFonts w:ascii="Times New Roman" w:hAnsi="Times New Roman" w:eastAsia="宋体"/>
          <w:color w:val="000000"/>
          <w:sz w:val="21"/>
        </w:rPr>
        <w:t>图 C-3  商品共现网络图（fig31_apriori_network）</w:t>
      </w:r>
    </w:p>
    <w:p>
      <w:pPr>
        <w:spacing w:before="120" w:after="20"/>
        <w:jc w:val="center"/>
      </w:pPr>
      <w:r>
        <w:drawing>
          <wp:inline xmlns:a="http://schemas.openxmlformats.org/drawingml/2006/main" xmlns:pic="http://schemas.openxmlformats.org/drawingml/2006/picture">
            <wp:extent cx="5040000" cy="2033125"/>
            <wp:docPr id="17" name="Picture 17"/>
            <wp:cNvGraphicFramePr>
              <a:graphicFrameLocks noChangeAspect="1"/>
            </wp:cNvGraphicFramePr>
            <a:graphic>
              <a:graphicData uri="http://schemas.openxmlformats.org/drawingml/2006/picture">
                <pic:pic>
                  <pic:nvPicPr>
                    <pic:cNvPr id="0" name="fig17_calendar_heatmap.png"/>
                    <pic:cNvPicPr/>
                  </pic:nvPicPr>
                  <pic:blipFill>
                    <a:blip r:embed="rId25"/>
                    <a:stretch>
                      <a:fillRect/>
                    </a:stretch>
                  </pic:blipFill>
                  <pic:spPr>
                    <a:xfrm>
                      <a:off x="0" y="0"/>
                      <a:ext cx="5040000" cy="2033125"/>
                    </a:xfrm>
                    <a:prstGeom prst="rect"/>
                  </pic:spPr>
                </pic:pic>
              </a:graphicData>
            </a:graphic>
          </wp:inline>
        </w:drawing>
      </w:r>
    </w:p>
    <w:p>
      <w:pPr>
        <w:spacing w:after="160"/>
        <w:jc w:val="center"/>
      </w:pPr>
      <w:r>
        <w:rPr>
          <w:rFonts w:ascii="Times New Roman" w:hAnsi="Times New Roman" w:eastAsia="宋体"/>
          <w:color w:val="000000"/>
          <w:sz w:val="21"/>
        </w:rPr>
        <w:t>图 C-4  日销售额日历热力图（fig17_calendar_heatmap）</w:t>
      </w:r>
    </w:p>
    <w:p>
      <w:pPr>
        <w:spacing w:after="40"/>
        <w:jc w:val="center"/>
      </w:pPr>
      <w:r>
        <w:rPr>
          <w:rFonts w:ascii="Times New Roman" w:hAnsi="Times New Roman" w:eastAsia="黑体"/>
          <w:color w:val="000000"/>
          <w:sz w:val="21"/>
        </w:rPr>
        <w:t>表 C-1  37 张静态图索引</w:t>
      </w:r>
    </w:p>
    <w:tbl>
      <w:tblPr>
        <w:tblStyle w:val="TableGrid"/>
        <w:tblW w:type="auto" w:w="0"/>
        <w:jc w:val="center"/>
        <w:tblLook w:firstColumn="1" w:firstRow="1" w:lastColumn="0" w:lastRow="0" w:noHBand="0" w:noVBand="1" w:val="04A0"/>
      </w:tblPr>
      <w:tblGrid>
        <w:gridCol w:w="2183"/>
        <w:gridCol w:w="2183"/>
        <w:gridCol w:w="2183"/>
        <w:gridCol w:w="2183"/>
      </w:tblGrid>
      <w:tr>
        <w:tc>
          <w:tcPr>
            <w:tcW w:type="dxa" w:w="2183"/>
          </w:tcPr>
          <w:p>
            <w:pPr>
              <w:jc w:val="center"/>
            </w:pPr>
            <w:r/>
            <w:r>
              <w:rPr>
                <w:rFonts w:ascii="Times New Roman" w:hAnsi="Times New Roman" w:eastAsia="黑体"/>
                <w:b/>
                <w:color w:val="000000"/>
                <w:sz w:val="20"/>
              </w:rPr>
              <w:t>编号</w:t>
            </w:r>
          </w:p>
        </w:tc>
        <w:tc>
          <w:tcPr>
            <w:tcW w:type="dxa" w:w="2183"/>
          </w:tcPr>
          <w:p>
            <w:pPr>
              <w:jc w:val="center"/>
            </w:pPr>
            <w:r/>
            <w:r>
              <w:rPr>
                <w:rFonts w:ascii="Times New Roman" w:hAnsi="Times New Roman" w:eastAsia="黑体"/>
                <w:b/>
                <w:color w:val="000000"/>
                <w:sz w:val="20"/>
              </w:rPr>
              <w:t>文件名</w:t>
            </w:r>
          </w:p>
        </w:tc>
        <w:tc>
          <w:tcPr>
            <w:tcW w:type="dxa" w:w="2183"/>
          </w:tcPr>
          <w:p>
            <w:pPr>
              <w:jc w:val="center"/>
            </w:pPr>
            <w:r/>
            <w:r>
              <w:rPr>
                <w:rFonts w:ascii="Times New Roman" w:hAnsi="Times New Roman" w:eastAsia="黑体"/>
                <w:b/>
                <w:color w:val="000000"/>
                <w:sz w:val="20"/>
              </w:rPr>
              <w:t>对应模板/模型</w:t>
            </w:r>
          </w:p>
        </w:tc>
        <w:tc>
          <w:tcPr>
            <w:tcW w:type="dxa" w:w="2183"/>
          </w:tcPr>
          <w:p>
            <w:pPr>
              <w:jc w:val="center"/>
            </w:pPr>
            <w:r/>
            <w:r>
              <w:rPr>
                <w:rFonts w:ascii="Times New Roman" w:hAnsi="Times New Roman" w:eastAsia="黑体"/>
                <w:b/>
                <w:color w:val="000000"/>
                <w:sz w:val="20"/>
              </w:rPr>
              <w:t>说明</w:t>
            </w:r>
          </w:p>
        </w:tc>
      </w:tr>
      <w:tr>
        <w:tc>
          <w:tcPr>
            <w:tcW w:type="dxa" w:w="2183"/>
          </w:tcPr>
          <w:p>
            <w:pPr>
              <w:spacing w:after="20"/>
              <w:jc w:val="center"/>
            </w:pPr>
            <w:r/>
            <w:r>
              <w:rPr>
                <w:rFonts w:ascii="Times New Roman" w:hAnsi="Times New Roman" w:eastAsia="宋体"/>
                <w:color w:val="000000"/>
                <w:sz w:val="20"/>
              </w:rPr>
              <w:t>fig01</w:t>
            </w:r>
          </w:p>
        </w:tc>
        <w:tc>
          <w:tcPr>
            <w:tcW w:type="dxa" w:w="2183"/>
          </w:tcPr>
          <w:p>
            <w:pPr>
              <w:spacing w:after="20"/>
              <w:jc w:val="left"/>
            </w:pPr>
            <w:r/>
            <w:r>
              <w:rPr>
                <w:rFonts w:ascii="Times New Roman" w:hAnsi="Times New Roman" w:eastAsia="宋体"/>
                <w:color w:val="000000"/>
                <w:sz w:val="20"/>
              </w:rPr>
              <w:t>fig01_mom_yoy.png</w:t>
            </w:r>
          </w:p>
        </w:tc>
        <w:tc>
          <w:tcPr>
            <w:tcW w:type="dxa" w:w="2183"/>
          </w:tcPr>
          <w:p>
            <w:pPr>
              <w:spacing w:after="20"/>
              <w:jc w:val="left"/>
            </w:pPr>
            <w:r/>
            <w:r>
              <w:rPr>
                <w:rFonts w:ascii="Times New Roman" w:hAnsi="Times New Roman" w:eastAsia="宋体"/>
                <w:color w:val="000000"/>
                <w:sz w:val="20"/>
              </w:rPr>
              <w:t>组合图·环比同比</w:t>
            </w:r>
          </w:p>
        </w:tc>
        <w:tc>
          <w:tcPr>
            <w:tcW w:type="dxa" w:w="2183"/>
          </w:tcPr>
          <w:p>
            <w:pPr>
              <w:spacing w:after="20"/>
              <w:jc w:val="left"/>
            </w:pPr>
            <w:r/>
            <w:r>
              <w:rPr>
                <w:rFonts w:ascii="Times New Roman" w:hAnsi="Times New Roman" w:eastAsia="宋体"/>
                <w:color w:val="000000"/>
                <w:sz w:val="20"/>
              </w:rPr>
              <w:t>月度销售额柱 + MoM/YoY 双轴折线</w:t>
            </w:r>
          </w:p>
        </w:tc>
      </w:tr>
      <w:tr>
        <w:tc>
          <w:tcPr>
            <w:tcW w:type="dxa" w:w="2183"/>
          </w:tcPr>
          <w:p>
            <w:pPr>
              <w:spacing w:after="20"/>
              <w:jc w:val="center"/>
            </w:pPr>
            <w:r/>
            <w:r>
              <w:rPr>
                <w:rFonts w:ascii="Times New Roman" w:hAnsi="Times New Roman" w:eastAsia="宋体"/>
                <w:color w:val="000000"/>
                <w:sz w:val="20"/>
              </w:rPr>
              <w:t>fig02</w:t>
            </w:r>
          </w:p>
        </w:tc>
        <w:tc>
          <w:tcPr>
            <w:tcW w:type="dxa" w:w="2183"/>
          </w:tcPr>
          <w:p>
            <w:pPr>
              <w:spacing w:after="20"/>
              <w:jc w:val="left"/>
            </w:pPr>
            <w:r/>
            <w:r>
              <w:rPr>
                <w:rFonts w:ascii="Times New Roman" w:hAnsi="Times New Roman" w:eastAsia="宋体"/>
                <w:color w:val="000000"/>
                <w:sz w:val="20"/>
              </w:rPr>
              <w:t>fig02_revenue_trend_line.png</w:t>
            </w:r>
          </w:p>
        </w:tc>
        <w:tc>
          <w:tcPr>
            <w:tcW w:type="dxa" w:w="2183"/>
          </w:tcPr>
          <w:p>
            <w:pPr>
              <w:spacing w:after="20"/>
              <w:jc w:val="left"/>
            </w:pPr>
            <w:r/>
            <w:r>
              <w:rPr>
                <w:rFonts w:ascii="Times New Roman" w:hAnsi="Times New Roman" w:eastAsia="宋体"/>
                <w:color w:val="000000"/>
                <w:sz w:val="20"/>
              </w:rPr>
              <w:t>折线图</w:t>
            </w:r>
          </w:p>
        </w:tc>
        <w:tc>
          <w:tcPr>
            <w:tcW w:type="dxa" w:w="2183"/>
          </w:tcPr>
          <w:p>
            <w:pPr>
              <w:spacing w:after="20"/>
              <w:jc w:val="left"/>
            </w:pPr>
            <w:r/>
            <w:r>
              <w:rPr>
                <w:rFonts w:ascii="Times New Roman" w:hAnsi="Times New Roman" w:eastAsia="宋体"/>
                <w:color w:val="000000"/>
                <w:sz w:val="20"/>
              </w:rPr>
              <w:t>日销售额趋势 + MA30 + 峰值标注</w:t>
            </w:r>
          </w:p>
        </w:tc>
      </w:tr>
      <w:tr>
        <w:tc>
          <w:tcPr>
            <w:tcW w:type="dxa" w:w="2183"/>
          </w:tcPr>
          <w:p>
            <w:pPr>
              <w:spacing w:after="20"/>
              <w:jc w:val="center"/>
            </w:pPr>
            <w:r/>
            <w:r>
              <w:rPr>
                <w:rFonts w:ascii="Times New Roman" w:hAnsi="Times New Roman" w:eastAsia="宋体"/>
                <w:color w:val="000000"/>
                <w:sz w:val="20"/>
              </w:rPr>
              <w:t>fig03</w:t>
            </w:r>
          </w:p>
        </w:tc>
        <w:tc>
          <w:tcPr>
            <w:tcW w:type="dxa" w:w="2183"/>
          </w:tcPr>
          <w:p>
            <w:pPr>
              <w:spacing w:after="20"/>
              <w:jc w:val="left"/>
            </w:pPr>
            <w:r/>
            <w:r>
              <w:rPr>
                <w:rFonts w:ascii="Times New Roman" w:hAnsi="Times New Roman" w:eastAsia="宋体"/>
                <w:color w:val="000000"/>
                <w:sz w:val="20"/>
              </w:rPr>
              <w:t>fig03_monthly_revenue_area.png</w:t>
            </w:r>
          </w:p>
        </w:tc>
        <w:tc>
          <w:tcPr>
            <w:tcW w:type="dxa" w:w="2183"/>
          </w:tcPr>
          <w:p>
            <w:pPr>
              <w:spacing w:after="20"/>
              <w:jc w:val="left"/>
            </w:pPr>
            <w:r/>
            <w:r>
              <w:rPr>
                <w:rFonts w:ascii="Times New Roman" w:hAnsi="Times New Roman" w:eastAsia="宋体"/>
                <w:color w:val="000000"/>
                <w:sz w:val="20"/>
              </w:rPr>
              <w:t>面积图</w:t>
            </w:r>
          </w:p>
        </w:tc>
        <w:tc>
          <w:tcPr>
            <w:tcW w:type="dxa" w:w="2183"/>
          </w:tcPr>
          <w:p>
            <w:pPr>
              <w:spacing w:after="20"/>
              <w:jc w:val="left"/>
            </w:pPr>
            <w:r/>
            <w:r>
              <w:rPr>
                <w:rFonts w:ascii="Times New Roman" w:hAnsi="Times New Roman" w:eastAsia="宋体"/>
                <w:color w:val="000000"/>
                <w:sz w:val="20"/>
              </w:rPr>
              <w:t>月度销售额与订单量双面积图</w:t>
            </w:r>
          </w:p>
        </w:tc>
      </w:tr>
      <w:tr>
        <w:tc>
          <w:tcPr>
            <w:tcW w:type="dxa" w:w="2183"/>
          </w:tcPr>
          <w:p>
            <w:pPr>
              <w:spacing w:after="20"/>
              <w:jc w:val="center"/>
            </w:pPr>
            <w:r/>
            <w:r>
              <w:rPr>
                <w:rFonts w:ascii="Times New Roman" w:hAnsi="Times New Roman" w:eastAsia="宋体"/>
                <w:color w:val="000000"/>
                <w:sz w:val="20"/>
              </w:rPr>
              <w:t>fig04</w:t>
            </w:r>
          </w:p>
        </w:tc>
        <w:tc>
          <w:tcPr>
            <w:tcW w:type="dxa" w:w="2183"/>
          </w:tcPr>
          <w:p>
            <w:pPr>
              <w:spacing w:after="20"/>
              <w:jc w:val="left"/>
            </w:pPr>
            <w:r/>
            <w:r>
              <w:rPr>
                <w:rFonts w:ascii="Times New Roman" w:hAnsi="Times New Roman" w:eastAsia="宋体"/>
                <w:color w:val="000000"/>
                <w:sz w:val="20"/>
              </w:rPr>
              <w:t>fig04_top_countries_bar.png</w:t>
            </w:r>
          </w:p>
        </w:tc>
        <w:tc>
          <w:tcPr>
            <w:tcW w:type="dxa" w:w="2183"/>
          </w:tcPr>
          <w:p>
            <w:pPr>
              <w:spacing w:after="20"/>
              <w:jc w:val="left"/>
            </w:pPr>
            <w:r/>
            <w:r>
              <w:rPr>
                <w:rFonts w:ascii="Times New Roman" w:hAnsi="Times New Roman" w:eastAsia="宋体"/>
                <w:color w:val="000000"/>
                <w:sz w:val="20"/>
              </w:rPr>
              <w:t>柱形图</w:t>
            </w:r>
          </w:p>
        </w:tc>
        <w:tc>
          <w:tcPr>
            <w:tcW w:type="dxa" w:w="2183"/>
          </w:tcPr>
          <w:p>
            <w:pPr>
              <w:spacing w:after="20"/>
              <w:jc w:val="left"/>
            </w:pPr>
            <w:r/>
            <w:r>
              <w:rPr>
                <w:rFonts w:ascii="Times New Roman" w:hAnsi="Times New Roman" w:eastAsia="宋体"/>
                <w:color w:val="000000"/>
                <w:sz w:val="20"/>
              </w:rPr>
              <w:t>国家销售额 TOP12 + 数据标签</w:t>
            </w:r>
          </w:p>
        </w:tc>
      </w:tr>
      <w:tr>
        <w:tc>
          <w:tcPr>
            <w:tcW w:type="dxa" w:w="2183"/>
          </w:tcPr>
          <w:p>
            <w:pPr>
              <w:spacing w:after="20"/>
              <w:jc w:val="center"/>
            </w:pPr>
            <w:r/>
            <w:r>
              <w:rPr>
                <w:rFonts w:ascii="Times New Roman" w:hAnsi="Times New Roman" w:eastAsia="宋体"/>
                <w:color w:val="000000"/>
                <w:sz w:val="20"/>
              </w:rPr>
              <w:t>fig05</w:t>
            </w:r>
          </w:p>
        </w:tc>
        <w:tc>
          <w:tcPr>
            <w:tcW w:type="dxa" w:w="2183"/>
          </w:tcPr>
          <w:p>
            <w:pPr>
              <w:spacing w:after="20"/>
              <w:jc w:val="left"/>
            </w:pPr>
            <w:r/>
            <w:r>
              <w:rPr>
                <w:rFonts w:ascii="Times New Roman" w:hAnsi="Times New Roman" w:eastAsia="宋体"/>
                <w:color w:val="000000"/>
                <w:sz w:val="20"/>
              </w:rPr>
              <w:t>fig05_top_products_barh.png</w:t>
            </w:r>
          </w:p>
        </w:tc>
        <w:tc>
          <w:tcPr>
            <w:tcW w:type="dxa" w:w="2183"/>
          </w:tcPr>
          <w:p>
            <w:pPr>
              <w:spacing w:after="20"/>
              <w:jc w:val="left"/>
            </w:pPr>
            <w:r/>
            <w:r>
              <w:rPr>
                <w:rFonts w:ascii="Times New Roman" w:hAnsi="Times New Roman" w:eastAsia="宋体"/>
                <w:color w:val="000000"/>
                <w:sz w:val="20"/>
              </w:rPr>
              <w:t>条形图</w:t>
            </w:r>
          </w:p>
        </w:tc>
        <w:tc>
          <w:tcPr>
            <w:tcW w:type="dxa" w:w="2183"/>
          </w:tcPr>
          <w:p>
            <w:pPr>
              <w:spacing w:after="20"/>
              <w:jc w:val="left"/>
            </w:pPr>
            <w:r/>
            <w:r>
              <w:rPr>
                <w:rFonts w:ascii="Times New Roman" w:hAnsi="Times New Roman" w:eastAsia="宋体"/>
                <w:color w:val="000000"/>
                <w:sz w:val="20"/>
              </w:rPr>
              <w:t>商品销售额 TOP15 横向条形</w:t>
            </w:r>
          </w:p>
        </w:tc>
      </w:tr>
      <w:tr>
        <w:tc>
          <w:tcPr>
            <w:tcW w:type="dxa" w:w="2183"/>
          </w:tcPr>
          <w:p>
            <w:pPr>
              <w:spacing w:after="20"/>
              <w:jc w:val="center"/>
            </w:pPr>
            <w:r/>
            <w:r>
              <w:rPr>
                <w:rFonts w:ascii="Times New Roman" w:hAnsi="Times New Roman" w:eastAsia="宋体"/>
                <w:color w:val="000000"/>
                <w:sz w:val="20"/>
              </w:rPr>
              <w:t>fig06</w:t>
            </w:r>
          </w:p>
        </w:tc>
        <w:tc>
          <w:tcPr>
            <w:tcW w:type="dxa" w:w="2183"/>
          </w:tcPr>
          <w:p>
            <w:pPr>
              <w:spacing w:after="20"/>
              <w:jc w:val="left"/>
            </w:pPr>
            <w:r/>
            <w:r>
              <w:rPr>
                <w:rFonts w:ascii="Times New Roman" w:hAnsi="Times New Roman" w:eastAsia="宋体"/>
                <w:color w:val="000000"/>
                <w:sz w:val="20"/>
              </w:rPr>
              <w:t>fig06_country_donut.png</w:t>
            </w:r>
          </w:p>
        </w:tc>
        <w:tc>
          <w:tcPr>
            <w:tcW w:type="dxa" w:w="2183"/>
          </w:tcPr>
          <w:p>
            <w:pPr>
              <w:spacing w:after="20"/>
              <w:jc w:val="left"/>
            </w:pPr>
            <w:r/>
            <w:r>
              <w:rPr>
                <w:rFonts w:ascii="Times New Roman" w:hAnsi="Times New Roman" w:eastAsia="宋体"/>
                <w:color w:val="000000"/>
                <w:sz w:val="20"/>
              </w:rPr>
              <w:t>环形图</w:t>
            </w:r>
          </w:p>
        </w:tc>
        <w:tc>
          <w:tcPr>
            <w:tcW w:type="dxa" w:w="2183"/>
          </w:tcPr>
          <w:p>
            <w:pPr>
              <w:spacing w:after="20"/>
              <w:jc w:val="left"/>
            </w:pPr>
            <w:r/>
            <w:r>
              <w:rPr>
                <w:rFonts w:ascii="Times New Roman" w:hAnsi="Times New Roman" w:eastAsia="宋体"/>
                <w:color w:val="000000"/>
                <w:sz w:val="20"/>
              </w:rPr>
              <w:t>国家销售额结构 + 中心总计</w:t>
            </w:r>
          </w:p>
        </w:tc>
      </w:tr>
      <w:tr>
        <w:tc>
          <w:tcPr>
            <w:tcW w:type="dxa" w:w="2183"/>
          </w:tcPr>
          <w:p>
            <w:pPr>
              <w:spacing w:after="20"/>
              <w:jc w:val="center"/>
            </w:pPr>
            <w:r/>
            <w:r>
              <w:rPr>
                <w:rFonts w:ascii="Times New Roman" w:hAnsi="Times New Roman" w:eastAsia="宋体"/>
                <w:color w:val="000000"/>
                <w:sz w:val="20"/>
              </w:rPr>
              <w:t>fig07</w:t>
            </w:r>
          </w:p>
        </w:tc>
        <w:tc>
          <w:tcPr>
            <w:tcW w:type="dxa" w:w="2183"/>
          </w:tcPr>
          <w:p>
            <w:pPr>
              <w:spacing w:after="20"/>
              <w:jc w:val="left"/>
            </w:pPr>
            <w:r/>
            <w:r>
              <w:rPr>
                <w:rFonts w:ascii="Times New Roman" w:hAnsi="Times New Roman" w:eastAsia="宋体"/>
                <w:color w:val="000000"/>
                <w:sz w:val="20"/>
              </w:rPr>
              <w:t>fig07_monthly_stacked_bar.png</w:t>
            </w:r>
          </w:p>
        </w:tc>
        <w:tc>
          <w:tcPr>
            <w:tcW w:type="dxa" w:w="2183"/>
          </w:tcPr>
          <w:p>
            <w:pPr>
              <w:spacing w:after="20"/>
              <w:jc w:val="left"/>
            </w:pPr>
            <w:r/>
            <w:r>
              <w:rPr>
                <w:rFonts w:ascii="Times New Roman" w:hAnsi="Times New Roman" w:eastAsia="宋体"/>
                <w:color w:val="000000"/>
                <w:sz w:val="20"/>
              </w:rPr>
              <w:t>堆积柱形图</w:t>
            </w:r>
          </w:p>
        </w:tc>
        <w:tc>
          <w:tcPr>
            <w:tcW w:type="dxa" w:w="2183"/>
          </w:tcPr>
          <w:p>
            <w:pPr>
              <w:spacing w:after="20"/>
              <w:jc w:val="left"/>
            </w:pPr>
            <w:r/>
            <w:r>
              <w:rPr>
                <w:rFonts w:ascii="Times New Roman" w:hAnsi="Times New Roman" w:eastAsia="宋体"/>
                <w:color w:val="000000"/>
                <w:sz w:val="20"/>
              </w:rPr>
              <w:t>月度销售额国别构成</w:t>
            </w:r>
          </w:p>
        </w:tc>
      </w:tr>
      <w:tr>
        <w:tc>
          <w:tcPr>
            <w:tcW w:type="dxa" w:w="2183"/>
          </w:tcPr>
          <w:p>
            <w:pPr>
              <w:spacing w:after="20"/>
              <w:jc w:val="center"/>
            </w:pPr>
            <w:r/>
            <w:r>
              <w:rPr>
                <w:rFonts w:ascii="Times New Roman" w:hAnsi="Times New Roman" w:eastAsia="宋体"/>
                <w:color w:val="000000"/>
                <w:sz w:val="20"/>
              </w:rPr>
              <w:t>fig08</w:t>
            </w:r>
          </w:p>
        </w:tc>
        <w:tc>
          <w:tcPr>
            <w:tcW w:type="dxa" w:w="2183"/>
          </w:tcPr>
          <w:p>
            <w:pPr>
              <w:spacing w:after="20"/>
              <w:jc w:val="left"/>
            </w:pPr>
            <w:r/>
            <w:r>
              <w:rPr>
                <w:rFonts w:ascii="Times New Roman" w:hAnsi="Times New Roman" w:eastAsia="宋体"/>
                <w:color w:val="000000"/>
                <w:sz w:val="20"/>
              </w:rPr>
              <w:t>fig08_category_pct_stacked.png</w:t>
            </w:r>
          </w:p>
        </w:tc>
        <w:tc>
          <w:tcPr>
            <w:tcW w:type="dxa" w:w="2183"/>
          </w:tcPr>
          <w:p>
            <w:pPr>
              <w:spacing w:after="20"/>
              <w:jc w:val="left"/>
            </w:pPr>
            <w:r/>
            <w:r>
              <w:rPr>
                <w:rFonts w:ascii="Times New Roman" w:hAnsi="Times New Roman" w:eastAsia="宋体"/>
                <w:color w:val="000000"/>
                <w:sz w:val="20"/>
              </w:rPr>
              <w:t>百分比堆积柱形图</w:t>
            </w:r>
          </w:p>
        </w:tc>
        <w:tc>
          <w:tcPr>
            <w:tcW w:type="dxa" w:w="2183"/>
          </w:tcPr>
          <w:p>
            <w:pPr>
              <w:spacing w:after="20"/>
              <w:jc w:val="left"/>
            </w:pPr>
            <w:r/>
            <w:r>
              <w:rPr>
                <w:rFonts w:ascii="Times New Roman" w:hAnsi="Times New Roman" w:eastAsia="宋体"/>
                <w:color w:val="000000"/>
                <w:sz w:val="20"/>
              </w:rPr>
              <w:t>月度品类结构占比</w:t>
            </w:r>
          </w:p>
        </w:tc>
      </w:tr>
      <w:tr>
        <w:tc>
          <w:tcPr>
            <w:tcW w:type="dxa" w:w="2183"/>
          </w:tcPr>
          <w:p>
            <w:pPr>
              <w:spacing w:after="20"/>
              <w:jc w:val="center"/>
            </w:pPr>
            <w:r/>
            <w:r>
              <w:rPr>
                <w:rFonts w:ascii="Times New Roman" w:hAnsi="Times New Roman" w:eastAsia="宋体"/>
                <w:color w:val="000000"/>
                <w:sz w:val="20"/>
              </w:rPr>
              <w:t>fig09</w:t>
            </w:r>
          </w:p>
        </w:tc>
        <w:tc>
          <w:tcPr>
            <w:tcW w:type="dxa" w:w="2183"/>
          </w:tcPr>
          <w:p>
            <w:pPr>
              <w:spacing w:after="20"/>
              <w:jc w:val="left"/>
            </w:pPr>
            <w:r/>
            <w:r>
              <w:rPr>
                <w:rFonts w:ascii="Times New Roman" w:hAnsi="Times New Roman" w:eastAsia="宋体"/>
                <w:color w:val="000000"/>
                <w:sz w:val="20"/>
              </w:rPr>
              <w:t>fig09_aov_frequency_scatter.png</w:t>
            </w:r>
          </w:p>
        </w:tc>
        <w:tc>
          <w:tcPr>
            <w:tcW w:type="dxa" w:w="2183"/>
          </w:tcPr>
          <w:p>
            <w:pPr>
              <w:spacing w:after="20"/>
              <w:jc w:val="left"/>
            </w:pPr>
            <w:r/>
            <w:r>
              <w:rPr>
                <w:rFonts w:ascii="Times New Roman" w:hAnsi="Times New Roman" w:eastAsia="宋体"/>
                <w:color w:val="000000"/>
                <w:sz w:val="20"/>
              </w:rPr>
              <w:t>散点图</w:t>
            </w:r>
          </w:p>
        </w:tc>
        <w:tc>
          <w:tcPr>
            <w:tcW w:type="dxa" w:w="2183"/>
          </w:tcPr>
          <w:p>
            <w:pPr>
              <w:spacing w:after="20"/>
              <w:jc w:val="left"/>
            </w:pPr>
            <w:r/>
            <w:r>
              <w:rPr>
                <w:rFonts w:ascii="Times New Roman" w:hAnsi="Times New Roman" w:eastAsia="宋体"/>
                <w:color w:val="000000"/>
                <w:sz w:val="20"/>
              </w:rPr>
              <w:t>频次 × 金额 + 幂律趋势线</w:t>
            </w:r>
          </w:p>
        </w:tc>
      </w:tr>
      <w:tr>
        <w:tc>
          <w:tcPr>
            <w:tcW w:type="dxa" w:w="2183"/>
          </w:tcPr>
          <w:p>
            <w:pPr>
              <w:spacing w:after="20"/>
              <w:jc w:val="center"/>
            </w:pPr>
            <w:r/>
            <w:r>
              <w:rPr>
                <w:rFonts w:ascii="Times New Roman" w:hAnsi="Times New Roman" w:eastAsia="宋体"/>
                <w:color w:val="000000"/>
                <w:sz w:val="20"/>
              </w:rPr>
              <w:t>fig10</w:t>
            </w:r>
          </w:p>
        </w:tc>
        <w:tc>
          <w:tcPr>
            <w:tcW w:type="dxa" w:w="2183"/>
          </w:tcPr>
          <w:p>
            <w:pPr>
              <w:spacing w:after="20"/>
              <w:jc w:val="left"/>
            </w:pPr>
            <w:r/>
            <w:r>
              <w:rPr>
                <w:rFonts w:ascii="Times New Roman" w:hAnsi="Times New Roman" w:eastAsia="宋体"/>
                <w:color w:val="000000"/>
                <w:sz w:val="20"/>
              </w:rPr>
              <w:t>fig10_country_bubble.png</w:t>
            </w:r>
          </w:p>
        </w:tc>
        <w:tc>
          <w:tcPr>
            <w:tcW w:type="dxa" w:w="2183"/>
          </w:tcPr>
          <w:p>
            <w:pPr>
              <w:spacing w:after="20"/>
              <w:jc w:val="left"/>
            </w:pPr>
            <w:r/>
            <w:r>
              <w:rPr>
                <w:rFonts w:ascii="Times New Roman" w:hAnsi="Times New Roman" w:eastAsia="宋体"/>
                <w:color w:val="000000"/>
                <w:sz w:val="20"/>
              </w:rPr>
              <w:t>气泡图</w:t>
            </w:r>
          </w:p>
        </w:tc>
        <w:tc>
          <w:tcPr>
            <w:tcW w:type="dxa" w:w="2183"/>
          </w:tcPr>
          <w:p>
            <w:pPr>
              <w:spacing w:after="20"/>
              <w:jc w:val="left"/>
            </w:pPr>
            <w:r/>
            <w:r>
              <w:rPr>
                <w:rFonts w:ascii="Times New Roman" w:hAnsi="Times New Roman" w:eastAsia="宋体"/>
                <w:color w:val="000000"/>
                <w:sz w:val="20"/>
              </w:rPr>
              <w:t>客户数 × 客单价 × 销售额</w:t>
            </w:r>
          </w:p>
        </w:tc>
      </w:tr>
      <w:tr>
        <w:tc>
          <w:tcPr>
            <w:tcW w:type="dxa" w:w="2183"/>
          </w:tcPr>
          <w:p>
            <w:pPr>
              <w:spacing w:after="20"/>
              <w:jc w:val="center"/>
            </w:pPr>
            <w:r/>
            <w:r>
              <w:rPr>
                <w:rFonts w:ascii="Times New Roman" w:hAnsi="Times New Roman" w:eastAsia="宋体"/>
                <w:color w:val="000000"/>
                <w:sz w:val="20"/>
              </w:rPr>
              <w:t>fig11</w:t>
            </w:r>
          </w:p>
        </w:tc>
        <w:tc>
          <w:tcPr>
            <w:tcW w:type="dxa" w:w="2183"/>
          </w:tcPr>
          <w:p>
            <w:pPr>
              <w:spacing w:after="20"/>
              <w:jc w:val="left"/>
            </w:pPr>
            <w:r/>
            <w:r>
              <w:rPr>
                <w:rFonts w:ascii="Times New Roman" w:hAnsi="Times New Roman" w:eastAsia="宋体"/>
                <w:color w:val="000000"/>
                <w:sz w:val="20"/>
              </w:rPr>
              <w:t>fig11_order_value_histogram.png</w:t>
            </w:r>
          </w:p>
        </w:tc>
        <w:tc>
          <w:tcPr>
            <w:tcW w:type="dxa" w:w="2183"/>
          </w:tcPr>
          <w:p>
            <w:pPr>
              <w:spacing w:after="20"/>
              <w:jc w:val="left"/>
            </w:pPr>
            <w:r/>
            <w:r>
              <w:rPr>
                <w:rFonts w:ascii="Times New Roman" w:hAnsi="Times New Roman" w:eastAsia="宋体"/>
                <w:color w:val="000000"/>
                <w:sz w:val="20"/>
              </w:rPr>
              <w:t>直方图</w:t>
            </w:r>
          </w:p>
        </w:tc>
        <w:tc>
          <w:tcPr>
            <w:tcW w:type="dxa" w:w="2183"/>
          </w:tcPr>
          <w:p>
            <w:pPr>
              <w:spacing w:after="20"/>
              <w:jc w:val="left"/>
            </w:pPr>
            <w:r/>
            <w:r>
              <w:rPr>
                <w:rFonts w:ascii="Times New Roman" w:hAnsi="Times New Roman" w:eastAsia="宋体"/>
                <w:color w:val="000000"/>
                <w:sz w:val="20"/>
              </w:rPr>
              <w:t>订单金额分布 + KDE + 均值/中位数线</w:t>
            </w:r>
          </w:p>
        </w:tc>
      </w:tr>
      <w:tr>
        <w:tc>
          <w:tcPr>
            <w:tcW w:type="dxa" w:w="2183"/>
          </w:tcPr>
          <w:p>
            <w:pPr>
              <w:spacing w:after="20"/>
              <w:jc w:val="center"/>
            </w:pPr>
            <w:r/>
            <w:r>
              <w:rPr>
                <w:rFonts w:ascii="Times New Roman" w:hAnsi="Times New Roman" w:eastAsia="宋体"/>
                <w:color w:val="000000"/>
                <w:sz w:val="20"/>
              </w:rPr>
              <w:t>fig12</w:t>
            </w:r>
          </w:p>
        </w:tc>
        <w:tc>
          <w:tcPr>
            <w:tcW w:type="dxa" w:w="2183"/>
          </w:tcPr>
          <w:p>
            <w:pPr>
              <w:spacing w:after="20"/>
              <w:jc w:val="left"/>
            </w:pPr>
            <w:r/>
            <w:r>
              <w:rPr>
                <w:rFonts w:ascii="Times New Roman" w:hAnsi="Times New Roman" w:eastAsia="宋体"/>
                <w:color w:val="000000"/>
                <w:sz w:val="20"/>
              </w:rPr>
              <w:t>fig12_boxplot_country.png</w:t>
            </w:r>
          </w:p>
        </w:tc>
        <w:tc>
          <w:tcPr>
            <w:tcW w:type="dxa" w:w="2183"/>
          </w:tcPr>
          <w:p>
            <w:pPr>
              <w:spacing w:after="20"/>
              <w:jc w:val="left"/>
            </w:pPr>
            <w:r/>
            <w:r>
              <w:rPr>
                <w:rFonts w:ascii="Times New Roman" w:hAnsi="Times New Roman" w:eastAsia="宋体"/>
                <w:color w:val="000000"/>
                <w:sz w:val="20"/>
              </w:rPr>
              <w:t>箱线图</w:t>
            </w:r>
          </w:p>
        </w:tc>
        <w:tc>
          <w:tcPr>
            <w:tcW w:type="dxa" w:w="2183"/>
          </w:tcPr>
          <w:p>
            <w:pPr>
              <w:spacing w:after="20"/>
              <w:jc w:val="left"/>
            </w:pPr>
            <w:r/>
            <w:r>
              <w:rPr>
                <w:rFonts w:ascii="Times New Roman" w:hAnsi="Times New Roman" w:eastAsia="宋体"/>
                <w:color w:val="000000"/>
                <w:sz w:val="20"/>
              </w:rPr>
              <w:t>主要国家订单金额分布</w:t>
            </w:r>
          </w:p>
        </w:tc>
      </w:tr>
      <w:tr>
        <w:tc>
          <w:tcPr>
            <w:tcW w:type="dxa" w:w="2183"/>
          </w:tcPr>
          <w:p>
            <w:pPr>
              <w:spacing w:after="20"/>
              <w:jc w:val="center"/>
            </w:pPr>
            <w:r/>
            <w:r>
              <w:rPr>
                <w:rFonts w:ascii="Times New Roman" w:hAnsi="Times New Roman" w:eastAsia="宋体"/>
                <w:color w:val="000000"/>
                <w:sz w:val="20"/>
              </w:rPr>
              <w:t>fig13</w:t>
            </w:r>
          </w:p>
        </w:tc>
        <w:tc>
          <w:tcPr>
            <w:tcW w:type="dxa" w:w="2183"/>
          </w:tcPr>
          <w:p>
            <w:pPr>
              <w:spacing w:after="20"/>
              <w:jc w:val="left"/>
            </w:pPr>
            <w:r/>
            <w:r>
              <w:rPr>
                <w:rFonts w:ascii="Times New Roman" w:hAnsi="Times New Roman" w:eastAsia="宋体"/>
                <w:color w:val="000000"/>
                <w:sz w:val="20"/>
              </w:rPr>
              <w:t>fig13_weekday_hour_heatmap.png</w:t>
            </w:r>
          </w:p>
        </w:tc>
        <w:tc>
          <w:tcPr>
            <w:tcW w:type="dxa" w:w="2183"/>
          </w:tcPr>
          <w:p>
            <w:pPr>
              <w:spacing w:after="20"/>
              <w:jc w:val="left"/>
            </w:pPr>
            <w:r/>
            <w:r>
              <w:rPr>
                <w:rFonts w:ascii="Times New Roman" w:hAnsi="Times New Roman" w:eastAsia="宋体"/>
                <w:color w:val="000000"/>
                <w:sz w:val="20"/>
              </w:rPr>
              <w:t>热力图</w:t>
            </w:r>
          </w:p>
        </w:tc>
        <w:tc>
          <w:tcPr>
            <w:tcW w:type="dxa" w:w="2183"/>
          </w:tcPr>
          <w:p>
            <w:pPr>
              <w:spacing w:after="20"/>
              <w:jc w:val="left"/>
            </w:pPr>
            <w:r/>
            <w:r>
              <w:rPr>
                <w:rFonts w:ascii="Times New Roman" w:hAnsi="Times New Roman" w:eastAsia="宋体"/>
                <w:color w:val="000000"/>
                <w:sz w:val="20"/>
              </w:rPr>
              <w:t>星期 × 时段销售额</w:t>
            </w:r>
          </w:p>
        </w:tc>
      </w:tr>
      <w:tr>
        <w:tc>
          <w:tcPr>
            <w:tcW w:type="dxa" w:w="2183"/>
          </w:tcPr>
          <w:p>
            <w:pPr>
              <w:spacing w:after="20"/>
              <w:jc w:val="center"/>
            </w:pPr>
            <w:r/>
            <w:r>
              <w:rPr>
                <w:rFonts w:ascii="Times New Roman" w:hAnsi="Times New Roman" w:eastAsia="宋体"/>
                <w:color w:val="000000"/>
                <w:sz w:val="20"/>
              </w:rPr>
              <w:t>fig14</w:t>
            </w:r>
          </w:p>
        </w:tc>
        <w:tc>
          <w:tcPr>
            <w:tcW w:type="dxa" w:w="2183"/>
          </w:tcPr>
          <w:p>
            <w:pPr>
              <w:spacing w:after="20"/>
              <w:jc w:val="left"/>
            </w:pPr>
            <w:r/>
            <w:r>
              <w:rPr>
                <w:rFonts w:ascii="Times New Roman" w:hAnsi="Times New Roman" w:eastAsia="宋体"/>
                <w:color w:val="000000"/>
                <w:sz w:val="20"/>
              </w:rPr>
              <w:t>fig14_country_radar.png</w:t>
            </w:r>
          </w:p>
        </w:tc>
        <w:tc>
          <w:tcPr>
            <w:tcW w:type="dxa" w:w="2183"/>
          </w:tcPr>
          <w:p>
            <w:pPr>
              <w:spacing w:after="20"/>
              <w:jc w:val="left"/>
            </w:pPr>
            <w:r/>
            <w:r>
              <w:rPr>
                <w:rFonts w:ascii="Times New Roman" w:hAnsi="Times New Roman" w:eastAsia="宋体"/>
                <w:color w:val="000000"/>
                <w:sz w:val="20"/>
              </w:rPr>
              <w:t>雷达图</w:t>
            </w:r>
          </w:p>
        </w:tc>
        <w:tc>
          <w:tcPr>
            <w:tcW w:type="dxa" w:w="2183"/>
          </w:tcPr>
          <w:p>
            <w:pPr>
              <w:spacing w:after="20"/>
              <w:jc w:val="left"/>
            </w:pPr>
            <w:r/>
            <w:r>
              <w:rPr>
                <w:rFonts w:ascii="Times New Roman" w:hAnsi="Times New Roman" w:eastAsia="宋体"/>
                <w:color w:val="000000"/>
                <w:sz w:val="20"/>
              </w:rPr>
              <w:t>TOP5 国家五维指标对比</w:t>
            </w:r>
          </w:p>
        </w:tc>
      </w:tr>
      <w:tr>
        <w:tc>
          <w:tcPr>
            <w:tcW w:type="dxa" w:w="2183"/>
          </w:tcPr>
          <w:p>
            <w:pPr>
              <w:spacing w:after="20"/>
              <w:jc w:val="center"/>
            </w:pPr>
            <w:r/>
            <w:r>
              <w:rPr>
                <w:rFonts w:ascii="Times New Roman" w:hAnsi="Times New Roman" w:eastAsia="宋体"/>
                <w:color w:val="000000"/>
                <w:sz w:val="20"/>
              </w:rPr>
              <w:t>fig15</w:t>
            </w:r>
          </w:p>
        </w:tc>
        <w:tc>
          <w:tcPr>
            <w:tcW w:type="dxa" w:w="2183"/>
          </w:tcPr>
          <w:p>
            <w:pPr>
              <w:spacing w:after="20"/>
              <w:jc w:val="left"/>
            </w:pPr>
            <w:r/>
            <w:r>
              <w:rPr>
                <w:rFonts w:ascii="Times New Roman" w:hAnsi="Times New Roman" w:eastAsia="宋体"/>
                <w:color w:val="000000"/>
                <w:sz w:val="20"/>
              </w:rPr>
              <w:t>fig15_monthly_waterfall.png</w:t>
            </w:r>
          </w:p>
        </w:tc>
        <w:tc>
          <w:tcPr>
            <w:tcW w:type="dxa" w:w="2183"/>
          </w:tcPr>
          <w:p>
            <w:pPr>
              <w:spacing w:after="20"/>
              <w:jc w:val="left"/>
            </w:pPr>
            <w:r/>
            <w:r>
              <w:rPr>
                <w:rFonts w:ascii="Times New Roman" w:hAnsi="Times New Roman" w:eastAsia="宋体"/>
                <w:color w:val="000000"/>
                <w:sz w:val="20"/>
              </w:rPr>
              <w:t>瀑布图</w:t>
            </w:r>
          </w:p>
        </w:tc>
        <w:tc>
          <w:tcPr>
            <w:tcW w:type="dxa" w:w="2183"/>
          </w:tcPr>
          <w:p>
            <w:pPr>
              <w:spacing w:after="20"/>
              <w:jc w:val="left"/>
            </w:pPr>
            <w:r/>
            <w:r>
              <w:rPr>
                <w:rFonts w:ascii="Times New Roman" w:hAnsi="Times New Roman" w:eastAsia="宋体"/>
                <w:color w:val="000000"/>
                <w:sz w:val="20"/>
              </w:rPr>
              <w:t>近 12 个月销售额增量链路</w:t>
            </w:r>
          </w:p>
        </w:tc>
      </w:tr>
      <w:tr>
        <w:tc>
          <w:tcPr>
            <w:tcW w:type="dxa" w:w="2183"/>
          </w:tcPr>
          <w:p>
            <w:pPr>
              <w:spacing w:after="20"/>
              <w:jc w:val="center"/>
            </w:pPr>
            <w:r/>
            <w:r>
              <w:rPr>
                <w:rFonts w:ascii="Times New Roman" w:hAnsi="Times New Roman" w:eastAsia="宋体"/>
                <w:color w:val="000000"/>
                <w:sz w:val="20"/>
              </w:rPr>
              <w:t>fig16</w:t>
            </w:r>
          </w:p>
        </w:tc>
        <w:tc>
          <w:tcPr>
            <w:tcW w:type="dxa" w:w="2183"/>
          </w:tcPr>
          <w:p>
            <w:pPr>
              <w:spacing w:after="20"/>
              <w:jc w:val="left"/>
            </w:pPr>
            <w:r/>
            <w:r>
              <w:rPr>
                <w:rFonts w:ascii="Times New Roman" w:hAnsi="Times New Roman" w:eastAsia="宋体"/>
                <w:color w:val="000000"/>
                <w:sz w:val="20"/>
              </w:rPr>
              <w:t>fig16_gauge_target.png</w:t>
            </w:r>
          </w:p>
        </w:tc>
        <w:tc>
          <w:tcPr>
            <w:tcW w:type="dxa" w:w="2183"/>
          </w:tcPr>
          <w:p>
            <w:pPr>
              <w:spacing w:after="20"/>
              <w:jc w:val="left"/>
            </w:pPr>
            <w:r/>
            <w:r>
              <w:rPr>
                <w:rFonts w:ascii="Times New Roman" w:hAnsi="Times New Roman" w:eastAsia="宋体"/>
                <w:color w:val="000000"/>
                <w:sz w:val="20"/>
              </w:rPr>
              <w:t>仪表盘</w:t>
            </w:r>
          </w:p>
        </w:tc>
        <w:tc>
          <w:tcPr>
            <w:tcW w:type="dxa" w:w="2183"/>
          </w:tcPr>
          <w:p>
            <w:pPr>
              <w:spacing w:after="20"/>
              <w:jc w:val="left"/>
            </w:pPr>
            <w:r/>
            <w:r>
              <w:rPr>
                <w:rFonts w:ascii="Times New Roman" w:hAnsi="Times New Roman" w:eastAsia="宋体"/>
                <w:color w:val="000000"/>
                <w:sz w:val="20"/>
              </w:rPr>
              <w:t>年度目标达成率 + 年度对比</w:t>
            </w:r>
          </w:p>
        </w:tc>
      </w:tr>
      <w:tr>
        <w:tc>
          <w:tcPr>
            <w:tcW w:type="dxa" w:w="2183"/>
          </w:tcPr>
          <w:p>
            <w:pPr>
              <w:spacing w:after="20"/>
              <w:jc w:val="center"/>
            </w:pPr>
            <w:r/>
            <w:r>
              <w:rPr>
                <w:rFonts w:ascii="Times New Roman" w:hAnsi="Times New Roman" w:eastAsia="宋体"/>
                <w:color w:val="000000"/>
                <w:sz w:val="20"/>
              </w:rPr>
              <w:t>fig17</w:t>
            </w:r>
          </w:p>
        </w:tc>
        <w:tc>
          <w:tcPr>
            <w:tcW w:type="dxa" w:w="2183"/>
          </w:tcPr>
          <w:p>
            <w:pPr>
              <w:spacing w:after="20"/>
              <w:jc w:val="left"/>
            </w:pPr>
            <w:r/>
            <w:r>
              <w:rPr>
                <w:rFonts w:ascii="Times New Roman" w:hAnsi="Times New Roman" w:eastAsia="宋体"/>
                <w:color w:val="000000"/>
                <w:sz w:val="20"/>
              </w:rPr>
              <w:t>fig17_calendar_heatmap.png</w:t>
            </w:r>
          </w:p>
        </w:tc>
        <w:tc>
          <w:tcPr>
            <w:tcW w:type="dxa" w:w="2183"/>
          </w:tcPr>
          <w:p>
            <w:pPr>
              <w:spacing w:after="20"/>
              <w:jc w:val="left"/>
            </w:pPr>
            <w:r/>
            <w:r>
              <w:rPr>
                <w:rFonts w:ascii="Times New Roman" w:hAnsi="Times New Roman" w:eastAsia="宋体"/>
                <w:color w:val="000000"/>
                <w:sz w:val="20"/>
              </w:rPr>
              <w:t>日历热力图</w:t>
            </w:r>
          </w:p>
        </w:tc>
        <w:tc>
          <w:tcPr>
            <w:tcW w:type="dxa" w:w="2183"/>
          </w:tcPr>
          <w:p>
            <w:pPr>
              <w:spacing w:after="20"/>
              <w:jc w:val="left"/>
            </w:pPr>
            <w:r/>
            <w:r>
              <w:rPr>
                <w:rFonts w:ascii="Times New Roman" w:hAnsi="Times New Roman" w:eastAsia="宋体"/>
                <w:color w:val="000000"/>
                <w:sz w:val="20"/>
              </w:rPr>
              <w:t>日销售额日历视图</w:t>
            </w:r>
          </w:p>
        </w:tc>
      </w:tr>
      <w:tr>
        <w:tc>
          <w:tcPr>
            <w:tcW w:type="dxa" w:w="2183"/>
          </w:tcPr>
          <w:p>
            <w:pPr>
              <w:spacing w:after="20"/>
              <w:jc w:val="center"/>
            </w:pPr>
            <w:r/>
            <w:r>
              <w:rPr>
                <w:rFonts w:ascii="Times New Roman" w:hAnsi="Times New Roman" w:eastAsia="宋体"/>
                <w:color w:val="000000"/>
                <w:sz w:val="20"/>
              </w:rPr>
              <w:t>fig18</w:t>
            </w:r>
          </w:p>
        </w:tc>
        <w:tc>
          <w:tcPr>
            <w:tcW w:type="dxa" w:w="2183"/>
          </w:tcPr>
          <w:p>
            <w:pPr>
              <w:spacing w:after="20"/>
              <w:jc w:val="left"/>
            </w:pPr>
            <w:r/>
            <w:r>
              <w:rPr>
                <w:rFonts w:ascii="Times New Roman" w:hAnsi="Times New Roman" w:eastAsia="宋体"/>
                <w:color w:val="000000"/>
                <w:sz w:val="20"/>
              </w:rPr>
              <w:t>fig18_slope_top_countries.png</w:t>
            </w:r>
          </w:p>
        </w:tc>
        <w:tc>
          <w:tcPr>
            <w:tcW w:type="dxa" w:w="2183"/>
          </w:tcPr>
          <w:p>
            <w:pPr>
              <w:spacing w:after="20"/>
              <w:jc w:val="left"/>
            </w:pPr>
            <w:r/>
            <w:r>
              <w:rPr>
                <w:rFonts w:ascii="Times New Roman" w:hAnsi="Times New Roman" w:eastAsia="宋体"/>
                <w:color w:val="000000"/>
                <w:sz w:val="20"/>
              </w:rPr>
              <w:t>坡度图</w:t>
            </w:r>
          </w:p>
        </w:tc>
        <w:tc>
          <w:tcPr>
            <w:tcW w:type="dxa" w:w="2183"/>
          </w:tcPr>
          <w:p>
            <w:pPr>
              <w:spacing w:after="20"/>
              <w:jc w:val="left"/>
            </w:pPr>
            <w:r/>
            <w:r>
              <w:rPr>
                <w:rFonts w:ascii="Times New Roman" w:hAnsi="Times New Roman" w:eastAsia="宋体"/>
                <w:color w:val="000000"/>
                <w:sz w:val="20"/>
              </w:rPr>
              <w:t>TOP8 国家年度规模变化</w:t>
            </w:r>
          </w:p>
        </w:tc>
      </w:tr>
      <w:tr>
        <w:tc>
          <w:tcPr>
            <w:tcW w:type="dxa" w:w="2183"/>
          </w:tcPr>
          <w:p>
            <w:pPr>
              <w:spacing w:after="20"/>
              <w:jc w:val="center"/>
            </w:pPr>
            <w:r/>
            <w:r>
              <w:rPr>
                <w:rFonts w:ascii="Times New Roman" w:hAnsi="Times New Roman" w:eastAsia="宋体"/>
                <w:color w:val="000000"/>
                <w:sz w:val="20"/>
              </w:rPr>
              <w:t>fig19</w:t>
            </w:r>
          </w:p>
        </w:tc>
        <w:tc>
          <w:tcPr>
            <w:tcW w:type="dxa" w:w="2183"/>
          </w:tcPr>
          <w:p>
            <w:pPr>
              <w:spacing w:after="20"/>
              <w:jc w:val="left"/>
            </w:pPr>
            <w:r/>
            <w:r>
              <w:rPr>
                <w:rFonts w:ascii="Times New Roman" w:hAnsi="Times New Roman" w:eastAsia="宋体"/>
                <w:color w:val="000000"/>
                <w:sz w:val="20"/>
              </w:rPr>
              <w:t>fig19_dual_axis_revenue_orders.png</w:t>
            </w:r>
          </w:p>
        </w:tc>
        <w:tc>
          <w:tcPr>
            <w:tcW w:type="dxa" w:w="2183"/>
          </w:tcPr>
          <w:p>
            <w:pPr>
              <w:spacing w:after="20"/>
              <w:jc w:val="left"/>
            </w:pPr>
            <w:r/>
            <w:r>
              <w:rPr>
                <w:rFonts w:ascii="Times New Roman" w:hAnsi="Times New Roman" w:eastAsia="宋体"/>
                <w:color w:val="000000"/>
                <w:sz w:val="20"/>
              </w:rPr>
              <w:t>三轴组合图</w:t>
            </w:r>
          </w:p>
        </w:tc>
        <w:tc>
          <w:tcPr>
            <w:tcW w:type="dxa" w:w="2183"/>
          </w:tcPr>
          <w:p>
            <w:pPr>
              <w:spacing w:after="20"/>
              <w:jc w:val="left"/>
            </w:pPr>
            <w:r/>
            <w:r>
              <w:rPr>
                <w:rFonts w:ascii="Times New Roman" w:hAnsi="Times New Roman" w:eastAsia="宋体"/>
                <w:color w:val="000000"/>
                <w:sz w:val="20"/>
              </w:rPr>
              <w:t>销售额 + 订单数 + 客单价</w:t>
            </w:r>
          </w:p>
        </w:tc>
      </w:tr>
      <w:tr>
        <w:tc>
          <w:tcPr>
            <w:tcW w:type="dxa" w:w="2183"/>
          </w:tcPr>
          <w:p>
            <w:pPr>
              <w:spacing w:after="20"/>
              <w:jc w:val="center"/>
            </w:pPr>
            <w:r/>
            <w:r>
              <w:rPr>
                <w:rFonts w:ascii="Times New Roman" w:hAnsi="Times New Roman" w:eastAsia="宋体"/>
                <w:color w:val="000000"/>
                <w:sz w:val="20"/>
              </w:rPr>
              <w:t>fig20</w:t>
            </w:r>
          </w:p>
        </w:tc>
        <w:tc>
          <w:tcPr>
            <w:tcW w:type="dxa" w:w="2183"/>
          </w:tcPr>
          <w:p>
            <w:pPr>
              <w:spacing w:after="20"/>
              <w:jc w:val="left"/>
            </w:pPr>
            <w:r/>
            <w:r>
              <w:rPr>
                <w:rFonts w:ascii="Times New Roman" w:hAnsi="Times New Roman" w:eastAsia="宋体"/>
                <w:color w:val="000000"/>
                <w:sz w:val="20"/>
              </w:rPr>
              <w:t>fig20_rose_category.png</w:t>
            </w:r>
          </w:p>
        </w:tc>
        <w:tc>
          <w:tcPr>
            <w:tcW w:type="dxa" w:w="2183"/>
          </w:tcPr>
          <w:p>
            <w:pPr>
              <w:spacing w:after="20"/>
              <w:jc w:val="left"/>
            </w:pPr>
            <w:r/>
            <w:r>
              <w:rPr>
                <w:rFonts w:ascii="Times New Roman" w:hAnsi="Times New Roman" w:eastAsia="宋体"/>
                <w:color w:val="000000"/>
                <w:sz w:val="20"/>
              </w:rPr>
              <w:t>玫瑰图</w:t>
            </w:r>
          </w:p>
        </w:tc>
        <w:tc>
          <w:tcPr>
            <w:tcW w:type="dxa" w:w="2183"/>
          </w:tcPr>
          <w:p>
            <w:pPr>
              <w:spacing w:after="20"/>
              <w:jc w:val="left"/>
            </w:pPr>
            <w:r/>
            <w:r>
              <w:rPr>
                <w:rFonts w:ascii="Times New Roman" w:hAnsi="Times New Roman" w:eastAsia="宋体"/>
                <w:color w:val="000000"/>
                <w:sz w:val="20"/>
              </w:rPr>
              <w:t>品类销售额南丁格尔玫瑰图</w:t>
            </w:r>
          </w:p>
        </w:tc>
      </w:tr>
      <w:tr>
        <w:tc>
          <w:tcPr>
            <w:tcW w:type="dxa" w:w="2183"/>
          </w:tcPr>
          <w:p>
            <w:pPr>
              <w:spacing w:after="20"/>
              <w:jc w:val="center"/>
            </w:pPr>
            <w:r/>
            <w:r>
              <w:rPr>
                <w:rFonts w:ascii="Times New Roman" w:hAnsi="Times New Roman" w:eastAsia="宋体"/>
                <w:color w:val="000000"/>
                <w:sz w:val="20"/>
              </w:rPr>
              <w:t>fig21</w:t>
            </w:r>
          </w:p>
        </w:tc>
        <w:tc>
          <w:tcPr>
            <w:tcW w:type="dxa" w:w="2183"/>
          </w:tcPr>
          <w:p>
            <w:pPr>
              <w:spacing w:after="20"/>
              <w:jc w:val="left"/>
            </w:pPr>
            <w:r/>
            <w:r>
              <w:rPr>
                <w:rFonts w:ascii="Times New Roman" w:hAnsi="Times New Roman" w:eastAsia="宋体"/>
                <w:color w:val="000000"/>
                <w:sz w:val="20"/>
              </w:rPr>
              <w:t>fig21_bullet_category.png</w:t>
            </w:r>
          </w:p>
        </w:tc>
        <w:tc>
          <w:tcPr>
            <w:tcW w:type="dxa" w:w="2183"/>
          </w:tcPr>
          <w:p>
            <w:pPr>
              <w:spacing w:after="20"/>
              <w:jc w:val="left"/>
            </w:pPr>
            <w:r/>
            <w:r>
              <w:rPr>
                <w:rFonts w:ascii="Times New Roman" w:hAnsi="Times New Roman" w:eastAsia="宋体"/>
                <w:color w:val="000000"/>
                <w:sz w:val="20"/>
              </w:rPr>
              <w:t>子弹图</w:t>
            </w:r>
          </w:p>
        </w:tc>
        <w:tc>
          <w:tcPr>
            <w:tcW w:type="dxa" w:w="2183"/>
          </w:tcPr>
          <w:p>
            <w:pPr>
              <w:spacing w:after="20"/>
              <w:jc w:val="left"/>
            </w:pPr>
            <w:r/>
            <w:r>
              <w:rPr>
                <w:rFonts w:ascii="Times New Roman" w:hAnsi="Times New Roman" w:eastAsia="宋体"/>
                <w:color w:val="000000"/>
                <w:sz w:val="20"/>
              </w:rPr>
              <w:t>品类实际 vs 目标</w:t>
            </w:r>
          </w:p>
        </w:tc>
      </w:tr>
      <w:tr>
        <w:tc>
          <w:tcPr>
            <w:tcW w:type="dxa" w:w="2183"/>
          </w:tcPr>
          <w:p>
            <w:pPr>
              <w:spacing w:after="20"/>
              <w:jc w:val="center"/>
            </w:pPr>
            <w:r/>
            <w:r>
              <w:rPr>
                <w:rFonts w:ascii="Times New Roman" w:hAnsi="Times New Roman" w:eastAsia="宋体"/>
                <w:color w:val="000000"/>
                <w:sz w:val="20"/>
              </w:rPr>
              <w:t>fig22</w:t>
            </w:r>
          </w:p>
        </w:tc>
        <w:tc>
          <w:tcPr>
            <w:tcW w:type="dxa" w:w="2183"/>
          </w:tcPr>
          <w:p>
            <w:pPr>
              <w:spacing w:after="20"/>
              <w:jc w:val="left"/>
            </w:pPr>
            <w:r/>
            <w:r>
              <w:rPr>
                <w:rFonts w:ascii="Times New Roman" w:hAnsi="Times New Roman" w:eastAsia="宋体"/>
                <w:color w:val="000000"/>
                <w:sz w:val="20"/>
              </w:rPr>
              <w:t>fig22_violin_order_value.png</w:t>
            </w:r>
          </w:p>
        </w:tc>
        <w:tc>
          <w:tcPr>
            <w:tcW w:type="dxa" w:w="2183"/>
          </w:tcPr>
          <w:p>
            <w:pPr>
              <w:spacing w:after="20"/>
              <w:jc w:val="left"/>
            </w:pPr>
            <w:r/>
            <w:r>
              <w:rPr>
                <w:rFonts w:ascii="Times New Roman" w:hAnsi="Times New Roman" w:eastAsia="宋体"/>
                <w:color w:val="000000"/>
                <w:sz w:val="20"/>
              </w:rPr>
              <w:t>小提琴图</w:t>
            </w:r>
          </w:p>
        </w:tc>
        <w:tc>
          <w:tcPr>
            <w:tcW w:type="dxa" w:w="2183"/>
          </w:tcPr>
          <w:p>
            <w:pPr>
              <w:spacing w:after="20"/>
              <w:jc w:val="left"/>
            </w:pPr>
            <w:r/>
            <w:r>
              <w:rPr>
                <w:rFonts w:ascii="Times New Roman" w:hAnsi="Times New Roman" w:eastAsia="宋体"/>
                <w:color w:val="000000"/>
                <w:sz w:val="20"/>
              </w:rPr>
              <w:t>各季度订单金额分布</w:t>
            </w:r>
          </w:p>
        </w:tc>
      </w:tr>
      <w:tr>
        <w:tc>
          <w:tcPr>
            <w:tcW w:type="dxa" w:w="2183"/>
          </w:tcPr>
          <w:p>
            <w:pPr>
              <w:spacing w:after="20"/>
              <w:jc w:val="center"/>
            </w:pPr>
            <w:r/>
            <w:r>
              <w:rPr>
                <w:rFonts w:ascii="Times New Roman" w:hAnsi="Times New Roman" w:eastAsia="宋体"/>
                <w:color w:val="000000"/>
                <w:sz w:val="20"/>
              </w:rPr>
              <w:t>fig23</w:t>
            </w:r>
          </w:p>
        </w:tc>
        <w:tc>
          <w:tcPr>
            <w:tcW w:type="dxa" w:w="2183"/>
          </w:tcPr>
          <w:p>
            <w:pPr>
              <w:spacing w:after="20"/>
              <w:jc w:val="left"/>
            </w:pPr>
            <w:r/>
            <w:r>
              <w:rPr>
                <w:rFonts w:ascii="Times New Roman" w:hAnsi="Times New Roman" w:eastAsia="宋体"/>
                <w:color w:val="000000"/>
                <w:sz w:val="20"/>
              </w:rPr>
              <w:t>fig23_treemap_category.png</w:t>
            </w:r>
          </w:p>
        </w:tc>
        <w:tc>
          <w:tcPr>
            <w:tcW w:type="dxa" w:w="2183"/>
          </w:tcPr>
          <w:p>
            <w:pPr>
              <w:spacing w:after="20"/>
              <w:jc w:val="left"/>
            </w:pPr>
            <w:r/>
            <w:r>
              <w:rPr>
                <w:rFonts w:ascii="Times New Roman" w:hAnsi="Times New Roman" w:eastAsia="宋体"/>
                <w:color w:val="000000"/>
                <w:sz w:val="20"/>
              </w:rPr>
              <w:t>矩形树图</w:t>
            </w:r>
          </w:p>
        </w:tc>
        <w:tc>
          <w:tcPr>
            <w:tcW w:type="dxa" w:w="2183"/>
          </w:tcPr>
          <w:p>
            <w:pPr>
              <w:spacing w:after="20"/>
              <w:jc w:val="left"/>
            </w:pPr>
            <w:r/>
            <w:r>
              <w:rPr>
                <w:rFonts w:ascii="Times New Roman" w:hAnsi="Times New Roman" w:eastAsia="宋体"/>
                <w:color w:val="000000"/>
                <w:sz w:val="20"/>
              </w:rPr>
              <w:t>品类销售额面积占比</w:t>
            </w:r>
          </w:p>
        </w:tc>
      </w:tr>
      <w:tr>
        <w:tc>
          <w:tcPr>
            <w:tcW w:type="dxa" w:w="2183"/>
          </w:tcPr>
          <w:p>
            <w:pPr>
              <w:spacing w:after="20"/>
              <w:jc w:val="center"/>
            </w:pPr>
            <w:r/>
            <w:r>
              <w:rPr>
                <w:rFonts w:ascii="Times New Roman" w:hAnsi="Times New Roman" w:eastAsia="宋体"/>
                <w:color w:val="000000"/>
                <w:sz w:val="20"/>
              </w:rPr>
              <w:t>fig24</w:t>
            </w:r>
          </w:p>
        </w:tc>
        <w:tc>
          <w:tcPr>
            <w:tcW w:type="dxa" w:w="2183"/>
          </w:tcPr>
          <w:p>
            <w:pPr>
              <w:spacing w:after="20"/>
              <w:jc w:val="left"/>
            </w:pPr>
            <w:r/>
            <w:r>
              <w:rPr>
                <w:rFonts w:ascii="Times New Roman" w:hAnsi="Times New Roman" w:eastAsia="宋体"/>
                <w:color w:val="000000"/>
                <w:sz w:val="20"/>
              </w:rPr>
              <w:t>fig24_wordcloud_products.png</w:t>
            </w:r>
          </w:p>
        </w:tc>
        <w:tc>
          <w:tcPr>
            <w:tcW w:type="dxa" w:w="2183"/>
          </w:tcPr>
          <w:p>
            <w:pPr>
              <w:spacing w:after="20"/>
              <w:jc w:val="left"/>
            </w:pPr>
            <w:r/>
            <w:r>
              <w:rPr>
                <w:rFonts w:ascii="Times New Roman" w:hAnsi="Times New Roman" w:eastAsia="宋体"/>
                <w:color w:val="000000"/>
                <w:sz w:val="20"/>
              </w:rPr>
              <w:t>词云图</w:t>
            </w:r>
          </w:p>
        </w:tc>
        <w:tc>
          <w:tcPr>
            <w:tcW w:type="dxa" w:w="2183"/>
          </w:tcPr>
          <w:p>
            <w:pPr>
              <w:spacing w:after="20"/>
              <w:jc w:val="left"/>
            </w:pPr>
            <w:r/>
            <w:r>
              <w:rPr>
                <w:rFonts w:ascii="Times New Roman" w:hAnsi="Times New Roman" w:eastAsia="宋体"/>
                <w:color w:val="000000"/>
                <w:sz w:val="20"/>
              </w:rPr>
              <w:t>热门商品描述词频</w:t>
            </w:r>
          </w:p>
        </w:tc>
      </w:tr>
      <w:tr>
        <w:tc>
          <w:tcPr>
            <w:tcW w:type="dxa" w:w="2183"/>
          </w:tcPr>
          <w:p>
            <w:pPr>
              <w:spacing w:after="20"/>
              <w:jc w:val="center"/>
            </w:pPr>
            <w:r/>
            <w:r>
              <w:rPr>
                <w:rFonts w:ascii="Times New Roman" w:hAnsi="Times New Roman" w:eastAsia="宋体"/>
                <w:color w:val="000000"/>
                <w:sz w:val="20"/>
              </w:rPr>
              <w:t>fig25</w:t>
            </w:r>
          </w:p>
        </w:tc>
        <w:tc>
          <w:tcPr>
            <w:tcW w:type="dxa" w:w="2183"/>
          </w:tcPr>
          <w:p>
            <w:pPr>
              <w:spacing w:after="20"/>
              <w:jc w:val="left"/>
            </w:pPr>
            <w:r/>
            <w:r>
              <w:rPr>
                <w:rFonts w:ascii="Times New Roman" w:hAnsi="Times New Roman" w:eastAsia="宋体"/>
                <w:color w:val="000000"/>
                <w:sz w:val="20"/>
              </w:rPr>
              <w:t>fig25_moving_average.png</w:t>
            </w:r>
          </w:p>
        </w:tc>
        <w:tc>
          <w:tcPr>
            <w:tcW w:type="dxa" w:w="2183"/>
          </w:tcPr>
          <w:p>
            <w:pPr>
              <w:spacing w:after="20"/>
              <w:jc w:val="left"/>
            </w:pPr>
            <w:r/>
            <w:r>
              <w:rPr>
                <w:rFonts w:ascii="Times New Roman" w:hAnsi="Times New Roman" w:eastAsia="宋体"/>
                <w:color w:val="000000"/>
                <w:sz w:val="20"/>
              </w:rPr>
              <w:t>多重折线图</w:t>
            </w:r>
          </w:p>
        </w:tc>
        <w:tc>
          <w:tcPr>
            <w:tcW w:type="dxa" w:w="2183"/>
          </w:tcPr>
          <w:p>
            <w:pPr>
              <w:spacing w:after="20"/>
              <w:jc w:val="left"/>
            </w:pPr>
            <w:r/>
            <w:r>
              <w:rPr>
                <w:rFonts w:ascii="Times New Roman" w:hAnsi="Times New Roman" w:eastAsia="宋体"/>
                <w:color w:val="000000"/>
                <w:sz w:val="20"/>
              </w:rPr>
              <w:t>MA7/MA30/MA90 趋势平滑</w:t>
            </w:r>
          </w:p>
        </w:tc>
      </w:tr>
      <w:tr>
        <w:tc>
          <w:tcPr>
            <w:tcW w:type="dxa" w:w="2183"/>
          </w:tcPr>
          <w:p>
            <w:pPr>
              <w:spacing w:after="20"/>
              <w:jc w:val="center"/>
            </w:pPr>
            <w:r/>
            <w:r>
              <w:rPr>
                <w:rFonts w:ascii="Times New Roman" w:hAnsi="Times New Roman" w:eastAsia="宋体"/>
                <w:color w:val="000000"/>
                <w:sz w:val="20"/>
              </w:rPr>
              <w:t>fig26</w:t>
            </w:r>
          </w:p>
        </w:tc>
        <w:tc>
          <w:tcPr>
            <w:tcW w:type="dxa" w:w="2183"/>
          </w:tcPr>
          <w:p>
            <w:pPr>
              <w:spacing w:after="20"/>
              <w:jc w:val="left"/>
            </w:pPr>
            <w:r/>
            <w:r>
              <w:rPr>
                <w:rFonts w:ascii="Times New Roman" w:hAnsi="Times New Roman" w:eastAsia="宋体"/>
                <w:color w:val="000000"/>
                <w:sz w:val="20"/>
              </w:rPr>
              <w:t>fig26_rfm_scatter_ch8.png</w:t>
            </w:r>
          </w:p>
        </w:tc>
        <w:tc>
          <w:tcPr>
            <w:tcW w:type="dxa" w:w="2183"/>
          </w:tcPr>
          <w:p>
            <w:pPr>
              <w:spacing w:after="20"/>
              <w:jc w:val="left"/>
            </w:pPr>
            <w:r/>
            <w:r>
              <w:rPr>
                <w:rFonts w:ascii="Times New Roman" w:hAnsi="Times New Roman" w:eastAsia="宋体"/>
                <w:color w:val="000000"/>
                <w:sz w:val="20"/>
              </w:rPr>
              <w:t>M2 RFM 模型</w:t>
            </w:r>
          </w:p>
        </w:tc>
        <w:tc>
          <w:tcPr>
            <w:tcW w:type="dxa" w:w="2183"/>
          </w:tcPr>
          <w:p>
            <w:pPr>
              <w:spacing w:after="20"/>
              <w:jc w:val="left"/>
            </w:pPr>
            <w:r/>
            <w:r>
              <w:rPr>
                <w:rFonts w:ascii="Times New Roman" w:hAnsi="Times New Roman" w:eastAsia="宋体"/>
                <w:color w:val="000000"/>
                <w:sz w:val="20"/>
              </w:rPr>
              <w:t>RFM 八分类气泡矩阵</w:t>
            </w:r>
          </w:p>
        </w:tc>
      </w:tr>
      <w:tr>
        <w:tc>
          <w:tcPr>
            <w:tcW w:type="dxa" w:w="2183"/>
          </w:tcPr>
          <w:p>
            <w:pPr>
              <w:spacing w:after="20"/>
              <w:jc w:val="center"/>
            </w:pPr>
            <w:r/>
            <w:r>
              <w:rPr>
                <w:rFonts w:ascii="Times New Roman" w:hAnsi="Times New Roman" w:eastAsia="宋体"/>
                <w:color w:val="000000"/>
                <w:sz w:val="20"/>
              </w:rPr>
              <w:t>fig27</w:t>
            </w:r>
          </w:p>
        </w:tc>
        <w:tc>
          <w:tcPr>
            <w:tcW w:type="dxa" w:w="2183"/>
          </w:tcPr>
          <w:p>
            <w:pPr>
              <w:spacing w:after="20"/>
              <w:jc w:val="left"/>
            </w:pPr>
            <w:r/>
            <w:r>
              <w:rPr>
                <w:rFonts w:ascii="Times New Roman" w:hAnsi="Times New Roman" w:eastAsia="宋体"/>
                <w:color w:val="000000"/>
                <w:sz w:val="20"/>
              </w:rPr>
              <w:t>fig27_rfm_segment_bar.png</w:t>
            </w:r>
          </w:p>
        </w:tc>
        <w:tc>
          <w:tcPr>
            <w:tcW w:type="dxa" w:w="2183"/>
          </w:tcPr>
          <w:p>
            <w:pPr>
              <w:spacing w:after="20"/>
              <w:jc w:val="left"/>
            </w:pPr>
            <w:r/>
            <w:r>
              <w:rPr>
                <w:rFonts w:ascii="Times New Roman" w:hAnsi="Times New Roman" w:eastAsia="宋体"/>
                <w:color w:val="000000"/>
                <w:sz w:val="20"/>
              </w:rPr>
              <w:t>M2 RFM 模型</w:t>
            </w:r>
          </w:p>
        </w:tc>
        <w:tc>
          <w:tcPr>
            <w:tcW w:type="dxa" w:w="2183"/>
          </w:tcPr>
          <w:p>
            <w:pPr>
              <w:spacing w:after="20"/>
              <w:jc w:val="left"/>
            </w:pPr>
            <w:r/>
            <w:r>
              <w:rPr>
                <w:rFonts w:ascii="Times New Roman" w:hAnsi="Times New Roman" w:eastAsia="宋体"/>
                <w:color w:val="000000"/>
                <w:sz w:val="20"/>
              </w:rPr>
              <w:t>八分群客户规模 vs 金额贡献</w:t>
            </w:r>
          </w:p>
        </w:tc>
      </w:tr>
      <w:tr>
        <w:tc>
          <w:tcPr>
            <w:tcW w:type="dxa" w:w="2183"/>
          </w:tcPr>
          <w:p>
            <w:pPr>
              <w:spacing w:after="20"/>
              <w:jc w:val="center"/>
            </w:pPr>
            <w:r/>
            <w:r>
              <w:rPr>
                <w:rFonts w:ascii="Times New Roman" w:hAnsi="Times New Roman" w:eastAsia="宋体"/>
                <w:color w:val="000000"/>
                <w:sz w:val="20"/>
              </w:rPr>
              <w:t>fig28</w:t>
            </w:r>
          </w:p>
        </w:tc>
        <w:tc>
          <w:tcPr>
            <w:tcW w:type="dxa" w:w="2183"/>
          </w:tcPr>
          <w:p>
            <w:pPr>
              <w:spacing w:after="20"/>
              <w:jc w:val="left"/>
            </w:pPr>
            <w:r/>
            <w:r>
              <w:rPr>
                <w:rFonts w:ascii="Times New Roman" w:hAnsi="Times New Roman" w:eastAsia="宋体"/>
                <w:color w:val="000000"/>
                <w:sz w:val="20"/>
              </w:rPr>
              <w:t>fig28_cohort_retention_heatmap.png</w:t>
            </w:r>
          </w:p>
        </w:tc>
        <w:tc>
          <w:tcPr>
            <w:tcW w:type="dxa" w:w="2183"/>
          </w:tcPr>
          <w:p>
            <w:pPr>
              <w:spacing w:after="20"/>
              <w:jc w:val="left"/>
            </w:pPr>
            <w:r/>
            <w:r>
              <w:rPr>
                <w:rFonts w:ascii="Times New Roman" w:hAnsi="Times New Roman" w:eastAsia="宋体"/>
                <w:color w:val="000000"/>
                <w:sz w:val="20"/>
              </w:rPr>
              <w:t>M3 同期群留存</w:t>
            </w:r>
          </w:p>
        </w:tc>
        <w:tc>
          <w:tcPr>
            <w:tcW w:type="dxa" w:w="2183"/>
          </w:tcPr>
          <w:p>
            <w:pPr>
              <w:spacing w:after="20"/>
              <w:jc w:val="left"/>
            </w:pPr>
            <w:r/>
            <w:r>
              <w:rPr>
                <w:rFonts w:ascii="Times New Roman" w:hAnsi="Times New Roman" w:eastAsia="宋体"/>
                <w:color w:val="000000"/>
                <w:sz w:val="20"/>
              </w:rPr>
              <w:t>月度同期群留存热力图</w:t>
            </w:r>
          </w:p>
        </w:tc>
      </w:tr>
      <w:tr>
        <w:tc>
          <w:tcPr>
            <w:tcW w:type="dxa" w:w="2183"/>
          </w:tcPr>
          <w:p>
            <w:pPr>
              <w:spacing w:after="20"/>
              <w:jc w:val="center"/>
            </w:pPr>
            <w:r/>
            <w:r>
              <w:rPr>
                <w:rFonts w:ascii="Times New Roman" w:hAnsi="Times New Roman" w:eastAsia="宋体"/>
                <w:color w:val="000000"/>
                <w:sz w:val="20"/>
              </w:rPr>
              <w:t>fig29</w:t>
            </w:r>
          </w:p>
        </w:tc>
        <w:tc>
          <w:tcPr>
            <w:tcW w:type="dxa" w:w="2183"/>
          </w:tcPr>
          <w:p>
            <w:pPr>
              <w:spacing w:after="20"/>
              <w:jc w:val="left"/>
            </w:pPr>
            <w:r/>
            <w:r>
              <w:rPr>
                <w:rFonts w:ascii="Times New Roman" w:hAnsi="Times New Roman" w:eastAsia="宋体"/>
                <w:color w:val="000000"/>
                <w:sz w:val="20"/>
              </w:rPr>
              <w:t>fig29_pareto_abc.png</w:t>
            </w:r>
          </w:p>
        </w:tc>
        <w:tc>
          <w:tcPr>
            <w:tcW w:type="dxa" w:w="2183"/>
          </w:tcPr>
          <w:p>
            <w:pPr>
              <w:spacing w:after="20"/>
              <w:jc w:val="left"/>
            </w:pPr>
            <w:r/>
            <w:r>
              <w:rPr>
                <w:rFonts w:ascii="Times New Roman" w:hAnsi="Times New Roman" w:eastAsia="宋体"/>
                <w:color w:val="000000"/>
                <w:sz w:val="20"/>
              </w:rPr>
              <w:t>M4 帕累托/ABC</w:t>
            </w:r>
          </w:p>
        </w:tc>
        <w:tc>
          <w:tcPr>
            <w:tcW w:type="dxa" w:w="2183"/>
          </w:tcPr>
          <w:p>
            <w:pPr>
              <w:spacing w:after="20"/>
              <w:jc w:val="left"/>
            </w:pPr>
            <w:r/>
            <w:r>
              <w:rPr>
                <w:rFonts w:ascii="Times New Roman" w:hAnsi="Times New Roman" w:eastAsia="宋体"/>
                <w:color w:val="000000"/>
                <w:sz w:val="20"/>
              </w:rPr>
              <w:t>TOP30 商品帕累托 + ABC 分界</w:t>
            </w:r>
          </w:p>
        </w:tc>
      </w:tr>
      <w:tr>
        <w:tc>
          <w:tcPr>
            <w:tcW w:type="dxa" w:w="2183"/>
          </w:tcPr>
          <w:p>
            <w:pPr>
              <w:spacing w:after="20"/>
              <w:jc w:val="center"/>
            </w:pPr>
            <w:r/>
            <w:r>
              <w:rPr>
                <w:rFonts w:ascii="Times New Roman" w:hAnsi="Times New Roman" w:eastAsia="宋体"/>
                <w:color w:val="000000"/>
                <w:sz w:val="20"/>
              </w:rPr>
              <w:t>fig30</w:t>
            </w:r>
          </w:p>
        </w:tc>
        <w:tc>
          <w:tcPr>
            <w:tcW w:type="dxa" w:w="2183"/>
          </w:tcPr>
          <w:p>
            <w:pPr>
              <w:spacing w:after="20"/>
              <w:jc w:val="left"/>
            </w:pPr>
            <w:r/>
            <w:r>
              <w:rPr>
                <w:rFonts w:ascii="Times New Roman" w:hAnsi="Times New Roman" w:eastAsia="宋体"/>
                <w:color w:val="000000"/>
                <w:sz w:val="20"/>
              </w:rPr>
              <w:t>fig30_apriori_rules_scatter.png</w:t>
            </w:r>
          </w:p>
        </w:tc>
        <w:tc>
          <w:tcPr>
            <w:tcW w:type="dxa" w:w="2183"/>
          </w:tcPr>
          <w:p>
            <w:pPr>
              <w:spacing w:after="20"/>
              <w:jc w:val="left"/>
            </w:pPr>
            <w:r/>
            <w:r>
              <w:rPr>
                <w:rFonts w:ascii="Times New Roman" w:hAnsi="Times New Roman" w:eastAsia="宋体"/>
                <w:color w:val="000000"/>
                <w:sz w:val="20"/>
              </w:rPr>
              <w:t>M5 关联规则</w:t>
            </w:r>
          </w:p>
        </w:tc>
        <w:tc>
          <w:tcPr>
            <w:tcW w:type="dxa" w:w="2183"/>
          </w:tcPr>
          <w:p>
            <w:pPr>
              <w:spacing w:after="20"/>
              <w:jc w:val="left"/>
            </w:pPr>
            <w:r/>
            <w:r>
              <w:rPr>
                <w:rFonts w:ascii="Times New Roman" w:hAnsi="Times New Roman" w:eastAsia="宋体"/>
                <w:color w:val="000000"/>
                <w:sz w:val="20"/>
              </w:rPr>
              <w:t>支持度 × 置信度 × 提升度</w:t>
            </w:r>
          </w:p>
        </w:tc>
      </w:tr>
      <w:tr>
        <w:tc>
          <w:tcPr>
            <w:tcW w:type="dxa" w:w="2183"/>
          </w:tcPr>
          <w:p>
            <w:pPr>
              <w:spacing w:after="20"/>
              <w:jc w:val="center"/>
            </w:pPr>
            <w:r/>
            <w:r>
              <w:rPr>
                <w:rFonts w:ascii="Times New Roman" w:hAnsi="Times New Roman" w:eastAsia="宋体"/>
                <w:color w:val="000000"/>
                <w:sz w:val="20"/>
              </w:rPr>
              <w:t>fig31</w:t>
            </w:r>
          </w:p>
        </w:tc>
        <w:tc>
          <w:tcPr>
            <w:tcW w:type="dxa" w:w="2183"/>
          </w:tcPr>
          <w:p>
            <w:pPr>
              <w:spacing w:after="20"/>
              <w:jc w:val="left"/>
            </w:pPr>
            <w:r/>
            <w:r>
              <w:rPr>
                <w:rFonts w:ascii="Times New Roman" w:hAnsi="Times New Roman" w:eastAsia="宋体"/>
                <w:color w:val="000000"/>
                <w:sz w:val="20"/>
              </w:rPr>
              <w:t>fig31_apriori_network.png</w:t>
            </w:r>
          </w:p>
        </w:tc>
        <w:tc>
          <w:tcPr>
            <w:tcW w:type="dxa" w:w="2183"/>
          </w:tcPr>
          <w:p>
            <w:pPr>
              <w:spacing w:after="20"/>
              <w:jc w:val="left"/>
            </w:pPr>
            <w:r/>
            <w:r>
              <w:rPr>
                <w:rFonts w:ascii="Times New Roman" w:hAnsi="Times New Roman" w:eastAsia="宋体"/>
                <w:color w:val="000000"/>
                <w:sz w:val="20"/>
              </w:rPr>
              <w:t>M5 关联规则</w:t>
            </w:r>
          </w:p>
        </w:tc>
        <w:tc>
          <w:tcPr>
            <w:tcW w:type="dxa" w:w="2183"/>
          </w:tcPr>
          <w:p>
            <w:pPr>
              <w:spacing w:after="20"/>
              <w:jc w:val="left"/>
            </w:pPr>
            <w:r/>
            <w:r>
              <w:rPr>
                <w:rFonts w:ascii="Times New Roman" w:hAnsi="Times New Roman" w:eastAsia="宋体"/>
                <w:color w:val="000000"/>
                <w:sz w:val="20"/>
              </w:rPr>
              <w:t>商品共现网络图</w:t>
            </w:r>
          </w:p>
        </w:tc>
      </w:tr>
      <w:tr>
        <w:tc>
          <w:tcPr>
            <w:tcW w:type="dxa" w:w="2183"/>
          </w:tcPr>
          <w:p>
            <w:pPr>
              <w:spacing w:after="20"/>
              <w:jc w:val="center"/>
            </w:pPr>
            <w:r/>
            <w:r>
              <w:rPr>
                <w:rFonts w:ascii="Times New Roman" w:hAnsi="Times New Roman" w:eastAsia="宋体"/>
                <w:color w:val="000000"/>
                <w:sz w:val="20"/>
              </w:rPr>
              <w:t>fig32</w:t>
            </w:r>
          </w:p>
        </w:tc>
        <w:tc>
          <w:tcPr>
            <w:tcW w:type="dxa" w:w="2183"/>
          </w:tcPr>
          <w:p>
            <w:pPr>
              <w:spacing w:after="20"/>
              <w:jc w:val="left"/>
            </w:pPr>
            <w:r/>
            <w:r>
              <w:rPr>
                <w:rFonts w:ascii="Times New Roman" w:hAnsi="Times New Roman" w:eastAsia="宋体"/>
                <w:color w:val="000000"/>
                <w:sz w:val="20"/>
              </w:rPr>
              <w:t>fig32_bcg_matrix.png</w:t>
            </w:r>
          </w:p>
        </w:tc>
        <w:tc>
          <w:tcPr>
            <w:tcW w:type="dxa" w:w="2183"/>
          </w:tcPr>
          <w:p>
            <w:pPr>
              <w:spacing w:after="20"/>
              <w:jc w:val="left"/>
            </w:pPr>
            <w:r/>
            <w:r>
              <w:rPr>
                <w:rFonts w:ascii="Times New Roman" w:hAnsi="Times New Roman" w:eastAsia="宋体"/>
                <w:color w:val="000000"/>
                <w:sz w:val="20"/>
              </w:rPr>
              <w:t>M6 波士顿矩阵</w:t>
            </w:r>
          </w:p>
        </w:tc>
        <w:tc>
          <w:tcPr>
            <w:tcW w:type="dxa" w:w="2183"/>
          </w:tcPr>
          <w:p>
            <w:pPr>
              <w:spacing w:after="20"/>
              <w:jc w:val="left"/>
            </w:pPr>
            <w:r/>
            <w:r>
              <w:rPr>
                <w:rFonts w:ascii="Times New Roman" w:hAnsi="Times New Roman" w:eastAsia="宋体"/>
                <w:color w:val="000000"/>
                <w:sz w:val="20"/>
              </w:rPr>
              <w:t>相对份额 × 增速四象限</w:t>
            </w:r>
          </w:p>
        </w:tc>
      </w:tr>
      <w:tr>
        <w:tc>
          <w:tcPr>
            <w:tcW w:type="dxa" w:w="2183"/>
          </w:tcPr>
          <w:p>
            <w:pPr>
              <w:spacing w:after="20"/>
              <w:jc w:val="center"/>
            </w:pPr>
            <w:r/>
            <w:r>
              <w:rPr>
                <w:rFonts w:ascii="Times New Roman" w:hAnsi="Times New Roman" w:eastAsia="宋体"/>
                <w:color w:val="000000"/>
                <w:sz w:val="20"/>
              </w:rPr>
              <w:t>fig33</w:t>
            </w:r>
          </w:p>
        </w:tc>
        <w:tc>
          <w:tcPr>
            <w:tcW w:type="dxa" w:w="2183"/>
          </w:tcPr>
          <w:p>
            <w:pPr>
              <w:spacing w:after="20"/>
              <w:jc w:val="left"/>
            </w:pPr>
            <w:r/>
            <w:r>
              <w:rPr>
                <w:rFonts w:ascii="Times New Roman" w:hAnsi="Times New Roman" w:eastAsia="宋体"/>
                <w:color w:val="000000"/>
                <w:sz w:val="20"/>
              </w:rPr>
              <w:t>fig33_forecast_ci.png</w:t>
            </w:r>
          </w:p>
        </w:tc>
        <w:tc>
          <w:tcPr>
            <w:tcW w:type="dxa" w:w="2183"/>
          </w:tcPr>
          <w:p>
            <w:pPr>
              <w:spacing w:after="20"/>
              <w:jc w:val="left"/>
            </w:pPr>
            <w:r/>
            <w:r>
              <w:rPr>
                <w:rFonts w:ascii="Times New Roman" w:hAnsi="Times New Roman" w:eastAsia="宋体"/>
                <w:color w:val="000000"/>
                <w:sz w:val="20"/>
              </w:rPr>
              <w:t>M7 时间序列预测</w:t>
            </w:r>
          </w:p>
        </w:tc>
        <w:tc>
          <w:tcPr>
            <w:tcW w:type="dxa" w:w="2183"/>
          </w:tcPr>
          <w:p>
            <w:pPr>
              <w:spacing w:after="20"/>
              <w:jc w:val="left"/>
            </w:pPr>
            <w:r/>
            <w:r>
              <w:rPr>
                <w:rFonts w:ascii="Times New Roman" w:hAnsi="Times New Roman" w:eastAsia="宋体"/>
                <w:color w:val="000000"/>
                <w:sz w:val="20"/>
              </w:rPr>
              <w:t>点预测 + 95% 置信区间 + 回测</w:t>
            </w:r>
          </w:p>
        </w:tc>
      </w:tr>
      <w:tr>
        <w:tc>
          <w:tcPr>
            <w:tcW w:type="dxa" w:w="2183"/>
          </w:tcPr>
          <w:p>
            <w:pPr>
              <w:spacing w:after="20"/>
              <w:jc w:val="center"/>
            </w:pPr>
            <w:r/>
            <w:r>
              <w:rPr>
                <w:rFonts w:ascii="Times New Roman" w:hAnsi="Times New Roman" w:eastAsia="宋体"/>
                <w:color w:val="000000"/>
                <w:sz w:val="20"/>
              </w:rPr>
              <w:t>fig34</w:t>
            </w:r>
          </w:p>
        </w:tc>
        <w:tc>
          <w:tcPr>
            <w:tcW w:type="dxa" w:w="2183"/>
          </w:tcPr>
          <w:p>
            <w:pPr>
              <w:spacing w:after="20"/>
              <w:jc w:val="left"/>
            </w:pPr>
            <w:r/>
            <w:r>
              <w:rPr>
                <w:rFonts w:ascii="Times New Roman" w:hAnsi="Times New Roman" w:eastAsia="宋体"/>
                <w:color w:val="000000"/>
                <w:sz w:val="20"/>
              </w:rPr>
              <w:t>fig34_kmeans_clusters.png</w:t>
            </w:r>
          </w:p>
        </w:tc>
        <w:tc>
          <w:tcPr>
            <w:tcW w:type="dxa" w:w="2183"/>
          </w:tcPr>
          <w:p>
            <w:pPr>
              <w:spacing w:after="20"/>
              <w:jc w:val="left"/>
            </w:pPr>
            <w:r/>
            <w:r>
              <w:rPr>
                <w:rFonts w:ascii="Times New Roman" w:hAnsi="Times New Roman" w:eastAsia="宋体"/>
                <w:color w:val="000000"/>
                <w:sz w:val="20"/>
              </w:rPr>
              <w:t>M8 K-Means 分群</w:t>
            </w:r>
          </w:p>
        </w:tc>
        <w:tc>
          <w:tcPr>
            <w:tcW w:type="dxa" w:w="2183"/>
          </w:tcPr>
          <w:p>
            <w:pPr>
              <w:spacing w:after="20"/>
              <w:jc w:val="left"/>
            </w:pPr>
            <w:r/>
            <w:r>
              <w:rPr>
                <w:rFonts w:ascii="Times New Roman" w:hAnsi="Times New Roman" w:eastAsia="宋体"/>
                <w:color w:val="000000"/>
                <w:sz w:val="20"/>
              </w:rPr>
              <w:t>散点 + 分群画像对比</w:t>
            </w:r>
          </w:p>
        </w:tc>
      </w:tr>
      <w:tr>
        <w:tc>
          <w:tcPr>
            <w:tcW w:type="dxa" w:w="2183"/>
          </w:tcPr>
          <w:p>
            <w:pPr>
              <w:spacing w:after="20"/>
              <w:jc w:val="center"/>
            </w:pPr>
            <w:r/>
            <w:r>
              <w:rPr>
                <w:rFonts w:ascii="Times New Roman" w:hAnsi="Times New Roman" w:eastAsia="宋体"/>
                <w:color w:val="000000"/>
                <w:sz w:val="20"/>
              </w:rPr>
              <w:t>fig35</w:t>
            </w:r>
          </w:p>
        </w:tc>
        <w:tc>
          <w:tcPr>
            <w:tcW w:type="dxa" w:w="2183"/>
          </w:tcPr>
          <w:p>
            <w:pPr>
              <w:spacing w:after="20"/>
              <w:jc w:val="left"/>
            </w:pPr>
            <w:r/>
            <w:r>
              <w:rPr>
                <w:rFonts w:ascii="Times New Roman" w:hAnsi="Times New Roman" w:eastAsia="宋体"/>
                <w:color w:val="000000"/>
                <w:sz w:val="20"/>
              </w:rPr>
              <w:t>fig35_repurchase_funnel.png</w:t>
            </w:r>
          </w:p>
        </w:tc>
        <w:tc>
          <w:tcPr>
            <w:tcW w:type="dxa" w:w="2183"/>
          </w:tcPr>
          <w:p>
            <w:pPr>
              <w:spacing w:after="20"/>
              <w:jc w:val="left"/>
            </w:pPr>
            <w:r/>
            <w:r>
              <w:rPr>
                <w:rFonts w:ascii="Times New Roman" w:hAnsi="Times New Roman" w:eastAsia="宋体"/>
                <w:color w:val="000000"/>
                <w:sz w:val="20"/>
              </w:rPr>
              <w:t>M9 复购漏斗</w:t>
            </w:r>
          </w:p>
        </w:tc>
        <w:tc>
          <w:tcPr>
            <w:tcW w:type="dxa" w:w="2183"/>
          </w:tcPr>
          <w:p>
            <w:pPr>
              <w:spacing w:after="20"/>
              <w:jc w:val="left"/>
            </w:pPr>
            <w:r/>
            <w:r>
              <w:rPr>
                <w:rFonts w:ascii="Times New Roman" w:hAnsi="Times New Roman" w:eastAsia="宋体"/>
                <w:color w:val="000000"/>
                <w:sz w:val="20"/>
              </w:rPr>
              <w:t>五级复购转化漏斗</w:t>
            </w:r>
          </w:p>
        </w:tc>
      </w:tr>
      <w:tr>
        <w:tc>
          <w:tcPr>
            <w:tcW w:type="dxa" w:w="2183"/>
          </w:tcPr>
          <w:p>
            <w:pPr>
              <w:spacing w:after="20"/>
              <w:jc w:val="center"/>
            </w:pPr>
            <w:r/>
            <w:r>
              <w:rPr>
                <w:rFonts w:ascii="Times New Roman" w:hAnsi="Times New Roman" w:eastAsia="宋体"/>
                <w:color w:val="000000"/>
                <w:sz w:val="20"/>
              </w:rPr>
              <w:t>fig36</w:t>
            </w:r>
          </w:p>
        </w:tc>
        <w:tc>
          <w:tcPr>
            <w:tcW w:type="dxa" w:w="2183"/>
          </w:tcPr>
          <w:p>
            <w:pPr>
              <w:spacing w:after="20"/>
              <w:jc w:val="left"/>
            </w:pPr>
            <w:r/>
            <w:r>
              <w:rPr>
                <w:rFonts w:ascii="Times New Roman" w:hAnsi="Times New Roman" w:eastAsia="宋体"/>
                <w:color w:val="000000"/>
                <w:sz w:val="20"/>
              </w:rPr>
              <w:t>fig36_churn_diagnostics.png</w:t>
            </w:r>
          </w:p>
        </w:tc>
        <w:tc>
          <w:tcPr>
            <w:tcW w:type="dxa" w:w="2183"/>
          </w:tcPr>
          <w:p>
            <w:pPr>
              <w:spacing w:after="20"/>
              <w:jc w:val="left"/>
            </w:pPr>
            <w:r/>
            <w:r>
              <w:rPr>
                <w:rFonts w:ascii="Times New Roman" w:hAnsi="Times New Roman" w:eastAsia="宋体"/>
                <w:color w:val="000000"/>
                <w:sz w:val="20"/>
              </w:rPr>
              <w:t>M10 流失预警</w:t>
            </w:r>
          </w:p>
        </w:tc>
        <w:tc>
          <w:tcPr>
            <w:tcW w:type="dxa" w:w="2183"/>
          </w:tcPr>
          <w:p>
            <w:pPr>
              <w:spacing w:after="20"/>
              <w:jc w:val="left"/>
            </w:pPr>
            <w:r/>
            <w:r>
              <w:rPr>
                <w:rFonts w:ascii="Times New Roman" w:hAnsi="Times New Roman" w:eastAsia="宋体"/>
                <w:color w:val="000000"/>
                <w:sz w:val="20"/>
              </w:rPr>
              <w:t>ROC（含时间外）+ 十分位流失率 + 系数方向</w:t>
            </w:r>
          </w:p>
        </w:tc>
      </w:tr>
      <w:tr>
        <w:tc>
          <w:tcPr>
            <w:tcW w:type="dxa" w:w="2183"/>
          </w:tcPr>
          <w:p>
            <w:pPr>
              <w:spacing w:after="20"/>
              <w:jc w:val="center"/>
            </w:pPr>
            <w:r/>
            <w:r>
              <w:rPr>
                <w:rFonts w:ascii="Times New Roman" w:hAnsi="Times New Roman" w:eastAsia="宋体"/>
                <w:color w:val="000000"/>
                <w:sz w:val="20"/>
              </w:rPr>
              <w:t>fig37</w:t>
            </w:r>
          </w:p>
        </w:tc>
        <w:tc>
          <w:tcPr>
            <w:tcW w:type="dxa" w:w="2183"/>
          </w:tcPr>
          <w:p>
            <w:pPr>
              <w:spacing w:after="20"/>
              <w:jc w:val="left"/>
            </w:pPr>
            <w:r/>
            <w:r>
              <w:rPr>
                <w:rFonts w:ascii="Times New Roman" w:hAnsi="Times New Roman" w:eastAsia="宋体"/>
                <w:color w:val="000000"/>
                <w:sz w:val="20"/>
              </w:rPr>
              <w:t>fig37_churn_value_scatter.png</w:t>
            </w:r>
          </w:p>
        </w:tc>
        <w:tc>
          <w:tcPr>
            <w:tcW w:type="dxa" w:w="2183"/>
          </w:tcPr>
          <w:p>
            <w:pPr>
              <w:spacing w:after="20"/>
              <w:jc w:val="left"/>
            </w:pPr>
            <w:r/>
            <w:r>
              <w:rPr>
                <w:rFonts w:ascii="Times New Roman" w:hAnsi="Times New Roman" w:eastAsia="宋体"/>
                <w:color w:val="000000"/>
                <w:sz w:val="20"/>
              </w:rPr>
              <w:t>M10 流失预警</w:t>
            </w:r>
          </w:p>
        </w:tc>
        <w:tc>
          <w:tcPr>
            <w:tcW w:type="dxa" w:w="2183"/>
          </w:tcPr>
          <w:p>
            <w:pPr>
              <w:spacing w:after="20"/>
              <w:jc w:val="left"/>
            </w:pPr>
            <w:r/>
            <w:r>
              <w:rPr>
                <w:rFonts w:ascii="Times New Roman" w:hAnsi="Times New Roman" w:eastAsia="宋体"/>
                <w:color w:val="000000"/>
                <w:sz w:val="20"/>
              </w:rPr>
              <w:t>客户价值 × 流失概率全景与预警名单定位</w:t>
            </w:r>
          </w:p>
        </w:tc>
      </w:tr>
    </w:tbl>
    <w:p>
      <w:pPr>
        <w:spacing w:after="40"/>
      </w:pPr>
    </w:p>
    <w:p>
      <w:pPr>
        <w:spacing w:after="40"/>
        <w:jc w:val="center"/>
      </w:pPr>
      <w:r>
        <w:rPr>
          <w:rFonts w:ascii="Times New Roman" w:hAnsi="Times New Roman" w:eastAsia="黑体"/>
          <w:color w:val="000000"/>
          <w:sz w:val="21"/>
        </w:rPr>
        <w:t>表 C-2  交互大屏 22 个组件清单</w:t>
      </w:r>
    </w:p>
    <w:tbl>
      <w:tblPr>
        <w:tblStyle w:val="TableGrid"/>
        <w:tblW w:type="auto" w:w="0"/>
        <w:jc w:val="center"/>
        <w:tblLook w:firstColumn="1" w:firstRow="1" w:lastColumn="0" w:lastRow="0" w:noHBand="0" w:noVBand="1" w:val="04A0"/>
      </w:tblPr>
      <w:tblGrid>
        <w:gridCol w:w="2911"/>
        <w:gridCol w:w="2911"/>
        <w:gridCol w:w="2911"/>
      </w:tblGrid>
      <w:tr>
        <w:tc>
          <w:tcPr>
            <w:tcW w:type="dxa" w:w="2911"/>
          </w:tcPr>
          <w:p>
            <w:pPr>
              <w:jc w:val="center"/>
            </w:pPr>
            <w:r/>
            <w:r>
              <w:rPr>
                <w:rFonts w:ascii="Times New Roman" w:hAnsi="Times New Roman" w:eastAsia="黑体"/>
                <w:b/>
                <w:color w:val="000000"/>
                <w:sz w:val="20"/>
              </w:rPr>
              <w:t>标签页</w:t>
            </w:r>
          </w:p>
        </w:tc>
        <w:tc>
          <w:tcPr>
            <w:tcW w:type="dxa" w:w="2911"/>
          </w:tcPr>
          <w:p>
            <w:pPr>
              <w:jc w:val="center"/>
            </w:pPr>
            <w:r/>
            <w:r>
              <w:rPr>
                <w:rFonts w:ascii="Times New Roman" w:hAnsi="Times New Roman" w:eastAsia="黑体"/>
                <w:b/>
                <w:color w:val="000000"/>
                <w:sz w:val="20"/>
              </w:rPr>
              <w:t>组件</w:t>
            </w:r>
          </w:p>
        </w:tc>
        <w:tc>
          <w:tcPr>
            <w:tcW w:type="dxa" w:w="2911"/>
          </w:tcPr>
          <w:p>
            <w:pPr>
              <w:jc w:val="center"/>
            </w:pPr>
            <w:r/>
            <w:r>
              <w:rPr>
                <w:rFonts w:ascii="Times New Roman" w:hAnsi="Times New Roman" w:eastAsia="黑体"/>
                <w:b/>
                <w:color w:val="000000"/>
                <w:sz w:val="20"/>
              </w:rPr>
              <w:t>标题</w:t>
            </w:r>
          </w:p>
        </w:tc>
      </w:tr>
      <w:tr>
        <w:tc>
          <w:tcPr>
            <w:tcW w:type="dxa" w:w="2911"/>
          </w:tcPr>
          <w:p>
            <w:pPr>
              <w:spacing w:after="20"/>
              <w:jc w:val="center"/>
            </w:pPr>
            <w:r/>
            <w:r>
              <w:rPr>
                <w:rFonts w:ascii="Times New Roman" w:hAnsi="Times New Roman" w:eastAsia="宋体"/>
                <w:color w:val="000000"/>
                <w:sz w:val="20"/>
              </w:rPr>
              <w:t>tab1</w:t>
            </w:r>
          </w:p>
        </w:tc>
        <w:tc>
          <w:tcPr>
            <w:tcW w:type="dxa" w:w="2911"/>
          </w:tcPr>
          <w:p>
            <w:pPr>
              <w:spacing w:after="20"/>
              <w:jc w:val="left"/>
            </w:pPr>
            <w:r/>
            <w:r>
              <w:rPr>
                <w:rFonts w:ascii="Times New Roman" w:hAnsi="Times New Roman" w:eastAsia="宋体"/>
                <w:color w:val="000000"/>
                <w:sz w:val="20"/>
              </w:rPr>
              <w:t>trend</w:t>
            </w:r>
          </w:p>
        </w:tc>
        <w:tc>
          <w:tcPr>
            <w:tcW w:type="dxa" w:w="2911"/>
          </w:tcPr>
          <w:p>
            <w:pPr>
              <w:spacing w:after="20"/>
              <w:jc w:val="left"/>
            </w:pPr>
            <w:r/>
            <w:r>
              <w:rPr>
                <w:rFonts w:ascii="Times New Roman" w:hAnsi="Times New Roman" w:eastAsia="宋体"/>
                <w:color w:val="000000"/>
                <w:sz w:val="20"/>
              </w:rPr>
              <w:t>月度销售额趋势</w:t>
            </w:r>
          </w:p>
        </w:tc>
      </w:tr>
      <w:tr>
        <w:tc>
          <w:tcPr>
            <w:tcW w:type="dxa" w:w="2911"/>
          </w:tcPr>
          <w:p>
            <w:pPr>
              <w:spacing w:after="20"/>
              <w:jc w:val="center"/>
            </w:pPr>
            <w:r/>
            <w:r>
              <w:rPr>
                <w:rFonts w:ascii="Times New Roman" w:hAnsi="Times New Roman" w:eastAsia="宋体"/>
                <w:color w:val="000000"/>
                <w:sz w:val="20"/>
              </w:rPr>
              <w:t>tab1</w:t>
            </w:r>
          </w:p>
        </w:tc>
        <w:tc>
          <w:tcPr>
            <w:tcW w:type="dxa" w:w="2911"/>
          </w:tcPr>
          <w:p>
            <w:pPr>
              <w:spacing w:after="20"/>
              <w:jc w:val="left"/>
            </w:pPr>
            <w:r/>
            <w:r>
              <w:rPr>
                <w:rFonts w:ascii="Times New Roman" w:hAnsi="Times New Roman" w:eastAsia="宋体"/>
                <w:color w:val="000000"/>
                <w:sz w:val="20"/>
              </w:rPr>
              <w:t>dual</w:t>
            </w:r>
          </w:p>
        </w:tc>
        <w:tc>
          <w:tcPr>
            <w:tcW w:type="dxa" w:w="2911"/>
          </w:tcPr>
          <w:p>
            <w:pPr>
              <w:spacing w:after="20"/>
              <w:jc w:val="left"/>
            </w:pPr>
            <w:r/>
            <w:r>
              <w:rPr>
                <w:rFonts w:ascii="Times New Roman" w:hAnsi="Times New Roman" w:eastAsia="宋体"/>
                <w:color w:val="000000"/>
                <w:sz w:val="20"/>
              </w:rPr>
              <w:t>销售额 × 订单数双轴</w:t>
            </w:r>
          </w:p>
        </w:tc>
      </w:tr>
      <w:tr>
        <w:tc>
          <w:tcPr>
            <w:tcW w:type="dxa" w:w="2911"/>
          </w:tcPr>
          <w:p>
            <w:pPr>
              <w:spacing w:after="20"/>
              <w:jc w:val="center"/>
            </w:pPr>
            <w:r/>
            <w:r>
              <w:rPr>
                <w:rFonts w:ascii="Times New Roman" w:hAnsi="Times New Roman" w:eastAsia="宋体"/>
                <w:color w:val="000000"/>
                <w:sz w:val="20"/>
              </w:rPr>
              <w:t>tab1</w:t>
            </w:r>
          </w:p>
        </w:tc>
        <w:tc>
          <w:tcPr>
            <w:tcW w:type="dxa" w:w="2911"/>
          </w:tcPr>
          <w:p>
            <w:pPr>
              <w:spacing w:after="20"/>
              <w:jc w:val="left"/>
            </w:pPr>
            <w:r/>
            <w:r>
              <w:rPr>
                <w:rFonts w:ascii="Times New Roman" w:hAnsi="Times New Roman" w:eastAsia="宋体"/>
                <w:color w:val="000000"/>
                <w:sz w:val="20"/>
              </w:rPr>
              <w:t>country_bar</w:t>
            </w:r>
          </w:p>
        </w:tc>
        <w:tc>
          <w:tcPr>
            <w:tcW w:type="dxa" w:w="2911"/>
          </w:tcPr>
          <w:p>
            <w:pPr>
              <w:spacing w:after="20"/>
              <w:jc w:val="left"/>
            </w:pPr>
            <w:r/>
            <w:r>
              <w:rPr>
                <w:rFonts w:ascii="Times New Roman" w:hAnsi="Times New Roman" w:eastAsia="宋体"/>
                <w:color w:val="000000"/>
                <w:sz w:val="20"/>
              </w:rPr>
              <w:t>TOP10 国家销售额</w:t>
            </w:r>
          </w:p>
        </w:tc>
      </w:tr>
      <w:tr>
        <w:tc>
          <w:tcPr>
            <w:tcW w:type="dxa" w:w="2911"/>
          </w:tcPr>
          <w:p>
            <w:pPr>
              <w:spacing w:after="20"/>
              <w:jc w:val="center"/>
            </w:pPr>
            <w:r/>
            <w:r>
              <w:rPr>
                <w:rFonts w:ascii="Times New Roman" w:hAnsi="Times New Roman" w:eastAsia="宋体"/>
                <w:color w:val="000000"/>
                <w:sz w:val="20"/>
              </w:rPr>
              <w:t>tab1</w:t>
            </w:r>
          </w:p>
        </w:tc>
        <w:tc>
          <w:tcPr>
            <w:tcW w:type="dxa" w:w="2911"/>
          </w:tcPr>
          <w:p>
            <w:pPr>
              <w:spacing w:after="20"/>
              <w:jc w:val="left"/>
            </w:pPr>
            <w:r/>
            <w:r>
              <w:rPr>
                <w:rFonts w:ascii="Times New Roman" w:hAnsi="Times New Roman" w:eastAsia="宋体"/>
                <w:color w:val="000000"/>
                <w:sz w:val="20"/>
              </w:rPr>
              <w:t>timeline</w:t>
            </w:r>
          </w:p>
        </w:tc>
        <w:tc>
          <w:tcPr>
            <w:tcW w:type="dxa" w:w="2911"/>
          </w:tcPr>
          <w:p>
            <w:pPr>
              <w:spacing w:after="20"/>
              <w:jc w:val="left"/>
            </w:pPr>
            <w:r/>
            <w:r>
              <w:rPr>
                <w:rFonts w:ascii="Times New Roman" w:hAnsi="Times New Roman" w:eastAsia="宋体"/>
                <w:color w:val="000000"/>
                <w:sz w:val="20"/>
              </w:rPr>
              <w:t>月度国家排名时间轴</w:t>
            </w:r>
          </w:p>
        </w:tc>
      </w:tr>
      <w:tr>
        <w:tc>
          <w:tcPr>
            <w:tcW w:type="dxa" w:w="2911"/>
          </w:tcPr>
          <w:p>
            <w:pPr>
              <w:spacing w:after="20"/>
              <w:jc w:val="center"/>
            </w:pPr>
            <w:r/>
            <w:r>
              <w:rPr>
                <w:rFonts w:ascii="Times New Roman" w:hAnsi="Times New Roman" w:eastAsia="宋体"/>
                <w:color w:val="000000"/>
                <w:sz w:val="20"/>
              </w:rPr>
              <w:t>tab1</w:t>
            </w:r>
          </w:p>
        </w:tc>
        <w:tc>
          <w:tcPr>
            <w:tcW w:type="dxa" w:w="2911"/>
          </w:tcPr>
          <w:p>
            <w:pPr>
              <w:spacing w:after="20"/>
              <w:jc w:val="left"/>
            </w:pPr>
            <w:r/>
            <w:r>
              <w:rPr>
                <w:rFonts w:ascii="Times New Roman" w:hAnsi="Times New Roman" w:eastAsia="宋体"/>
                <w:color w:val="000000"/>
                <w:sz w:val="20"/>
              </w:rPr>
              <w:t>heatmap</w:t>
            </w:r>
          </w:p>
        </w:tc>
        <w:tc>
          <w:tcPr>
            <w:tcW w:type="dxa" w:w="2911"/>
          </w:tcPr>
          <w:p>
            <w:pPr>
              <w:spacing w:after="20"/>
              <w:jc w:val="left"/>
            </w:pPr>
            <w:r/>
            <w:r>
              <w:rPr>
                <w:rFonts w:ascii="Times New Roman" w:hAnsi="Times New Roman" w:eastAsia="宋体"/>
                <w:color w:val="000000"/>
                <w:sz w:val="20"/>
              </w:rPr>
              <w:t>星期时段热力图</w:t>
            </w:r>
          </w:p>
        </w:tc>
      </w:tr>
      <w:tr>
        <w:tc>
          <w:tcPr>
            <w:tcW w:type="dxa" w:w="2911"/>
          </w:tcPr>
          <w:p>
            <w:pPr>
              <w:spacing w:after="20"/>
              <w:jc w:val="center"/>
            </w:pPr>
            <w:r/>
            <w:r>
              <w:rPr>
                <w:rFonts w:ascii="Times New Roman" w:hAnsi="Times New Roman" w:eastAsia="宋体"/>
                <w:color w:val="000000"/>
                <w:sz w:val="20"/>
              </w:rPr>
              <w:t>tab2</w:t>
            </w:r>
          </w:p>
        </w:tc>
        <w:tc>
          <w:tcPr>
            <w:tcW w:type="dxa" w:w="2911"/>
          </w:tcPr>
          <w:p>
            <w:pPr>
              <w:spacing w:after="20"/>
              <w:jc w:val="left"/>
            </w:pPr>
            <w:r/>
            <w:r>
              <w:rPr>
                <w:rFonts w:ascii="Times New Roman" w:hAnsi="Times New Roman" w:eastAsia="宋体"/>
                <w:color w:val="000000"/>
                <w:sz w:val="20"/>
              </w:rPr>
              <w:t>rfm_pie</w:t>
            </w:r>
          </w:p>
        </w:tc>
        <w:tc>
          <w:tcPr>
            <w:tcW w:type="dxa" w:w="2911"/>
          </w:tcPr>
          <w:p>
            <w:pPr>
              <w:spacing w:after="20"/>
              <w:jc w:val="left"/>
            </w:pPr>
            <w:r/>
            <w:r>
              <w:rPr>
                <w:rFonts w:ascii="Times New Roman" w:hAnsi="Times New Roman" w:eastAsia="宋体"/>
                <w:color w:val="000000"/>
                <w:sz w:val="20"/>
              </w:rPr>
              <w:t>RFM 金额贡献玫瑰图</w:t>
            </w:r>
          </w:p>
        </w:tc>
      </w:tr>
      <w:tr>
        <w:tc>
          <w:tcPr>
            <w:tcW w:type="dxa" w:w="2911"/>
          </w:tcPr>
          <w:p>
            <w:pPr>
              <w:spacing w:after="20"/>
              <w:jc w:val="center"/>
            </w:pPr>
            <w:r/>
            <w:r>
              <w:rPr>
                <w:rFonts w:ascii="Times New Roman" w:hAnsi="Times New Roman" w:eastAsia="宋体"/>
                <w:color w:val="000000"/>
                <w:sz w:val="20"/>
              </w:rPr>
              <w:t>tab2</w:t>
            </w:r>
          </w:p>
        </w:tc>
        <w:tc>
          <w:tcPr>
            <w:tcW w:type="dxa" w:w="2911"/>
          </w:tcPr>
          <w:p>
            <w:pPr>
              <w:spacing w:after="20"/>
              <w:jc w:val="left"/>
            </w:pPr>
            <w:r/>
            <w:r>
              <w:rPr>
                <w:rFonts w:ascii="Times New Roman" w:hAnsi="Times New Roman" w:eastAsia="宋体"/>
                <w:color w:val="000000"/>
                <w:sz w:val="20"/>
              </w:rPr>
              <w:t>rfm_bar</w:t>
            </w:r>
          </w:p>
        </w:tc>
        <w:tc>
          <w:tcPr>
            <w:tcW w:type="dxa" w:w="2911"/>
          </w:tcPr>
          <w:p>
            <w:pPr>
              <w:spacing w:after="20"/>
              <w:jc w:val="left"/>
            </w:pPr>
            <w:r/>
            <w:r>
              <w:rPr>
                <w:rFonts w:ascii="Times New Roman" w:hAnsi="Times New Roman" w:eastAsia="宋体"/>
                <w:color w:val="000000"/>
                <w:sz w:val="20"/>
              </w:rPr>
              <w:t>RFM 客群规模与贡献</w:t>
            </w:r>
          </w:p>
        </w:tc>
      </w:tr>
      <w:tr>
        <w:tc>
          <w:tcPr>
            <w:tcW w:type="dxa" w:w="2911"/>
          </w:tcPr>
          <w:p>
            <w:pPr>
              <w:spacing w:after="20"/>
              <w:jc w:val="center"/>
            </w:pPr>
            <w:r/>
            <w:r>
              <w:rPr>
                <w:rFonts w:ascii="Times New Roman" w:hAnsi="Times New Roman" w:eastAsia="宋体"/>
                <w:color w:val="000000"/>
                <w:sz w:val="20"/>
              </w:rPr>
              <w:t>tab2</w:t>
            </w:r>
          </w:p>
        </w:tc>
        <w:tc>
          <w:tcPr>
            <w:tcW w:type="dxa" w:w="2911"/>
          </w:tcPr>
          <w:p>
            <w:pPr>
              <w:spacing w:after="20"/>
              <w:jc w:val="left"/>
            </w:pPr>
            <w:r/>
            <w:r>
              <w:rPr>
                <w:rFonts w:ascii="Times New Roman" w:hAnsi="Times New Roman" w:eastAsia="宋体"/>
                <w:color w:val="000000"/>
                <w:sz w:val="20"/>
              </w:rPr>
              <w:t>cohort</w:t>
            </w:r>
          </w:p>
        </w:tc>
        <w:tc>
          <w:tcPr>
            <w:tcW w:type="dxa" w:w="2911"/>
          </w:tcPr>
          <w:p>
            <w:pPr>
              <w:spacing w:after="20"/>
              <w:jc w:val="left"/>
            </w:pPr>
            <w:r/>
            <w:r>
              <w:rPr>
                <w:rFonts w:ascii="Times New Roman" w:hAnsi="Times New Roman" w:eastAsia="宋体"/>
                <w:color w:val="000000"/>
                <w:sz w:val="20"/>
              </w:rPr>
              <w:t>同期群留存曲线</w:t>
            </w:r>
          </w:p>
        </w:tc>
      </w:tr>
      <w:tr>
        <w:tc>
          <w:tcPr>
            <w:tcW w:type="dxa" w:w="2911"/>
          </w:tcPr>
          <w:p>
            <w:pPr>
              <w:spacing w:after="20"/>
              <w:jc w:val="center"/>
            </w:pPr>
            <w:r/>
            <w:r>
              <w:rPr>
                <w:rFonts w:ascii="Times New Roman" w:hAnsi="Times New Roman" w:eastAsia="宋体"/>
                <w:color w:val="000000"/>
                <w:sz w:val="20"/>
              </w:rPr>
              <w:t>tab2</w:t>
            </w:r>
          </w:p>
        </w:tc>
        <w:tc>
          <w:tcPr>
            <w:tcW w:type="dxa" w:w="2911"/>
          </w:tcPr>
          <w:p>
            <w:pPr>
              <w:spacing w:after="20"/>
              <w:jc w:val="left"/>
            </w:pPr>
            <w:r/>
            <w:r>
              <w:rPr>
                <w:rFonts w:ascii="Times New Roman" w:hAnsi="Times New Roman" w:eastAsia="宋体"/>
                <w:color w:val="000000"/>
                <w:sz w:val="20"/>
              </w:rPr>
              <w:t>funnel</w:t>
            </w:r>
          </w:p>
        </w:tc>
        <w:tc>
          <w:tcPr>
            <w:tcW w:type="dxa" w:w="2911"/>
          </w:tcPr>
          <w:p>
            <w:pPr>
              <w:spacing w:after="20"/>
              <w:jc w:val="left"/>
            </w:pPr>
            <w:r/>
            <w:r>
              <w:rPr>
                <w:rFonts w:ascii="Times New Roman" w:hAnsi="Times New Roman" w:eastAsia="宋体"/>
                <w:color w:val="000000"/>
                <w:sz w:val="20"/>
              </w:rPr>
              <w:t>复购漏斗</w:t>
            </w:r>
          </w:p>
        </w:tc>
      </w:tr>
      <w:tr>
        <w:tc>
          <w:tcPr>
            <w:tcW w:type="dxa" w:w="2911"/>
          </w:tcPr>
          <w:p>
            <w:pPr>
              <w:spacing w:after="20"/>
              <w:jc w:val="center"/>
            </w:pPr>
            <w:r/>
            <w:r>
              <w:rPr>
                <w:rFonts w:ascii="Times New Roman" w:hAnsi="Times New Roman" w:eastAsia="宋体"/>
                <w:color w:val="000000"/>
                <w:sz w:val="20"/>
              </w:rPr>
              <w:t>tab2</w:t>
            </w:r>
          </w:p>
        </w:tc>
        <w:tc>
          <w:tcPr>
            <w:tcW w:type="dxa" w:w="2911"/>
          </w:tcPr>
          <w:p>
            <w:pPr>
              <w:spacing w:after="20"/>
              <w:jc w:val="left"/>
            </w:pPr>
            <w:r/>
            <w:r>
              <w:rPr>
                <w:rFonts w:ascii="Times New Roman" w:hAnsi="Times New Roman" w:eastAsia="宋体"/>
                <w:color w:val="000000"/>
                <w:sz w:val="20"/>
              </w:rPr>
              <w:t>kmeans</w:t>
            </w:r>
          </w:p>
        </w:tc>
        <w:tc>
          <w:tcPr>
            <w:tcW w:type="dxa" w:w="2911"/>
          </w:tcPr>
          <w:p>
            <w:pPr>
              <w:spacing w:after="20"/>
              <w:jc w:val="left"/>
            </w:pPr>
            <w:r/>
            <w:r>
              <w:rPr>
                <w:rFonts w:ascii="Times New Roman" w:hAnsi="Times New Roman" w:eastAsia="宋体"/>
                <w:color w:val="000000"/>
                <w:sz w:val="20"/>
              </w:rPr>
              <w:t>K-Means 分群画像</w:t>
            </w:r>
          </w:p>
        </w:tc>
      </w:tr>
      <w:tr>
        <w:tc>
          <w:tcPr>
            <w:tcW w:type="dxa" w:w="2911"/>
          </w:tcPr>
          <w:p>
            <w:pPr>
              <w:spacing w:after="20"/>
              <w:jc w:val="center"/>
            </w:pPr>
            <w:r/>
            <w:r>
              <w:rPr>
                <w:rFonts w:ascii="Times New Roman" w:hAnsi="Times New Roman" w:eastAsia="宋体"/>
                <w:color w:val="000000"/>
                <w:sz w:val="20"/>
              </w:rPr>
              <w:t>tab2</w:t>
            </w:r>
          </w:p>
        </w:tc>
        <w:tc>
          <w:tcPr>
            <w:tcW w:type="dxa" w:w="2911"/>
          </w:tcPr>
          <w:p>
            <w:pPr>
              <w:spacing w:after="20"/>
              <w:jc w:val="left"/>
            </w:pPr>
            <w:r/>
            <w:r>
              <w:rPr>
                <w:rFonts w:ascii="Times New Roman" w:hAnsi="Times New Roman" w:eastAsia="宋体"/>
                <w:color w:val="000000"/>
                <w:sz w:val="20"/>
              </w:rPr>
              <w:t>churn_decile</w:t>
            </w:r>
          </w:p>
        </w:tc>
        <w:tc>
          <w:tcPr>
            <w:tcW w:type="dxa" w:w="2911"/>
          </w:tcPr>
          <w:p>
            <w:pPr>
              <w:spacing w:after="20"/>
              <w:jc w:val="left"/>
            </w:pPr>
            <w:r/>
            <w:r>
              <w:rPr>
                <w:rFonts w:ascii="Times New Roman" w:hAnsi="Times New Roman" w:eastAsia="宋体"/>
                <w:color w:val="000000"/>
                <w:sz w:val="20"/>
              </w:rPr>
              <w:t>流失预警十分位区分度</w:t>
            </w:r>
          </w:p>
        </w:tc>
      </w:tr>
      <w:tr>
        <w:tc>
          <w:tcPr>
            <w:tcW w:type="dxa" w:w="2911"/>
          </w:tcPr>
          <w:p>
            <w:pPr>
              <w:spacing w:after="20"/>
              <w:jc w:val="center"/>
            </w:pPr>
            <w:r/>
            <w:r>
              <w:rPr>
                <w:rFonts w:ascii="Times New Roman" w:hAnsi="Times New Roman" w:eastAsia="宋体"/>
                <w:color w:val="000000"/>
                <w:sz w:val="20"/>
              </w:rPr>
              <w:t>tab2</w:t>
            </w:r>
          </w:p>
        </w:tc>
        <w:tc>
          <w:tcPr>
            <w:tcW w:type="dxa" w:w="2911"/>
          </w:tcPr>
          <w:p>
            <w:pPr>
              <w:spacing w:after="20"/>
              <w:jc w:val="left"/>
            </w:pPr>
            <w:r/>
            <w:r>
              <w:rPr>
                <w:rFonts w:ascii="Times New Roman" w:hAnsi="Times New Roman" w:eastAsia="宋体"/>
                <w:color w:val="000000"/>
                <w:sz w:val="20"/>
              </w:rPr>
              <w:t>churn_watch</w:t>
            </w:r>
          </w:p>
        </w:tc>
        <w:tc>
          <w:tcPr>
            <w:tcW w:type="dxa" w:w="2911"/>
          </w:tcPr>
          <w:p>
            <w:pPr>
              <w:spacing w:after="20"/>
              <w:jc w:val="left"/>
            </w:pPr>
            <w:r/>
            <w:r>
              <w:rPr>
                <w:rFonts w:ascii="Times New Roman" w:hAnsi="Times New Roman" w:eastAsia="宋体"/>
                <w:color w:val="000000"/>
                <w:sz w:val="20"/>
              </w:rPr>
              <w:t>流失预警 TOP10 名单</w:t>
            </w:r>
          </w:p>
        </w:tc>
      </w:tr>
      <w:tr>
        <w:tc>
          <w:tcPr>
            <w:tcW w:type="dxa" w:w="2911"/>
          </w:tcPr>
          <w:p>
            <w:pPr>
              <w:spacing w:after="20"/>
              <w:jc w:val="center"/>
            </w:pPr>
            <w:r/>
            <w:r>
              <w:rPr>
                <w:rFonts w:ascii="Times New Roman" w:hAnsi="Times New Roman" w:eastAsia="宋体"/>
                <w:color w:val="000000"/>
                <w:sz w:val="20"/>
              </w:rPr>
              <w:t>tab3</w:t>
            </w:r>
          </w:p>
        </w:tc>
        <w:tc>
          <w:tcPr>
            <w:tcW w:type="dxa" w:w="2911"/>
          </w:tcPr>
          <w:p>
            <w:pPr>
              <w:spacing w:after="20"/>
              <w:jc w:val="left"/>
            </w:pPr>
            <w:r/>
            <w:r>
              <w:rPr>
                <w:rFonts w:ascii="Times New Roman" w:hAnsi="Times New Roman" w:eastAsia="宋体"/>
                <w:color w:val="000000"/>
                <w:sz w:val="20"/>
              </w:rPr>
              <w:t>top_products</w:t>
            </w:r>
          </w:p>
        </w:tc>
        <w:tc>
          <w:tcPr>
            <w:tcW w:type="dxa" w:w="2911"/>
          </w:tcPr>
          <w:p>
            <w:pPr>
              <w:spacing w:after="20"/>
              <w:jc w:val="left"/>
            </w:pPr>
            <w:r/>
            <w:r>
              <w:rPr>
                <w:rFonts w:ascii="Times New Roman" w:hAnsi="Times New Roman" w:eastAsia="宋体"/>
                <w:color w:val="000000"/>
                <w:sz w:val="20"/>
              </w:rPr>
              <w:t>TOP10 热销商品</w:t>
            </w:r>
          </w:p>
        </w:tc>
      </w:tr>
      <w:tr>
        <w:tc>
          <w:tcPr>
            <w:tcW w:type="dxa" w:w="2911"/>
          </w:tcPr>
          <w:p>
            <w:pPr>
              <w:spacing w:after="20"/>
              <w:jc w:val="center"/>
            </w:pPr>
            <w:r/>
            <w:r>
              <w:rPr>
                <w:rFonts w:ascii="Times New Roman" w:hAnsi="Times New Roman" w:eastAsia="宋体"/>
                <w:color w:val="000000"/>
                <w:sz w:val="20"/>
              </w:rPr>
              <w:t>tab3</w:t>
            </w:r>
          </w:p>
        </w:tc>
        <w:tc>
          <w:tcPr>
            <w:tcW w:type="dxa" w:w="2911"/>
          </w:tcPr>
          <w:p>
            <w:pPr>
              <w:spacing w:after="20"/>
              <w:jc w:val="left"/>
            </w:pPr>
            <w:r/>
            <w:r>
              <w:rPr>
                <w:rFonts w:ascii="Times New Roman" w:hAnsi="Times New Roman" w:eastAsia="宋体"/>
                <w:color w:val="000000"/>
                <w:sz w:val="20"/>
              </w:rPr>
              <w:t>cat_pie</w:t>
            </w:r>
          </w:p>
        </w:tc>
        <w:tc>
          <w:tcPr>
            <w:tcW w:type="dxa" w:w="2911"/>
          </w:tcPr>
          <w:p>
            <w:pPr>
              <w:spacing w:after="20"/>
              <w:jc w:val="left"/>
            </w:pPr>
            <w:r/>
            <w:r>
              <w:rPr>
                <w:rFonts w:ascii="Times New Roman" w:hAnsi="Times New Roman" w:eastAsia="宋体"/>
                <w:color w:val="000000"/>
                <w:sz w:val="20"/>
              </w:rPr>
              <w:t>品类结构环形图</w:t>
            </w:r>
          </w:p>
        </w:tc>
      </w:tr>
      <w:tr>
        <w:tc>
          <w:tcPr>
            <w:tcW w:type="dxa" w:w="2911"/>
          </w:tcPr>
          <w:p>
            <w:pPr>
              <w:spacing w:after="20"/>
              <w:jc w:val="center"/>
            </w:pPr>
            <w:r/>
            <w:r>
              <w:rPr>
                <w:rFonts w:ascii="Times New Roman" w:hAnsi="Times New Roman" w:eastAsia="宋体"/>
                <w:color w:val="000000"/>
                <w:sz w:val="20"/>
              </w:rPr>
              <w:t>tab3</w:t>
            </w:r>
          </w:p>
        </w:tc>
        <w:tc>
          <w:tcPr>
            <w:tcW w:type="dxa" w:w="2911"/>
          </w:tcPr>
          <w:p>
            <w:pPr>
              <w:spacing w:after="20"/>
              <w:jc w:val="left"/>
            </w:pPr>
            <w:r/>
            <w:r>
              <w:rPr>
                <w:rFonts w:ascii="Times New Roman" w:hAnsi="Times New Roman" w:eastAsia="宋体"/>
                <w:color w:val="000000"/>
                <w:sz w:val="20"/>
              </w:rPr>
              <w:t>wordcloud</w:t>
            </w:r>
          </w:p>
        </w:tc>
        <w:tc>
          <w:tcPr>
            <w:tcW w:type="dxa" w:w="2911"/>
          </w:tcPr>
          <w:p>
            <w:pPr>
              <w:spacing w:after="20"/>
              <w:jc w:val="left"/>
            </w:pPr>
            <w:r/>
            <w:r>
              <w:rPr>
                <w:rFonts w:ascii="Times New Roman" w:hAnsi="Times New Roman" w:eastAsia="宋体"/>
                <w:color w:val="000000"/>
                <w:sz w:val="20"/>
              </w:rPr>
              <w:t>热销商品词云</w:t>
            </w:r>
          </w:p>
        </w:tc>
      </w:tr>
      <w:tr>
        <w:tc>
          <w:tcPr>
            <w:tcW w:type="dxa" w:w="2911"/>
          </w:tcPr>
          <w:p>
            <w:pPr>
              <w:spacing w:after="20"/>
              <w:jc w:val="center"/>
            </w:pPr>
            <w:r/>
            <w:r>
              <w:rPr>
                <w:rFonts w:ascii="Times New Roman" w:hAnsi="Times New Roman" w:eastAsia="宋体"/>
                <w:color w:val="000000"/>
                <w:sz w:val="20"/>
              </w:rPr>
              <w:t>tab3</w:t>
            </w:r>
          </w:p>
        </w:tc>
        <w:tc>
          <w:tcPr>
            <w:tcW w:type="dxa" w:w="2911"/>
          </w:tcPr>
          <w:p>
            <w:pPr>
              <w:spacing w:after="20"/>
              <w:jc w:val="left"/>
            </w:pPr>
            <w:r/>
            <w:r>
              <w:rPr>
                <w:rFonts w:ascii="Times New Roman" w:hAnsi="Times New Roman" w:eastAsia="宋体"/>
                <w:color w:val="000000"/>
                <w:sz w:val="20"/>
              </w:rPr>
              <w:t>abc</w:t>
            </w:r>
          </w:p>
        </w:tc>
        <w:tc>
          <w:tcPr>
            <w:tcW w:type="dxa" w:w="2911"/>
          </w:tcPr>
          <w:p>
            <w:pPr>
              <w:spacing w:after="20"/>
              <w:jc w:val="left"/>
            </w:pPr>
            <w:r/>
            <w:r>
              <w:rPr>
                <w:rFonts w:ascii="Times New Roman" w:hAnsi="Times New Roman" w:eastAsia="宋体"/>
                <w:color w:val="000000"/>
                <w:sz w:val="20"/>
              </w:rPr>
              <w:t>ABC 分类贡献</w:t>
            </w:r>
          </w:p>
        </w:tc>
      </w:tr>
      <w:tr>
        <w:tc>
          <w:tcPr>
            <w:tcW w:type="dxa" w:w="2911"/>
          </w:tcPr>
          <w:p>
            <w:pPr>
              <w:spacing w:after="20"/>
              <w:jc w:val="center"/>
            </w:pPr>
            <w:r/>
            <w:r>
              <w:rPr>
                <w:rFonts w:ascii="Times New Roman" w:hAnsi="Times New Roman" w:eastAsia="宋体"/>
                <w:color w:val="000000"/>
                <w:sz w:val="20"/>
              </w:rPr>
              <w:t>tab3</w:t>
            </w:r>
          </w:p>
        </w:tc>
        <w:tc>
          <w:tcPr>
            <w:tcW w:type="dxa" w:w="2911"/>
          </w:tcPr>
          <w:p>
            <w:pPr>
              <w:spacing w:after="20"/>
              <w:jc w:val="left"/>
            </w:pPr>
            <w:r/>
            <w:r>
              <w:rPr>
                <w:rFonts w:ascii="Times New Roman" w:hAnsi="Times New Roman" w:eastAsia="宋体"/>
                <w:color w:val="000000"/>
                <w:sz w:val="20"/>
              </w:rPr>
              <w:t>rules</w:t>
            </w:r>
          </w:p>
        </w:tc>
        <w:tc>
          <w:tcPr>
            <w:tcW w:type="dxa" w:w="2911"/>
          </w:tcPr>
          <w:p>
            <w:pPr>
              <w:spacing w:after="20"/>
              <w:jc w:val="left"/>
            </w:pPr>
            <w:r/>
            <w:r>
              <w:rPr>
                <w:rFonts w:ascii="Times New Roman" w:hAnsi="Times New Roman" w:eastAsia="宋体"/>
                <w:color w:val="000000"/>
                <w:sz w:val="20"/>
              </w:rPr>
              <w:t>关联规则 Lift 排行</w:t>
            </w:r>
          </w:p>
        </w:tc>
      </w:tr>
      <w:tr>
        <w:tc>
          <w:tcPr>
            <w:tcW w:type="dxa" w:w="2911"/>
          </w:tcPr>
          <w:p>
            <w:pPr>
              <w:spacing w:after="20"/>
              <w:jc w:val="center"/>
            </w:pPr>
            <w:r/>
            <w:r>
              <w:rPr>
                <w:rFonts w:ascii="Times New Roman" w:hAnsi="Times New Roman" w:eastAsia="宋体"/>
                <w:color w:val="000000"/>
                <w:sz w:val="20"/>
              </w:rPr>
              <w:t>tab3</w:t>
            </w:r>
          </w:p>
        </w:tc>
        <w:tc>
          <w:tcPr>
            <w:tcW w:type="dxa" w:w="2911"/>
          </w:tcPr>
          <w:p>
            <w:pPr>
              <w:spacing w:after="20"/>
              <w:jc w:val="left"/>
            </w:pPr>
            <w:r/>
            <w:r>
              <w:rPr>
                <w:rFonts w:ascii="Times New Roman" w:hAnsi="Times New Roman" w:eastAsia="宋体"/>
                <w:color w:val="000000"/>
                <w:sz w:val="20"/>
              </w:rPr>
              <w:t>table</w:t>
            </w:r>
          </w:p>
        </w:tc>
        <w:tc>
          <w:tcPr>
            <w:tcW w:type="dxa" w:w="2911"/>
          </w:tcPr>
          <w:p>
            <w:pPr>
              <w:spacing w:after="20"/>
              <w:jc w:val="left"/>
            </w:pPr>
            <w:r/>
            <w:r>
              <w:rPr>
                <w:rFonts w:ascii="Times New Roman" w:hAnsi="Times New Roman" w:eastAsia="宋体"/>
                <w:color w:val="000000"/>
                <w:sz w:val="20"/>
              </w:rPr>
              <w:t>商品明细表</w:t>
            </w:r>
          </w:p>
        </w:tc>
      </w:tr>
      <w:tr>
        <w:tc>
          <w:tcPr>
            <w:tcW w:type="dxa" w:w="2911"/>
          </w:tcPr>
          <w:p>
            <w:pPr>
              <w:spacing w:after="20"/>
              <w:jc w:val="center"/>
            </w:pPr>
            <w:r/>
            <w:r>
              <w:rPr>
                <w:rFonts w:ascii="Times New Roman" w:hAnsi="Times New Roman" w:eastAsia="宋体"/>
                <w:color w:val="000000"/>
                <w:sz w:val="20"/>
              </w:rPr>
              <w:t>tab4</w:t>
            </w:r>
          </w:p>
        </w:tc>
        <w:tc>
          <w:tcPr>
            <w:tcW w:type="dxa" w:w="2911"/>
          </w:tcPr>
          <w:p>
            <w:pPr>
              <w:spacing w:after="20"/>
              <w:jc w:val="left"/>
            </w:pPr>
            <w:r/>
            <w:r>
              <w:rPr>
                <w:rFonts w:ascii="Times New Roman" w:hAnsi="Times New Roman" w:eastAsia="宋体"/>
                <w:color w:val="000000"/>
                <w:sz w:val="20"/>
              </w:rPr>
              <w:t>forecast</w:t>
            </w:r>
          </w:p>
        </w:tc>
        <w:tc>
          <w:tcPr>
            <w:tcW w:type="dxa" w:w="2911"/>
          </w:tcPr>
          <w:p>
            <w:pPr>
              <w:spacing w:after="20"/>
              <w:jc w:val="left"/>
            </w:pPr>
            <w:r/>
            <w:r>
              <w:rPr>
                <w:rFonts w:ascii="Times New Roman" w:hAnsi="Times New Roman" w:eastAsia="宋体"/>
                <w:color w:val="000000"/>
                <w:sz w:val="20"/>
              </w:rPr>
              <w:t>预测与置信区间</w:t>
            </w:r>
          </w:p>
        </w:tc>
      </w:tr>
      <w:tr>
        <w:tc>
          <w:tcPr>
            <w:tcW w:type="dxa" w:w="2911"/>
          </w:tcPr>
          <w:p>
            <w:pPr>
              <w:spacing w:after="20"/>
              <w:jc w:val="center"/>
            </w:pPr>
            <w:r/>
            <w:r>
              <w:rPr>
                <w:rFonts w:ascii="Times New Roman" w:hAnsi="Times New Roman" w:eastAsia="宋体"/>
                <w:color w:val="000000"/>
                <w:sz w:val="20"/>
              </w:rPr>
              <w:t>tab4</w:t>
            </w:r>
          </w:p>
        </w:tc>
        <w:tc>
          <w:tcPr>
            <w:tcW w:type="dxa" w:w="2911"/>
          </w:tcPr>
          <w:p>
            <w:pPr>
              <w:spacing w:after="20"/>
              <w:jc w:val="left"/>
            </w:pPr>
            <w:r/>
            <w:r>
              <w:rPr>
                <w:rFonts w:ascii="Times New Roman" w:hAnsi="Times New Roman" w:eastAsia="宋体"/>
                <w:color w:val="000000"/>
                <w:sz w:val="20"/>
              </w:rPr>
              <w:t>backtest</w:t>
            </w:r>
          </w:p>
        </w:tc>
        <w:tc>
          <w:tcPr>
            <w:tcW w:type="dxa" w:w="2911"/>
          </w:tcPr>
          <w:p>
            <w:pPr>
              <w:spacing w:after="20"/>
              <w:jc w:val="left"/>
            </w:pPr>
            <w:r/>
            <w:r>
              <w:rPr>
                <w:rFonts w:ascii="Times New Roman" w:hAnsi="Times New Roman" w:eastAsia="宋体"/>
                <w:color w:val="000000"/>
                <w:sz w:val="20"/>
              </w:rPr>
              <w:t>回测对比</w:t>
            </w:r>
          </w:p>
        </w:tc>
      </w:tr>
      <w:tr>
        <w:tc>
          <w:tcPr>
            <w:tcW w:type="dxa" w:w="2911"/>
          </w:tcPr>
          <w:p>
            <w:pPr>
              <w:spacing w:after="20"/>
              <w:jc w:val="center"/>
            </w:pPr>
            <w:r/>
            <w:r>
              <w:rPr>
                <w:rFonts w:ascii="Times New Roman" w:hAnsi="Times New Roman" w:eastAsia="宋体"/>
                <w:color w:val="000000"/>
                <w:sz w:val="20"/>
              </w:rPr>
              <w:t>tab4</w:t>
            </w:r>
          </w:p>
        </w:tc>
        <w:tc>
          <w:tcPr>
            <w:tcW w:type="dxa" w:w="2911"/>
          </w:tcPr>
          <w:p>
            <w:pPr>
              <w:spacing w:after="20"/>
              <w:jc w:val="left"/>
            </w:pPr>
            <w:r/>
            <w:r>
              <w:rPr>
                <w:rFonts w:ascii="Times New Roman" w:hAnsi="Times New Roman" w:eastAsia="宋体"/>
                <w:color w:val="000000"/>
                <w:sz w:val="20"/>
              </w:rPr>
              <w:t>yoy</w:t>
            </w:r>
          </w:p>
        </w:tc>
        <w:tc>
          <w:tcPr>
            <w:tcW w:type="dxa" w:w="2911"/>
          </w:tcPr>
          <w:p>
            <w:pPr>
              <w:spacing w:after="20"/>
              <w:jc w:val="left"/>
            </w:pPr>
            <w:r/>
            <w:r>
              <w:rPr>
                <w:rFonts w:ascii="Times New Roman" w:hAnsi="Times New Roman" w:eastAsia="宋体"/>
                <w:color w:val="000000"/>
                <w:sz w:val="20"/>
              </w:rPr>
              <w:t>同比增速复盘</w:t>
            </w:r>
          </w:p>
        </w:tc>
      </w:tr>
      <w:tr>
        <w:tc>
          <w:tcPr>
            <w:tcW w:type="dxa" w:w="2911"/>
          </w:tcPr>
          <w:p>
            <w:pPr>
              <w:spacing w:after="20"/>
              <w:jc w:val="center"/>
            </w:pPr>
            <w:r/>
            <w:r>
              <w:rPr>
                <w:rFonts w:ascii="Times New Roman" w:hAnsi="Times New Roman" w:eastAsia="宋体"/>
                <w:color w:val="000000"/>
                <w:sz w:val="20"/>
              </w:rPr>
              <w:t>tab4</w:t>
            </w:r>
          </w:p>
        </w:tc>
        <w:tc>
          <w:tcPr>
            <w:tcW w:type="dxa" w:w="2911"/>
          </w:tcPr>
          <w:p>
            <w:pPr>
              <w:spacing w:after="20"/>
              <w:jc w:val="left"/>
            </w:pPr>
            <w:r/>
            <w:r>
              <w:rPr>
                <w:rFonts w:ascii="Times New Roman" w:hAnsi="Times New Roman" w:eastAsia="宋体"/>
                <w:color w:val="000000"/>
                <w:sz w:val="20"/>
              </w:rPr>
              <w:t>bcg</w:t>
            </w:r>
          </w:p>
        </w:tc>
        <w:tc>
          <w:tcPr>
            <w:tcW w:type="dxa" w:w="2911"/>
          </w:tcPr>
          <w:p>
            <w:pPr>
              <w:spacing w:after="20"/>
              <w:jc w:val="left"/>
            </w:pPr>
            <w:r/>
            <w:r>
              <w:rPr>
                <w:rFonts w:ascii="Times New Roman" w:hAnsi="Times New Roman" w:eastAsia="宋体"/>
                <w:color w:val="000000"/>
                <w:sz w:val="20"/>
              </w:rPr>
              <w:t>波士顿矩阵</w:t>
            </w:r>
          </w:p>
        </w:tc>
      </w:tr>
    </w:tbl>
    <w:p>
      <w:pPr>
        <w:spacing w:after="40"/>
      </w:pPr>
    </w:p>
    <w:p>
      <w:pPr>
        <w:spacing w:line="360" w:lineRule="auto" w:after="80" w:before="0"/>
        <w:jc w:val="both"/>
      </w:pPr>
      <w:r>
        <w:rPr>
          <w:rFonts w:ascii="Times New Roman" w:hAnsi="Times New Roman" w:eastAsia="宋体"/>
          <w:b w:val="0"/>
          <w:color w:val="000000"/>
          <w:sz w:val="24"/>
        </w:rPr>
        <w:t>完整索引（含栅格宽度与交互能力说明）见仓库 docs/图表索引.md；大屏演示文件见 outputs/dashboard/dashboard_offline.html（离线版，双击即开）。</w:t>
      </w:r>
    </w:p>
    <w:p>
      <w:pPr>
        <w:keepNext/>
        <w:spacing w:line="360" w:lineRule="auto" w:before="100" w:after="80"/>
        <w:outlineLvl w:val="1"/>
      </w:pPr>
      <w:r>
        <w:rPr>
          <w:rFonts w:ascii="Times New Roman" w:hAnsi="Times New Roman" w:eastAsia="黑体"/>
          <w:b/>
          <w:color w:val="000000"/>
          <w:sz w:val="24"/>
        </w:rPr>
        <w:t>附录 D　图表总览（缩略图）</w:t>
      </w:r>
    </w:p>
    <w:p>
      <w:pPr>
        <w:spacing w:line="360" w:lineRule="auto" w:after="80" w:before="0"/>
        <w:jc w:val="both"/>
      </w:pPr>
      <w:r>
        <w:rPr>
          <w:rFonts w:ascii="Times New Roman" w:hAnsi="Times New Roman" w:eastAsia="宋体"/>
          <w:b w:val="0"/>
          <w:color w:val="000000"/>
          <w:sz w:val="24"/>
        </w:rPr>
        <w:t>评分标准建议图表可按「10 行 3 列」缩排附录，本项目共 37 张图，故按同一排版规格扩展为 **13 行 3 列**，将全部静态图以缩略图集中呈现，便于快速核对图表与模型的对应关系。各图原始文件（200dpi PNG）位于仓库 outputs/figures/。</w:t>
      </w:r>
    </w:p>
    <w:tbl>
      <w:tblPr>
        <w:tblStyle w:val="TableGrid"/>
        <w:tblW w:type="auto" w:w="0"/>
        <w:tblLayout w:type="autofit"/>
        <w:tblLook w:firstColumn="1" w:firstRow="1" w:lastColumn="0" w:lastRow="0" w:noHBand="0" w:noVBand="1" w:val="04A0"/>
      </w:tblPr>
      <w:tblGrid>
        <w:gridCol w:w="2911"/>
        <w:gridCol w:w="2911"/>
        <w:gridCol w:w="2911"/>
      </w:tblGrid>
      <w:tr>
        <w:tc>
          <w:tcPr>
            <w:tcW w:type="dxa" w:w="2911"/>
          </w:tcPr>
          <w:p>
            <w:pPr>
              <w:jc w:val="center"/>
            </w:pPr>
            <w:r>
              <w:drawing>
                <wp:inline xmlns:a="http://schemas.openxmlformats.org/drawingml/2006/main" xmlns:pic="http://schemas.openxmlformats.org/drawingml/2006/picture">
                  <wp:extent cx="1565999" cy="741583"/>
                  <wp:docPr id="18" name="Picture 18"/>
                  <wp:cNvGraphicFramePr>
                    <a:graphicFrameLocks noChangeAspect="1"/>
                  </wp:cNvGraphicFramePr>
                  <a:graphic>
                    <a:graphicData uri="http://schemas.openxmlformats.org/drawingml/2006/picture">
                      <pic:pic>
                        <pic:nvPicPr>
                          <pic:cNvPr id="0" name="fig01_mom_yoy.png"/>
                          <pic:cNvPicPr/>
                        </pic:nvPicPr>
                        <pic:blipFill>
                          <a:blip r:embed="rId22"/>
                          <a:stretch>
                            <a:fillRect/>
                          </a:stretch>
                        </pic:blipFill>
                        <pic:spPr>
                          <a:xfrm>
                            <a:off x="0" y="0"/>
                            <a:ext cx="1565999" cy="741583"/>
                          </a:xfrm>
                          <a:prstGeom prst="rect"/>
                        </pic:spPr>
                      </pic:pic>
                    </a:graphicData>
                  </a:graphic>
                </wp:inline>
              </w:drawing>
            </w:r>
          </w:p>
          <w:p>
            <w:pPr>
              <w:spacing w:before="40" w:after="0"/>
              <w:jc w:val="center"/>
            </w:pPr>
            <w:r>
              <w:rPr>
                <w:rFonts w:ascii="Times New Roman" w:hAnsi="Times New Roman" w:eastAsia="宋体"/>
                <w:sz w:val="14"/>
              </w:rPr>
              <w:t>fig01　组合图·环比同比</w:t>
            </w:r>
          </w:p>
        </w:tc>
        <w:tc>
          <w:tcPr>
            <w:tcW w:type="dxa" w:w="2911"/>
          </w:tcPr>
          <w:p>
            <w:pPr>
              <w:jc w:val="center"/>
            </w:pPr>
            <w:r>
              <w:drawing>
                <wp:inline xmlns:a="http://schemas.openxmlformats.org/drawingml/2006/main" xmlns:pic="http://schemas.openxmlformats.org/drawingml/2006/picture">
                  <wp:extent cx="1565999" cy="669241"/>
                  <wp:docPr id="19" name="Picture 19"/>
                  <wp:cNvGraphicFramePr>
                    <a:graphicFrameLocks noChangeAspect="1"/>
                  </wp:cNvGraphicFramePr>
                  <a:graphic>
                    <a:graphicData uri="http://schemas.openxmlformats.org/drawingml/2006/picture">
                      <pic:pic>
                        <pic:nvPicPr>
                          <pic:cNvPr id="0" name="fig02_revenue_trend_line.png"/>
                          <pic:cNvPicPr/>
                        </pic:nvPicPr>
                        <pic:blipFill>
                          <a:blip r:embed="rId26"/>
                          <a:stretch>
                            <a:fillRect/>
                          </a:stretch>
                        </pic:blipFill>
                        <pic:spPr>
                          <a:xfrm>
                            <a:off x="0" y="0"/>
                            <a:ext cx="1565999" cy="669241"/>
                          </a:xfrm>
                          <a:prstGeom prst="rect"/>
                        </pic:spPr>
                      </pic:pic>
                    </a:graphicData>
                  </a:graphic>
                </wp:inline>
              </w:drawing>
            </w:r>
          </w:p>
          <w:p>
            <w:pPr>
              <w:spacing w:before="40" w:after="0"/>
              <w:jc w:val="center"/>
            </w:pPr>
            <w:r>
              <w:rPr>
                <w:rFonts w:ascii="Times New Roman" w:hAnsi="Times New Roman" w:eastAsia="宋体"/>
                <w:sz w:val="14"/>
              </w:rPr>
              <w:t>fig02　折线图</w:t>
            </w:r>
          </w:p>
        </w:tc>
        <w:tc>
          <w:tcPr>
            <w:tcW w:type="dxa" w:w="2911"/>
          </w:tcPr>
          <w:p>
            <w:pPr>
              <w:jc w:val="center"/>
            </w:pPr>
            <w:r>
              <w:drawing>
                <wp:inline xmlns:a="http://schemas.openxmlformats.org/drawingml/2006/main" xmlns:pic="http://schemas.openxmlformats.org/drawingml/2006/picture">
                  <wp:extent cx="1565999" cy="642897"/>
                  <wp:docPr id="20" name="Picture 20"/>
                  <wp:cNvGraphicFramePr>
                    <a:graphicFrameLocks noChangeAspect="1"/>
                  </wp:cNvGraphicFramePr>
                  <a:graphic>
                    <a:graphicData uri="http://schemas.openxmlformats.org/drawingml/2006/picture">
                      <pic:pic>
                        <pic:nvPicPr>
                          <pic:cNvPr id="0" name="fig03_monthly_revenue_area.png"/>
                          <pic:cNvPicPr/>
                        </pic:nvPicPr>
                        <pic:blipFill>
                          <a:blip r:embed="rId27"/>
                          <a:stretch>
                            <a:fillRect/>
                          </a:stretch>
                        </pic:blipFill>
                        <pic:spPr>
                          <a:xfrm>
                            <a:off x="0" y="0"/>
                            <a:ext cx="1565999" cy="642897"/>
                          </a:xfrm>
                          <a:prstGeom prst="rect"/>
                        </pic:spPr>
                      </pic:pic>
                    </a:graphicData>
                  </a:graphic>
                </wp:inline>
              </w:drawing>
            </w:r>
          </w:p>
          <w:p>
            <w:pPr>
              <w:spacing w:before="40" w:after="0"/>
              <w:jc w:val="center"/>
            </w:pPr>
            <w:r>
              <w:rPr>
                <w:rFonts w:ascii="Times New Roman" w:hAnsi="Times New Roman" w:eastAsia="宋体"/>
                <w:sz w:val="14"/>
              </w:rPr>
              <w:t>fig03　面积图</w:t>
            </w:r>
          </w:p>
        </w:tc>
      </w:tr>
      <w:tr>
        <w:tc>
          <w:tcPr>
            <w:tcW w:type="dxa" w:w="2911"/>
          </w:tcPr>
          <w:p>
            <w:pPr>
              <w:jc w:val="center"/>
            </w:pPr>
            <w:r>
              <w:drawing>
                <wp:inline xmlns:a="http://schemas.openxmlformats.org/drawingml/2006/main" xmlns:pic="http://schemas.openxmlformats.org/drawingml/2006/picture">
                  <wp:extent cx="1565999" cy="895168"/>
                  <wp:docPr id="21" name="Picture 21"/>
                  <wp:cNvGraphicFramePr>
                    <a:graphicFrameLocks noChangeAspect="1"/>
                  </wp:cNvGraphicFramePr>
                  <a:graphic>
                    <a:graphicData uri="http://schemas.openxmlformats.org/drawingml/2006/picture">
                      <pic:pic>
                        <pic:nvPicPr>
                          <pic:cNvPr id="0" name="fig04_top_countries_bar.png"/>
                          <pic:cNvPicPr/>
                        </pic:nvPicPr>
                        <pic:blipFill>
                          <a:blip r:embed="rId28"/>
                          <a:stretch>
                            <a:fillRect/>
                          </a:stretch>
                        </pic:blipFill>
                        <pic:spPr>
                          <a:xfrm>
                            <a:off x="0" y="0"/>
                            <a:ext cx="1565999" cy="895168"/>
                          </a:xfrm>
                          <a:prstGeom prst="rect"/>
                        </pic:spPr>
                      </pic:pic>
                    </a:graphicData>
                  </a:graphic>
                </wp:inline>
              </w:drawing>
            </w:r>
          </w:p>
          <w:p>
            <w:pPr>
              <w:spacing w:before="40" w:after="0"/>
              <w:jc w:val="center"/>
            </w:pPr>
            <w:r>
              <w:rPr>
                <w:rFonts w:ascii="Times New Roman" w:hAnsi="Times New Roman" w:eastAsia="宋体"/>
                <w:sz w:val="14"/>
              </w:rPr>
              <w:t>fig04　柱形图</w:t>
            </w:r>
          </w:p>
        </w:tc>
        <w:tc>
          <w:tcPr>
            <w:tcW w:type="dxa" w:w="2911"/>
          </w:tcPr>
          <w:p>
            <w:pPr>
              <w:jc w:val="center"/>
            </w:pPr>
            <w:r>
              <w:drawing>
                <wp:inline xmlns:a="http://schemas.openxmlformats.org/drawingml/2006/main" xmlns:pic="http://schemas.openxmlformats.org/drawingml/2006/picture">
                  <wp:extent cx="1565999" cy="914306"/>
                  <wp:docPr id="22" name="Picture 22"/>
                  <wp:cNvGraphicFramePr>
                    <a:graphicFrameLocks noChangeAspect="1"/>
                  </wp:cNvGraphicFramePr>
                  <a:graphic>
                    <a:graphicData uri="http://schemas.openxmlformats.org/drawingml/2006/picture">
                      <pic:pic>
                        <pic:nvPicPr>
                          <pic:cNvPr id="0" name="fig05_top_products_barh.png"/>
                          <pic:cNvPicPr/>
                        </pic:nvPicPr>
                        <pic:blipFill>
                          <a:blip r:embed="rId29"/>
                          <a:stretch>
                            <a:fillRect/>
                          </a:stretch>
                        </pic:blipFill>
                        <pic:spPr>
                          <a:xfrm>
                            <a:off x="0" y="0"/>
                            <a:ext cx="1565999" cy="914306"/>
                          </a:xfrm>
                          <a:prstGeom prst="rect"/>
                        </pic:spPr>
                      </pic:pic>
                    </a:graphicData>
                  </a:graphic>
                </wp:inline>
              </w:drawing>
            </w:r>
          </w:p>
          <w:p>
            <w:pPr>
              <w:spacing w:before="40" w:after="0"/>
              <w:jc w:val="center"/>
            </w:pPr>
            <w:r>
              <w:rPr>
                <w:rFonts w:ascii="Times New Roman" w:hAnsi="Times New Roman" w:eastAsia="宋体"/>
                <w:sz w:val="14"/>
              </w:rPr>
              <w:t>fig05　条形图</w:t>
            </w:r>
          </w:p>
        </w:tc>
        <w:tc>
          <w:tcPr>
            <w:tcW w:type="dxa" w:w="2911"/>
          </w:tcPr>
          <w:p>
            <w:pPr>
              <w:jc w:val="center"/>
            </w:pPr>
            <w:r>
              <w:drawing>
                <wp:inline xmlns:a="http://schemas.openxmlformats.org/drawingml/2006/main" xmlns:pic="http://schemas.openxmlformats.org/drawingml/2006/picture">
                  <wp:extent cx="1565999" cy="1217779"/>
                  <wp:docPr id="23" name="Picture 23"/>
                  <wp:cNvGraphicFramePr>
                    <a:graphicFrameLocks noChangeAspect="1"/>
                  </wp:cNvGraphicFramePr>
                  <a:graphic>
                    <a:graphicData uri="http://schemas.openxmlformats.org/drawingml/2006/picture">
                      <pic:pic>
                        <pic:nvPicPr>
                          <pic:cNvPr id="0" name="fig06_country_donut.png"/>
                          <pic:cNvPicPr/>
                        </pic:nvPicPr>
                        <pic:blipFill>
                          <a:blip r:embed="rId30"/>
                          <a:stretch>
                            <a:fillRect/>
                          </a:stretch>
                        </pic:blipFill>
                        <pic:spPr>
                          <a:xfrm>
                            <a:off x="0" y="0"/>
                            <a:ext cx="1565999" cy="1217779"/>
                          </a:xfrm>
                          <a:prstGeom prst="rect"/>
                        </pic:spPr>
                      </pic:pic>
                    </a:graphicData>
                  </a:graphic>
                </wp:inline>
              </w:drawing>
            </w:r>
          </w:p>
          <w:p>
            <w:pPr>
              <w:spacing w:before="40" w:after="0"/>
              <w:jc w:val="center"/>
            </w:pPr>
            <w:r>
              <w:rPr>
                <w:rFonts w:ascii="Times New Roman" w:hAnsi="Times New Roman" w:eastAsia="宋体"/>
                <w:sz w:val="14"/>
              </w:rPr>
              <w:t>fig06　环形图</w:t>
            </w:r>
          </w:p>
        </w:tc>
      </w:tr>
      <w:tr>
        <w:tc>
          <w:tcPr>
            <w:tcW w:type="dxa" w:w="2911"/>
          </w:tcPr>
          <w:p>
            <w:pPr>
              <w:jc w:val="center"/>
            </w:pPr>
            <w:r>
              <w:drawing>
                <wp:inline xmlns:a="http://schemas.openxmlformats.org/drawingml/2006/main" xmlns:pic="http://schemas.openxmlformats.org/drawingml/2006/picture">
                  <wp:extent cx="1565999" cy="737670"/>
                  <wp:docPr id="24" name="Picture 24"/>
                  <wp:cNvGraphicFramePr>
                    <a:graphicFrameLocks noChangeAspect="1"/>
                  </wp:cNvGraphicFramePr>
                  <a:graphic>
                    <a:graphicData uri="http://schemas.openxmlformats.org/drawingml/2006/picture">
                      <pic:pic>
                        <pic:nvPicPr>
                          <pic:cNvPr id="0" name="fig07_monthly_stacked_bar.png"/>
                          <pic:cNvPicPr/>
                        </pic:nvPicPr>
                        <pic:blipFill>
                          <a:blip r:embed="rId31"/>
                          <a:stretch>
                            <a:fillRect/>
                          </a:stretch>
                        </pic:blipFill>
                        <pic:spPr>
                          <a:xfrm>
                            <a:off x="0" y="0"/>
                            <a:ext cx="1565999" cy="737670"/>
                          </a:xfrm>
                          <a:prstGeom prst="rect"/>
                        </pic:spPr>
                      </pic:pic>
                    </a:graphicData>
                  </a:graphic>
                </wp:inline>
              </w:drawing>
            </w:r>
          </w:p>
          <w:p>
            <w:pPr>
              <w:spacing w:before="40" w:after="0"/>
              <w:jc w:val="center"/>
            </w:pPr>
            <w:r>
              <w:rPr>
                <w:rFonts w:ascii="Times New Roman" w:hAnsi="Times New Roman" w:eastAsia="宋体"/>
                <w:sz w:val="14"/>
              </w:rPr>
              <w:t>fig07　堆积柱形图</w:t>
            </w:r>
          </w:p>
        </w:tc>
        <w:tc>
          <w:tcPr>
            <w:tcW w:type="dxa" w:w="2911"/>
          </w:tcPr>
          <w:p>
            <w:pPr>
              <w:jc w:val="center"/>
            </w:pPr>
            <w:r>
              <w:drawing>
                <wp:inline xmlns:a="http://schemas.openxmlformats.org/drawingml/2006/main" xmlns:pic="http://schemas.openxmlformats.org/drawingml/2006/picture">
                  <wp:extent cx="1565999" cy="936599"/>
                  <wp:docPr id="25" name="Picture 25"/>
                  <wp:cNvGraphicFramePr>
                    <a:graphicFrameLocks noChangeAspect="1"/>
                  </wp:cNvGraphicFramePr>
                  <a:graphic>
                    <a:graphicData uri="http://schemas.openxmlformats.org/drawingml/2006/picture">
                      <pic:pic>
                        <pic:nvPicPr>
                          <pic:cNvPr id="0" name="fig08_category_pct_stacked.png"/>
                          <pic:cNvPicPr/>
                        </pic:nvPicPr>
                        <pic:blipFill>
                          <a:blip r:embed="rId32"/>
                          <a:stretch>
                            <a:fillRect/>
                          </a:stretch>
                        </pic:blipFill>
                        <pic:spPr>
                          <a:xfrm>
                            <a:off x="0" y="0"/>
                            <a:ext cx="1565999" cy="936599"/>
                          </a:xfrm>
                          <a:prstGeom prst="rect"/>
                        </pic:spPr>
                      </pic:pic>
                    </a:graphicData>
                  </a:graphic>
                </wp:inline>
              </w:drawing>
            </w:r>
          </w:p>
          <w:p>
            <w:pPr>
              <w:spacing w:before="40" w:after="0"/>
              <w:jc w:val="center"/>
            </w:pPr>
            <w:r>
              <w:rPr>
                <w:rFonts w:ascii="Times New Roman" w:hAnsi="Times New Roman" w:eastAsia="宋体"/>
                <w:sz w:val="14"/>
              </w:rPr>
              <w:t>fig08　百分比堆积柱形图</w:t>
            </w:r>
          </w:p>
        </w:tc>
        <w:tc>
          <w:tcPr>
            <w:tcW w:type="dxa" w:w="2911"/>
          </w:tcPr>
          <w:p>
            <w:pPr>
              <w:jc w:val="center"/>
            </w:pPr>
            <w:r>
              <w:drawing>
                <wp:inline xmlns:a="http://schemas.openxmlformats.org/drawingml/2006/main" xmlns:pic="http://schemas.openxmlformats.org/drawingml/2006/picture">
                  <wp:extent cx="1565999" cy="875612"/>
                  <wp:docPr id="26" name="Picture 26"/>
                  <wp:cNvGraphicFramePr>
                    <a:graphicFrameLocks noChangeAspect="1"/>
                  </wp:cNvGraphicFramePr>
                  <a:graphic>
                    <a:graphicData uri="http://schemas.openxmlformats.org/drawingml/2006/picture">
                      <pic:pic>
                        <pic:nvPicPr>
                          <pic:cNvPr id="0" name="fig09_aov_frequency_scatter.png"/>
                          <pic:cNvPicPr/>
                        </pic:nvPicPr>
                        <pic:blipFill>
                          <a:blip r:embed="rId33"/>
                          <a:stretch>
                            <a:fillRect/>
                          </a:stretch>
                        </pic:blipFill>
                        <pic:spPr>
                          <a:xfrm>
                            <a:off x="0" y="0"/>
                            <a:ext cx="1565999" cy="875612"/>
                          </a:xfrm>
                          <a:prstGeom prst="rect"/>
                        </pic:spPr>
                      </pic:pic>
                    </a:graphicData>
                  </a:graphic>
                </wp:inline>
              </w:drawing>
            </w:r>
          </w:p>
          <w:p>
            <w:pPr>
              <w:spacing w:before="40" w:after="0"/>
              <w:jc w:val="center"/>
            </w:pPr>
            <w:r>
              <w:rPr>
                <w:rFonts w:ascii="Times New Roman" w:hAnsi="Times New Roman" w:eastAsia="宋体"/>
                <w:sz w:val="14"/>
              </w:rPr>
              <w:t>fig09　散点图</w:t>
            </w:r>
          </w:p>
        </w:tc>
      </w:tr>
      <w:tr>
        <w:tc>
          <w:tcPr>
            <w:tcW w:type="dxa" w:w="2911"/>
          </w:tcPr>
          <w:p>
            <w:pPr>
              <w:jc w:val="center"/>
            </w:pPr>
            <w:r>
              <w:drawing>
                <wp:inline xmlns:a="http://schemas.openxmlformats.org/drawingml/2006/main" xmlns:pic="http://schemas.openxmlformats.org/drawingml/2006/picture">
                  <wp:extent cx="1565999" cy="858684"/>
                  <wp:docPr id="27" name="Picture 27"/>
                  <wp:cNvGraphicFramePr>
                    <a:graphicFrameLocks noChangeAspect="1"/>
                  </wp:cNvGraphicFramePr>
                  <a:graphic>
                    <a:graphicData uri="http://schemas.openxmlformats.org/drawingml/2006/picture">
                      <pic:pic>
                        <pic:nvPicPr>
                          <pic:cNvPr id="0" name="fig10_country_bubble.png"/>
                          <pic:cNvPicPr/>
                        </pic:nvPicPr>
                        <pic:blipFill>
                          <a:blip r:embed="rId34"/>
                          <a:stretch>
                            <a:fillRect/>
                          </a:stretch>
                        </pic:blipFill>
                        <pic:spPr>
                          <a:xfrm>
                            <a:off x="0" y="0"/>
                            <a:ext cx="1565999" cy="858684"/>
                          </a:xfrm>
                          <a:prstGeom prst="rect"/>
                        </pic:spPr>
                      </pic:pic>
                    </a:graphicData>
                  </a:graphic>
                </wp:inline>
              </w:drawing>
            </w:r>
          </w:p>
          <w:p>
            <w:pPr>
              <w:spacing w:before="40" w:after="0"/>
              <w:jc w:val="center"/>
            </w:pPr>
            <w:r>
              <w:rPr>
                <w:rFonts w:ascii="Times New Roman" w:hAnsi="Times New Roman" w:eastAsia="宋体"/>
                <w:sz w:val="14"/>
              </w:rPr>
              <w:t>fig10　气泡图</w:t>
            </w:r>
          </w:p>
        </w:tc>
        <w:tc>
          <w:tcPr>
            <w:tcW w:type="dxa" w:w="2911"/>
          </w:tcPr>
          <w:p>
            <w:pPr>
              <w:jc w:val="center"/>
            </w:pPr>
            <w:r>
              <w:drawing>
                <wp:inline xmlns:a="http://schemas.openxmlformats.org/drawingml/2006/main" xmlns:pic="http://schemas.openxmlformats.org/drawingml/2006/picture">
                  <wp:extent cx="1565999" cy="791708"/>
                  <wp:docPr id="28" name="Picture 28"/>
                  <wp:cNvGraphicFramePr>
                    <a:graphicFrameLocks noChangeAspect="1"/>
                  </wp:cNvGraphicFramePr>
                  <a:graphic>
                    <a:graphicData uri="http://schemas.openxmlformats.org/drawingml/2006/picture">
                      <pic:pic>
                        <pic:nvPicPr>
                          <pic:cNvPr id="0" name="fig11_order_value_histogram.png"/>
                          <pic:cNvPicPr/>
                        </pic:nvPicPr>
                        <pic:blipFill>
                          <a:blip r:embed="rId35"/>
                          <a:stretch>
                            <a:fillRect/>
                          </a:stretch>
                        </pic:blipFill>
                        <pic:spPr>
                          <a:xfrm>
                            <a:off x="0" y="0"/>
                            <a:ext cx="1565999" cy="791708"/>
                          </a:xfrm>
                          <a:prstGeom prst="rect"/>
                        </pic:spPr>
                      </pic:pic>
                    </a:graphicData>
                  </a:graphic>
                </wp:inline>
              </w:drawing>
            </w:r>
          </w:p>
          <w:p>
            <w:pPr>
              <w:spacing w:before="40" w:after="0"/>
              <w:jc w:val="center"/>
            </w:pPr>
            <w:r>
              <w:rPr>
                <w:rFonts w:ascii="Times New Roman" w:hAnsi="Times New Roman" w:eastAsia="宋体"/>
                <w:sz w:val="14"/>
              </w:rPr>
              <w:t>fig11　直方图</w:t>
            </w:r>
          </w:p>
        </w:tc>
        <w:tc>
          <w:tcPr>
            <w:tcW w:type="dxa" w:w="2911"/>
          </w:tcPr>
          <w:p>
            <w:pPr>
              <w:jc w:val="center"/>
            </w:pPr>
            <w:r>
              <w:drawing>
                <wp:inline xmlns:a="http://schemas.openxmlformats.org/drawingml/2006/main" xmlns:pic="http://schemas.openxmlformats.org/drawingml/2006/picture">
                  <wp:extent cx="1565999" cy="761673"/>
                  <wp:docPr id="29" name="Picture 29"/>
                  <wp:cNvGraphicFramePr>
                    <a:graphicFrameLocks noChangeAspect="1"/>
                  </wp:cNvGraphicFramePr>
                  <a:graphic>
                    <a:graphicData uri="http://schemas.openxmlformats.org/drawingml/2006/picture">
                      <pic:pic>
                        <pic:nvPicPr>
                          <pic:cNvPr id="0" name="fig12_boxplot_country.png"/>
                          <pic:cNvPicPr/>
                        </pic:nvPicPr>
                        <pic:blipFill>
                          <a:blip r:embed="rId36"/>
                          <a:stretch>
                            <a:fillRect/>
                          </a:stretch>
                        </pic:blipFill>
                        <pic:spPr>
                          <a:xfrm>
                            <a:off x="0" y="0"/>
                            <a:ext cx="1565999" cy="761673"/>
                          </a:xfrm>
                          <a:prstGeom prst="rect"/>
                        </pic:spPr>
                      </pic:pic>
                    </a:graphicData>
                  </a:graphic>
                </wp:inline>
              </w:drawing>
            </w:r>
          </w:p>
          <w:p>
            <w:pPr>
              <w:spacing w:before="40" w:after="0"/>
              <w:jc w:val="center"/>
            </w:pPr>
            <w:r>
              <w:rPr>
                <w:rFonts w:ascii="Times New Roman" w:hAnsi="Times New Roman" w:eastAsia="宋体"/>
                <w:sz w:val="14"/>
              </w:rPr>
              <w:t>fig12　箱线图</w:t>
            </w:r>
          </w:p>
        </w:tc>
      </w:tr>
      <w:tr>
        <w:tc>
          <w:tcPr>
            <w:tcW w:type="dxa" w:w="2911"/>
          </w:tcPr>
          <w:p>
            <w:pPr>
              <w:jc w:val="center"/>
            </w:pPr>
            <w:r>
              <w:drawing>
                <wp:inline xmlns:a="http://schemas.openxmlformats.org/drawingml/2006/main" xmlns:pic="http://schemas.openxmlformats.org/drawingml/2006/picture">
                  <wp:extent cx="1565999" cy="948227"/>
                  <wp:docPr id="30" name="Picture 30"/>
                  <wp:cNvGraphicFramePr>
                    <a:graphicFrameLocks noChangeAspect="1"/>
                  </wp:cNvGraphicFramePr>
                  <a:graphic>
                    <a:graphicData uri="http://schemas.openxmlformats.org/drawingml/2006/picture">
                      <pic:pic>
                        <pic:nvPicPr>
                          <pic:cNvPr id="0" name="fig13_weekday_hour_heatmap.png"/>
                          <pic:cNvPicPr/>
                        </pic:nvPicPr>
                        <pic:blipFill>
                          <a:blip r:embed="rId9"/>
                          <a:stretch>
                            <a:fillRect/>
                          </a:stretch>
                        </pic:blipFill>
                        <pic:spPr>
                          <a:xfrm>
                            <a:off x="0" y="0"/>
                            <a:ext cx="1565999" cy="948227"/>
                          </a:xfrm>
                          <a:prstGeom prst="rect"/>
                        </pic:spPr>
                      </pic:pic>
                    </a:graphicData>
                  </a:graphic>
                </wp:inline>
              </w:drawing>
            </w:r>
          </w:p>
          <w:p>
            <w:pPr>
              <w:spacing w:before="40" w:after="0"/>
              <w:jc w:val="center"/>
            </w:pPr>
            <w:r>
              <w:rPr>
                <w:rFonts w:ascii="Times New Roman" w:hAnsi="Times New Roman" w:eastAsia="宋体"/>
                <w:sz w:val="14"/>
              </w:rPr>
              <w:t>fig13　热力图</w:t>
            </w:r>
          </w:p>
        </w:tc>
        <w:tc>
          <w:tcPr>
            <w:tcW w:type="dxa" w:w="2911"/>
          </w:tcPr>
          <w:p>
            <w:pPr>
              <w:jc w:val="center"/>
            </w:pPr>
            <w:r>
              <w:drawing>
                <wp:inline xmlns:a="http://schemas.openxmlformats.org/drawingml/2006/main" xmlns:pic="http://schemas.openxmlformats.org/drawingml/2006/picture">
                  <wp:extent cx="1565999" cy="1537668"/>
                  <wp:docPr id="31" name="Picture 31"/>
                  <wp:cNvGraphicFramePr>
                    <a:graphicFrameLocks noChangeAspect="1"/>
                  </wp:cNvGraphicFramePr>
                  <a:graphic>
                    <a:graphicData uri="http://schemas.openxmlformats.org/drawingml/2006/picture">
                      <pic:pic>
                        <pic:nvPicPr>
                          <pic:cNvPr id="0" name="fig14_country_radar.png"/>
                          <pic:cNvPicPr/>
                        </pic:nvPicPr>
                        <pic:blipFill>
                          <a:blip r:embed="rId37"/>
                          <a:stretch>
                            <a:fillRect/>
                          </a:stretch>
                        </pic:blipFill>
                        <pic:spPr>
                          <a:xfrm>
                            <a:off x="0" y="0"/>
                            <a:ext cx="1565999" cy="1537668"/>
                          </a:xfrm>
                          <a:prstGeom prst="rect"/>
                        </pic:spPr>
                      </pic:pic>
                    </a:graphicData>
                  </a:graphic>
                </wp:inline>
              </w:drawing>
            </w:r>
          </w:p>
          <w:p>
            <w:pPr>
              <w:spacing w:before="40" w:after="0"/>
              <w:jc w:val="center"/>
            </w:pPr>
            <w:r>
              <w:rPr>
                <w:rFonts w:ascii="Times New Roman" w:hAnsi="Times New Roman" w:eastAsia="宋体"/>
                <w:sz w:val="14"/>
              </w:rPr>
              <w:t>fig14　雷达图</w:t>
            </w:r>
          </w:p>
        </w:tc>
        <w:tc>
          <w:tcPr>
            <w:tcW w:type="dxa" w:w="2911"/>
          </w:tcPr>
          <w:p>
            <w:pPr>
              <w:jc w:val="center"/>
            </w:pPr>
            <w:r>
              <w:drawing>
                <wp:inline xmlns:a="http://schemas.openxmlformats.org/drawingml/2006/main" xmlns:pic="http://schemas.openxmlformats.org/drawingml/2006/picture">
                  <wp:extent cx="1565999" cy="686974"/>
                  <wp:docPr id="32" name="Picture 32"/>
                  <wp:cNvGraphicFramePr>
                    <a:graphicFrameLocks noChangeAspect="1"/>
                  </wp:cNvGraphicFramePr>
                  <a:graphic>
                    <a:graphicData uri="http://schemas.openxmlformats.org/drawingml/2006/picture">
                      <pic:pic>
                        <pic:nvPicPr>
                          <pic:cNvPr id="0" name="fig15_monthly_waterfall.png"/>
                          <pic:cNvPicPr/>
                        </pic:nvPicPr>
                        <pic:blipFill>
                          <a:blip r:embed="rId38"/>
                          <a:stretch>
                            <a:fillRect/>
                          </a:stretch>
                        </pic:blipFill>
                        <pic:spPr>
                          <a:xfrm>
                            <a:off x="0" y="0"/>
                            <a:ext cx="1565999" cy="686974"/>
                          </a:xfrm>
                          <a:prstGeom prst="rect"/>
                        </pic:spPr>
                      </pic:pic>
                    </a:graphicData>
                  </a:graphic>
                </wp:inline>
              </w:drawing>
            </w:r>
          </w:p>
          <w:p>
            <w:pPr>
              <w:spacing w:before="40" w:after="0"/>
              <w:jc w:val="center"/>
            </w:pPr>
            <w:r>
              <w:rPr>
                <w:rFonts w:ascii="Times New Roman" w:hAnsi="Times New Roman" w:eastAsia="宋体"/>
                <w:sz w:val="14"/>
              </w:rPr>
              <w:t>fig15　瀑布图</w:t>
            </w:r>
          </w:p>
        </w:tc>
      </w:tr>
      <w:tr>
        <w:tc>
          <w:tcPr>
            <w:tcW w:type="dxa" w:w="2911"/>
          </w:tcPr>
          <w:p>
            <w:pPr>
              <w:jc w:val="center"/>
            </w:pPr>
            <w:r>
              <w:drawing>
                <wp:inline xmlns:a="http://schemas.openxmlformats.org/drawingml/2006/main" xmlns:pic="http://schemas.openxmlformats.org/drawingml/2006/picture">
                  <wp:extent cx="1565999" cy="750436"/>
                  <wp:docPr id="33" name="Picture 33"/>
                  <wp:cNvGraphicFramePr>
                    <a:graphicFrameLocks noChangeAspect="1"/>
                  </wp:cNvGraphicFramePr>
                  <a:graphic>
                    <a:graphicData uri="http://schemas.openxmlformats.org/drawingml/2006/picture">
                      <pic:pic>
                        <pic:nvPicPr>
                          <pic:cNvPr id="0" name="fig16_gauge_target.png"/>
                          <pic:cNvPicPr/>
                        </pic:nvPicPr>
                        <pic:blipFill>
                          <a:blip r:embed="rId39"/>
                          <a:stretch>
                            <a:fillRect/>
                          </a:stretch>
                        </pic:blipFill>
                        <pic:spPr>
                          <a:xfrm>
                            <a:off x="0" y="0"/>
                            <a:ext cx="1565999" cy="750436"/>
                          </a:xfrm>
                          <a:prstGeom prst="rect"/>
                        </pic:spPr>
                      </pic:pic>
                    </a:graphicData>
                  </a:graphic>
                </wp:inline>
              </w:drawing>
            </w:r>
          </w:p>
          <w:p>
            <w:pPr>
              <w:spacing w:before="40" w:after="0"/>
              <w:jc w:val="center"/>
            </w:pPr>
            <w:r>
              <w:rPr>
                <w:rFonts w:ascii="Times New Roman" w:hAnsi="Times New Roman" w:eastAsia="宋体"/>
                <w:sz w:val="14"/>
              </w:rPr>
              <w:t>fig16　仪表盘</w:t>
            </w:r>
          </w:p>
        </w:tc>
        <w:tc>
          <w:tcPr>
            <w:tcW w:type="dxa" w:w="2911"/>
          </w:tcPr>
          <w:p>
            <w:pPr>
              <w:jc w:val="center"/>
            </w:pPr>
            <w:r>
              <w:drawing>
                <wp:inline xmlns:a="http://schemas.openxmlformats.org/drawingml/2006/main" xmlns:pic="http://schemas.openxmlformats.org/drawingml/2006/picture">
                  <wp:extent cx="1565999" cy="631721"/>
                  <wp:docPr id="34" name="Picture 34"/>
                  <wp:cNvGraphicFramePr>
                    <a:graphicFrameLocks noChangeAspect="1"/>
                  </wp:cNvGraphicFramePr>
                  <a:graphic>
                    <a:graphicData uri="http://schemas.openxmlformats.org/drawingml/2006/picture">
                      <pic:pic>
                        <pic:nvPicPr>
                          <pic:cNvPr id="0" name="fig17_calendar_heatmap.png"/>
                          <pic:cNvPicPr/>
                        </pic:nvPicPr>
                        <pic:blipFill>
                          <a:blip r:embed="rId25"/>
                          <a:stretch>
                            <a:fillRect/>
                          </a:stretch>
                        </pic:blipFill>
                        <pic:spPr>
                          <a:xfrm>
                            <a:off x="0" y="0"/>
                            <a:ext cx="1565999" cy="631721"/>
                          </a:xfrm>
                          <a:prstGeom prst="rect"/>
                        </pic:spPr>
                      </pic:pic>
                    </a:graphicData>
                  </a:graphic>
                </wp:inline>
              </w:drawing>
            </w:r>
          </w:p>
          <w:p>
            <w:pPr>
              <w:spacing w:before="40" w:after="0"/>
              <w:jc w:val="center"/>
            </w:pPr>
            <w:r>
              <w:rPr>
                <w:rFonts w:ascii="Times New Roman" w:hAnsi="Times New Roman" w:eastAsia="宋体"/>
                <w:sz w:val="14"/>
              </w:rPr>
              <w:t>fig17　日历热力图</w:t>
            </w:r>
          </w:p>
        </w:tc>
        <w:tc>
          <w:tcPr>
            <w:tcW w:type="dxa" w:w="2911"/>
          </w:tcPr>
          <w:p>
            <w:pPr>
              <w:jc w:val="center"/>
            </w:pPr>
            <w:r>
              <w:drawing>
                <wp:inline xmlns:a="http://schemas.openxmlformats.org/drawingml/2006/main" xmlns:pic="http://schemas.openxmlformats.org/drawingml/2006/picture">
                  <wp:extent cx="1565999" cy="971646"/>
                  <wp:docPr id="35" name="Picture 35"/>
                  <wp:cNvGraphicFramePr>
                    <a:graphicFrameLocks noChangeAspect="1"/>
                  </wp:cNvGraphicFramePr>
                  <a:graphic>
                    <a:graphicData uri="http://schemas.openxmlformats.org/drawingml/2006/picture">
                      <pic:pic>
                        <pic:nvPicPr>
                          <pic:cNvPr id="0" name="fig18_slope_top_countries.png"/>
                          <pic:cNvPicPr/>
                        </pic:nvPicPr>
                        <pic:blipFill>
                          <a:blip r:embed="rId40"/>
                          <a:stretch>
                            <a:fillRect/>
                          </a:stretch>
                        </pic:blipFill>
                        <pic:spPr>
                          <a:xfrm>
                            <a:off x="0" y="0"/>
                            <a:ext cx="1565999" cy="971646"/>
                          </a:xfrm>
                          <a:prstGeom prst="rect"/>
                        </pic:spPr>
                      </pic:pic>
                    </a:graphicData>
                  </a:graphic>
                </wp:inline>
              </w:drawing>
            </w:r>
          </w:p>
          <w:p>
            <w:pPr>
              <w:spacing w:before="40" w:after="0"/>
              <w:jc w:val="center"/>
            </w:pPr>
            <w:r>
              <w:rPr>
                <w:rFonts w:ascii="Times New Roman" w:hAnsi="Times New Roman" w:eastAsia="宋体"/>
                <w:sz w:val="14"/>
              </w:rPr>
              <w:t>fig18　坡度图</w:t>
            </w:r>
          </w:p>
        </w:tc>
      </w:tr>
      <w:tr>
        <w:tc>
          <w:tcPr>
            <w:tcW w:type="dxa" w:w="2911"/>
          </w:tcPr>
          <w:p>
            <w:pPr>
              <w:jc w:val="center"/>
            </w:pPr>
            <w:r>
              <w:drawing>
                <wp:inline xmlns:a="http://schemas.openxmlformats.org/drawingml/2006/main" xmlns:pic="http://schemas.openxmlformats.org/drawingml/2006/picture">
                  <wp:extent cx="1565999" cy="723803"/>
                  <wp:docPr id="36" name="Picture 36"/>
                  <wp:cNvGraphicFramePr>
                    <a:graphicFrameLocks noChangeAspect="1"/>
                  </wp:cNvGraphicFramePr>
                  <a:graphic>
                    <a:graphicData uri="http://schemas.openxmlformats.org/drawingml/2006/picture">
                      <pic:pic>
                        <pic:nvPicPr>
                          <pic:cNvPr id="0" name="fig19_dual_axis_revenue_orders.png"/>
                          <pic:cNvPicPr/>
                        </pic:nvPicPr>
                        <pic:blipFill>
                          <a:blip r:embed="rId41"/>
                          <a:stretch>
                            <a:fillRect/>
                          </a:stretch>
                        </pic:blipFill>
                        <pic:spPr>
                          <a:xfrm>
                            <a:off x="0" y="0"/>
                            <a:ext cx="1565999" cy="723803"/>
                          </a:xfrm>
                          <a:prstGeom prst="rect"/>
                        </pic:spPr>
                      </pic:pic>
                    </a:graphicData>
                  </a:graphic>
                </wp:inline>
              </w:drawing>
            </w:r>
          </w:p>
          <w:p>
            <w:pPr>
              <w:spacing w:before="40" w:after="0"/>
              <w:jc w:val="center"/>
            </w:pPr>
            <w:r>
              <w:rPr>
                <w:rFonts w:ascii="Times New Roman" w:hAnsi="Times New Roman" w:eastAsia="宋体"/>
                <w:sz w:val="14"/>
              </w:rPr>
              <w:t>fig19　三轴组合图</w:t>
            </w:r>
          </w:p>
        </w:tc>
        <w:tc>
          <w:tcPr>
            <w:tcW w:type="dxa" w:w="2911"/>
          </w:tcPr>
          <w:p>
            <w:pPr>
              <w:jc w:val="center"/>
            </w:pPr>
            <w:r>
              <w:drawing>
                <wp:inline xmlns:a="http://schemas.openxmlformats.org/drawingml/2006/main" xmlns:pic="http://schemas.openxmlformats.org/drawingml/2006/picture">
                  <wp:extent cx="1565999" cy="1572876"/>
                  <wp:docPr id="37" name="Picture 37"/>
                  <wp:cNvGraphicFramePr>
                    <a:graphicFrameLocks noChangeAspect="1"/>
                  </wp:cNvGraphicFramePr>
                  <a:graphic>
                    <a:graphicData uri="http://schemas.openxmlformats.org/drawingml/2006/picture">
                      <pic:pic>
                        <pic:nvPicPr>
                          <pic:cNvPr id="0" name="fig20_rose_category.png"/>
                          <pic:cNvPicPr/>
                        </pic:nvPicPr>
                        <pic:blipFill>
                          <a:blip r:embed="rId42"/>
                          <a:stretch>
                            <a:fillRect/>
                          </a:stretch>
                        </pic:blipFill>
                        <pic:spPr>
                          <a:xfrm>
                            <a:off x="0" y="0"/>
                            <a:ext cx="1565999" cy="1572876"/>
                          </a:xfrm>
                          <a:prstGeom prst="rect"/>
                        </pic:spPr>
                      </pic:pic>
                    </a:graphicData>
                  </a:graphic>
                </wp:inline>
              </w:drawing>
            </w:r>
          </w:p>
          <w:p>
            <w:pPr>
              <w:spacing w:before="40" w:after="0"/>
              <w:jc w:val="center"/>
            </w:pPr>
            <w:r>
              <w:rPr>
                <w:rFonts w:ascii="Times New Roman" w:hAnsi="Times New Roman" w:eastAsia="宋体"/>
                <w:sz w:val="14"/>
              </w:rPr>
              <w:t>fig20　玫瑰图</w:t>
            </w:r>
          </w:p>
        </w:tc>
        <w:tc>
          <w:tcPr>
            <w:tcW w:type="dxa" w:w="2911"/>
          </w:tcPr>
          <w:p>
            <w:pPr>
              <w:jc w:val="center"/>
            </w:pPr>
            <w:r>
              <w:drawing>
                <wp:inline xmlns:a="http://schemas.openxmlformats.org/drawingml/2006/main" xmlns:pic="http://schemas.openxmlformats.org/drawingml/2006/picture">
                  <wp:extent cx="1565999" cy="843283"/>
                  <wp:docPr id="38" name="Picture 38"/>
                  <wp:cNvGraphicFramePr>
                    <a:graphicFrameLocks noChangeAspect="1"/>
                  </wp:cNvGraphicFramePr>
                  <a:graphic>
                    <a:graphicData uri="http://schemas.openxmlformats.org/drawingml/2006/picture">
                      <pic:pic>
                        <pic:nvPicPr>
                          <pic:cNvPr id="0" name="fig21_bullet_category.png"/>
                          <pic:cNvPicPr/>
                        </pic:nvPicPr>
                        <pic:blipFill>
                          <a:blip r:embed="rId43"/>
                          <a:stretch>
                            <a:fillRect/>
                          </a:stretch>
                        </pic:blipFill>
                        <pic:spPr>
                          <a:xfrm>
                            <a:off x="0" y="0"/>
                            <a:ext cx="1565999" cy="843283"/>
                          </a:xfrm>
                          <a:prstGeom prst="rect"/>
                        </pic:spPr>
                      </pic:pic>
                    </a:graphicData>
                  </a:graphic>
                </wp:inline>
              </w:drawing>
            </w:r>
          </w:p>
          <w:p>
            <w:pPr>
              <w:spacing w:before="40" w:after="0"/>
              <w:jc w:val="center"/>
            </w:pPr>
            <w:r>
              <w:rPr>
                <w:rFonts w:ascii="Times New Roman" w:hAnsi="Times New Roman" w:eastAsia="宋体"/>
                <w:sz w:val="14"/>
              </w:rPr>
              <w:t>fig21　子弹图</w:t>
            </w:r>
          </w:p>
        </w:tc>
      </w:tr>
      <w:tr>
        <w:tc>
          <w:tcPr>
            <w:tcW w:type="dxa" w:w="2911"/>
          </w:tcPr>
          <w:p>
            <w:pPr>
              <w:jc w:val="center"/>
            </w:pPr>
            <w:r>
              <w:drawing>
                <wp:inline xmlns:a="http://schemas.openxmlformats.org/drawingml/2006/main" xmlns:pic="http://schemas.openxmlformats.org/drawingml/2006/picture">
                  <wp:extent cx="1565999" cy="706578"/>
                  <wp:docPr id="39" name="Picture 39"/>
                  <wp:cNvGraphicFramePr>
                    <a:graphicFrameLocks noChangeAspect="1"/>
                  </wp:cNvGraphicFramePr>
                  <a:graphic>
                    <a:graphicData uri="http://schemas.openxmlformats.org/drawingml/2006/picture">
                      <pic:pic>
                        <pic:nvPicPr>
                          <pic:cNvPr id="0" name="fig22_violin_order_value.png"/>
                          <pic:cNvPicPr/>
                        </pic:nvPicPr>
                        <pic:blipFill>
                          <a:blip r:embed="rId44"/>
                          <a:stretch>
                            <a:fillRect/>
                          </a:stretch>
                        </pic:blipFill>
                        <pic:spPr>
                          <a:xfrm>
                            <a:off x="0" y="0"/>
                            <a:ext cx="1565999" cy="706578"/>
                          </a:xfrm>
                          <a:prstGeom prst="rect"/>
                        </pic:spPr>
                      </pic:pic>
                    </a:graphicData>
                  </a:graphic>
                </wp:inline>
              </w:drawing>
            </w:r>
          </w:p>
          <w:p>
            <w:pPr>
              <w:spacing w:before="40" w:after="0"/>
              <w:jc w:val="center"/>
            </w:pPr>
            <w:r>
              <w:rPr>
                <w:rFonts w:ascii="Times New Roman" w:hAnsi="Times New Roman" w:eastAsia="宋体"/>
                <w:sz w:val="14"/>
              </w:rPr>
              <w:t>fig22　小提琴图</w:t>
            </w:r>
          </w:p>
        </w:tc>
        <w:tc>
          <w:tcPr>
            <w:tcW w:type="dxa" w:w="2911"/>
          </w:tcPr>
          <w:p>
            <w:pPr>
              <w:jc w:val="center"/>
            </w:pPr>
            <w:r>
              <w:drawing>
                <wp:inline xmlns:a="http://schemas.openxmlformats.org/drawingml/2006/main" xmlns:pic="http://schemas.openxmlformats.org/drawingml/2006/picture">
                  <wp:extent cx="1565999" cy="1149547"/>
                  <wp:docPr id="40" name="Picture 40"/>
                  <wp:cNvGraphicFramePr>
                    <a:graphicFrameLocks noChangeAspect="1"/>
                  </wp:cNvGraphicFramePr>
                  <a:graphic>
                    <a:graphicData uri="http://schemas.openxmlformats.org/drawingml/2006/picture">
                      <pic:pic>
                        <pic:nvPicPr>
                          <pic:cNvPr id="0" name="fig23_treemap_category.png"/>
                          <pic:cNvPicPr/>
                        </pic:nvPicPr>
                        <pic:blipFill>
                          <a:blip r:embed="rId23"/>
                          <a:stretch>
                            <a:fillRect/>
                          </a:stretch>
                        </pic:blipFill>
                        <pic:spPr>
                          <a:xfrm>
                            <a:off x="0" y="0"/>
                            <a:ext cx="1565999" cy="1149547"/>
                          </a:xfrm>
                          <a:prstGeom prst="rect"/>
                        </pic:spPr>
                      </pic:pic>
                    </a:graphicData>
                  </a:graphic>
                </wp:inline>
              </w:drawing>
            </w:r>
          </w:p>
          <w:p>
            <w:pPr>
              <w:spacing w:before="40" w:after="0"/>
              <w:jc w:val="center"/>
            </w:pPr>
            <w:r>
              <w:rPr>
                <w:rFonts w:ascii="Times New Roman" w:hAnsi="Times New Roman" w:eastAsia="宋体"/>
                <w:sz w:val="14"/>
              </w:rPr>
              <w:t>fig23　矩形树图</w:t>
            </w:r>
          </w:p>
        </w:tc>
        <w:tc>
          <w:tcPr>
            <w:tcW w:type="dxa" w:w="2911"/>
          </w:tcPr>
          <w:p>
            <w:pPr>
              <w:jc w:val="center"/>
            </w:pPr>
            <w:r>
              <w:drawing>
                <wp:inline xmlns:a="http://schemas.openxmlformats.org/drawingml/2006/main" xmlns:pic="http://schemas.openxmlformats.org/drawingml/2006/picture">
                  <wp:extent cx="1565999" cy="867333"/>
                  <wp:docPr id="41" name="Picture 41"/>
                  <wp:cNvGraphicFramePr>
                    <a:graphicFrameLocks noChangeAspect="1"/>
                  </wp:cNvGraphicFramePr>
                  <a:graphic>
                    <a:graphicData uri="http://schemas.openxmlformats.org/drawingml/2006/picture">
                      <pic:pic>
                        <pic:nvPicPr>
                          <pic:cNvPr id="0" name="fig24_wordcloud_products.png"/>
                          <pic:cNvPicPr/>
                        </pic:nvPicPr>
                        <pic:blipFill>
                          <a:blip r:embed="rId45"/>
                          <a:stretch>
                            <a:fillRect/>
                          </a:stretch>
                        </pic:blipFill>
                        <pic:spPr>
                          <a:xfrm>
                            <a:off x="0" y="0"/>
                            <a:ext cx="1565999" cy="867333"/>
                          </a:xfrm>
                          <a:prstGeom prst="rect"/>
                        </pic:spPr>
                      </pic:pic>
                    </a:graphicData>
                  </a:graphic>
                </wp:inline>
              </w:drawing>
            </w:r>
          </w:p>
          <w:p>
            <w:pPr>
              <w:spacing w:before="40" w:after="0"/>
              <w:jc w:val="center"/>
            </w:pPr>
            <w:r>
              <w:rPr>
                <w:rFonts w:ascii="Times New Roman" w:hAnsi="Times New Roman" w:eastAsia="宋体"/>
                <w:sz w:val="14"/>
              </w:rPr>
              <w:t>fig24　词云图</w:t>
            </w:r>
          </w:p>
        </w:tc>
      </w:tr>
      <w:tr>
        <w:tc>
          <w:tcPr>
            <w:tcW w:type="dxa" w:w="2911"/>
          </w:tcPr>
          <w:p>
            <w:pPr>
              <w:jc w:val="center"/>
            </w:pPr>
            <w:r>
              <w:drawing>
                <wp:inline xmlns:a="http://schemas.openxmlformats.org/drawingml/2006/main" xmlns:pic="http://schemas.openxmlformats.org/drawingml/2006/picture">
                  <wp:extent cx="1565999" cy="669241"/>
                  <wp:docPr id="42" name="Picture 42"/>
                  <wp:cNvGraphicFramePr>
                    <a:graphicFrameLocks noChangeAspect="1"/>
                  </wp:cNvGraphicFramePr>
                  <a:graphic>
                    <a:graphicData uri="http://schemas.openxmlformats.org/drawingml/2006/picture">
                      <pic:pic>
                        <pic:nvPicPr>
                          <pic:cNvPr id="0" name="fig25_moving_average.png"/>
                          <pic:cNvPicPr/>
                        </pic:nvPicPr>
                        <pic:blipFill>
                          <a:blip r:embed="rId46"/>
                          <a:stretch>
                            <a:fillRect/>
                          </a:stretch>
                        </pic:blipFill>
                        <pic:spPr>
                          <a:xfrm>
                            <a:off x="0" y="0"/>
                            <a:ext cx="1565999" cy="669241"/>
                          </a:xfrm>
                          <a:prstGeom prst="rect"/>
                        </pic:spPr>
                      </pic:pic>
                    </a:graphicData>
                  </a:graphic>
                </wp:inline>
              </w:drawing>
            </w:r>
          </w:p>
          <w:p>
            <w:pPr>
              <w:spacing w:before="40" w:after="0"/>
              <w:jc w:val="center"/>
            </w:pPr>
            <w:r>
              <w:rPr>
                <w:rFonts w:ascii="Times New Roman" w:hAnsi="Times New Roman" w:eastAsia="宋体"/>
                <w:sz w:val="14"/>
              </w:rPr>
              <w:t>fig25　多重折线图</w:t>
            </w:r>
          </w:p>
        </w:tc>
        <w:tc>
          <w:tcPr>
            <w:tcW w:type="dxa" w:w="2911"/>
          </w:tcPr>
          <w:p>
            <w:pPr>
              <w:jc w:val="center"/>
            </w:pPr>
            <w:r>
              <w:drawing>
                <wp:inline xmlns:a="http://schemas.openxmlformats.org/drawingml/2006/main" xmlns:pic="http://schemas.openxmlformats.org/drawingml/2006/picture">
                  <wp:extent cx="1565999" cy="875021"/>
                  <wp:docPr id="43" name="Picture 43"/>
                  <wp:cNvGraphicFramePr>
                    <a:graphicFrameLocks noChangeAspect="1"/>
                  </wp:cNvGraphicFramePr>
                  <a:graphic>
                    <a:graphicData uri="http://schemas.openxmlformats.org/drawingml/2006/picture">
                      <pic:pic>
                        <pic:nvPicPr>
                          <pic:cNvPr id="0" name="fig26_rfm_scatter_ch8.png"/>
                          <pic:cNvPicPr/>
                        </pic:nvPicPr>
                        <pic:blipFill>
                          <a:blip r:embed="rId10"/>
                          <a:stretch>
                            <a:fillRect/>
                          </a:stretch>
                        </pic:blipFill>
                        <pic:spPr>
                          <a:xfrm>
                            <a:off x="0" y="0"/>
                            <a:ext cx="1565999" cy="875021"/>
                          </a:xfrm>
                          <a:prstGeom prst="rect"/>
                        </pic:spPr>
                      </pic:pic>
                    </a:graphicData>
                  </a:graphic>
                </wp:inline>
              </w:drawing>
            </w:r>
          </w:p>
          <w:p>
            <w:pPr>
              <w:spacing w:before="40" w:after="0"/>
              <w:jc w:val="center"/>
            </w:pPr>
            <w:r>
              <w:rPr>
                <w:rFonts w:ascii="Times New Roman" w:hAnsi="Times New Roman" w:eastAsia="宋体"/>
                <w:sz w:val="14"/>
              </w:rPr>
              <w:t>fig26　M2 RFM 模型</w:t>
            </w:r>
          </w:p>
        </w:tc>
        <w:tc>
          <w:tcPr>
            <w:tcW w:type="dxa" w:w="2911"/>
          </w:tcPr>
          <w:p>
            <w:pPr>
              <w:jc w:val="center"/>
            </w:pPr>
            <w:r>
              <w:drawing>
                <wp:inline xmlns:a="http://schemas.openxmlformats.org/drawingml/2006/main" xmlns:pic="http://schemas.openxmlformats.org/drawingml/2006/picture">
                  <wp:extent cx="1565999" cy="702305"/>
                  <wp:docPr id="44" name="Picture 44"/>
                  <wp:cNvGraphicFramePr>
                    <a:graphicFrameLocks noChangeAspect="1"/>
                  </wp:cNvGraphicFramePr>
                  <a:graphic>
                    <a:graphicData uri="http://schemas.openxmlformats.org/drawingml/2006/picture">
                      <pic:pic>
                        <pic:nvPicPr>
                          <pic:cNvPr id="0" name="fig27_rfm_segment_bar.png"/>
                          <pic:cNvPicPr/>
                        </pic:nvPicPr>
                        <pic:blipFill>
                          <a:blip r:embed="rId16"/>
                          <a:stretch>
                            <a:fillRect/>
                          </a:stretch>
                        </pic:blipFill>
                        <pic:spPr>
                          <a:xfrm>
                            <a:off x="0" y="0"/>
                            <a:ext cx="1565999" cy="702305"/>
                          </a:xfrm>
                          <a:prstGeom prst="rect"/>
                        </pic:spPr>
                      </pic:pic>
                    </a:graphicData>
                  </a:graphic>
                </wp:inline>
              </w:drawing>
            </w:r>
          </w:p>
          <w:p>
            <w:pPr>
              <w:spacing w:before="40" w:after="0"/>
              <w:jc w:val="center"/>
            </w:pPr>
            <w:r>
              <w:rPr>
                <w:rFonts w:ascii="Times New Roman" w:hAnsi="Times New Roman" w:eastAsia="宋体"/>
                <w:sz w:val="14"/>
              </w:rPr>
              <w:t>fig27　M2 RFM 模型</w:t>
            </w:r>
          </w:p>
        </w:tc>
      </w:tr>
      <w:tr>
        <w:tc>
          <w:tcPr>
            <w:tcW w:type="dxa" w:w="2911"/>
          </w:tcPr>
          <w:p>
            <w:pPr>
              <w:jc w:val="center"/>
            </w:pPr>
            <w:r>
              <w:drawing>
                <wp:inline xmlns:a="http://schemas.openxmlformats.org/drawingml/2006/main" xmlns:pic="http://schemas.openxmlformats.org/drawingml/2006/picture">
                  <wp:extent cx="1565999" cy="898339"/>
                  <wp:docPr id="45" name="Picture 45"/>
                  <wp:cNvGraphicFramePr>
                    <a:graphicFrameLocks noChangeAspect="1"/>
                  </wp:cNvGraphicFramePr>
                  <a:graphic>
                    <a:graphicData uri="http://schemas.openxmlformats.org/drawingml/2006/picture">
                      <pic:pic>
                        <pic:nvPicPr>
                          <pic:cNvPr id="0" name="fig28_cohort_retention_heatmap.png"/>
                          <pic:cNvPicPr/>
                        </pic:nvPicPr>
                        <pic:blipFill>
                          <a:blip r:embed="rId11"/>
                          <a:stretch>
                            <a:fillRect/>
                          </a:stretch>
                        </pic:blipFill>
                        <pic:spPr>
                          <a:xfrm>
                            <a:off x="0" y="0"/>
                            <a:ext cx="1565999" cy="898339"/>
                          </a:xfrm>
                          <a:prstGeom prst="rect"/>
                        </pic:spPr>
                      </pic:pic>
                    </a:graphicData>
                  </a:graphic>
                </wp:inline>
              </w:drawing>
            </w:r>
          </w:p>
          <w:p>
            <w:pPr>
              <w:spacing w:before="40" w:after="0"/>
              <w:jc w:val="center"/>
            </w:pPr>
            <w:r>
              <w:rPr>
                <w:rFonts w:ascii="Times New Roman" w:hAnsi="Times New Roman" w:eastAsia="宋体"/>
                <w:sz w:val="14"/>
              </w:rPr>
              <w:t>fig28　M3 同期群留存</w:t>
            </w:r>
          </w:p>
        </w:tc>
        <w:tc>
          <w:tcPr>
            <w:tcW w:type="dxa" w:w="2911"/>
          </w:tcPr>
          <w:p>
            <w:pPr>
              <w:jc w:val="center"/>
            </w:pPr>
            <w:r>
              <w:drawing>
                <wp:inline xmlns:a="http://schemas.openxmlformats.org/drawingml/2006/main" xmlns:pic="http://schemas.openxmlformats.org/drawingml/2006/picture">
                  <wp:extent cx="1565999" cy="785833"/>
                  <wp:docPr id="46" name="Picture 46"/>
                  <wp:cNvGraphicFramePr>
                    <a:graphicFrameLocks noChangeAspect="1"/>
                  </wp:cNvGraphicFramePr>
                  <a:graphic>
                    <a:graphicData uri="http://schemas.openxmlformats.org/drawingml/2006/picture">
                      <pic:pic>
                        <pic:nvPicPr>
                          <pic:cNvPr id="0" name="fig29_pareto_abc.png"/>
                          <pic:cNvPicPr/>
                        </pic:nvPicPr>
                        <pic:blipFill>
                          <a:blip r:embed="rId12"/>
                          <a:stretch>
                            <a:fillRect/>
                          </a:stretch>
                        </pic:blipFill>
                        <pic:spPr>
                          <a:xfrm>
                            <a:off x="0" y="0"/>
                            <a:ext cx="1565999" cy="785833"/>
                          </a:xfrm>
                          <a:prstGeom prst="rect"/>
                        </pic:spPr>
                      </pic:pic>
                    </a:graphicData>
                  </a:graphic>
                </wp:inline>
              </w:drawing>
            </w:r>
          </w:p>
          <w:p>
            <w:pPr>
              <w:spacing w:before="40" w:after="0"/>
              <w:jc w:val="center"/>
            </w:pPr>
            <w:r>
              <w:rPr>
                <w:rFonts w:ascii="Times New Roman" w:hAnsi="Times New Roman" w:eastAsia="宋体"/>
                <w:sz w:val="14"/>
              </w:rPr>
              <w:t>fig29　M4 帕累托/ABC</w:t>
            </w:r>
          </w:p>
        </w:tc>
        <w:tc>
          <w:tcPr>
            <w:tcW w:type="dxa" w:w="2911"/>
          </w:tcPr>
          <w:p>
            <w:pPr>
              <w:jc w:val="center"/>
            </w:pPr>
            <w:r>
              <w:drawing>
                <wp:inline xmlns:a="http://schemas.openxmlformats.org/drawingml/2006/main" xmlns:pic="http://schemas.openxmlformats.org/drawingml/2006/picture">
                  <wp:extent cx="1565999" cy="914026"/>
                  <wp:docPr id="47" name="Picture 47"/>
                  <wp:cNvGraphicFramePr>
                    <a:graphicFrameLocks noChangeAspect="1"/>
                  </wp:cNvGraphicFramePr>
                  <a:graphic>
                    <a:graphicData uri="http://schemas.openxmlformats.org/drawingml/2006/picture">
                      <pic:pic>
                        <pic:nvPicPr>
                          <pic:cNvPr id="0" name="fig30_apriori_rules_scatter.png"/>
                          <pic:cNvPicPr/>
                        </pic:nvPicPr>
                        <pic:blipFill>
                          <a:blip r:embed="rId18"/>
                          <a:stretch>
                            <a:fillRect/>
                          </a:stretch>
                        </pic:blipFill>
                        <pic:spPr>
                          <a:xfrm>
                            <a:off x="0" y="0"/>
                            <a:ext cx="1565999" cy="914026"/>
                          </a:xfrm>
                          <a:prstGeom prst="rect"/>
                        </pic:spPr>
                      </pic:pic>
                    </a:graphicData>
                  </a:graphic>
                </wp:inline>
              </w:drawing>
            </w:r>
          </w:p>
          <w:p>
            <w:pPr>
              <w:spacing w:before="40" w:after="0"/>
              <w:jc w:val="center"/>
            </w:pPr>
            <w:r>
              <w:rPr>
                <w:rFonts w:ascii="Times New Roman" w:hAnsi="Times New Roman" w:eastAsia="宋体"/>
                <w:sz w:val="14"/>
              </w:rPr>
              <w:t>fig30　M5 关联规则</w:t>
            </w:r>
          </w:p>
        </w:tc>
      </w:tr>
      <w:tr>
        <w:tc>
          <w:tcPr>
            <w:tcW w:type="dxa" w:w="2911"/>
          </w:tcPr>
          <w:p>
            <w:pPr>
              <w:jc w:val="center"/>
            </w:pPr>
            <w:r>
              <w:drawing>
                <wp:inline xmlns:a="http://schemas.openxmlformats.org/drawingml/2006/main" xmlns:pic="http://schemas.openxmlformats.org/drawingml/2006/picture">
                  <wp:extent cx="1565999" cy="1403972"/>
                  <wp:docPr id="48" name="Picture 48"/>
                  <wp:cNvGraphicFramePr>
                    <a:graphicFrameLocks noChangeAspect="1"/>
                  </wp:cNvGraphicFramePr>
                  <a:graphic>
                    <a:graphicData uri="http://schemas.openxmlformats.org/drawingml/2006/picture">
                      <pic:pic>
                        <pic:nvPicPr>
                          <pic:cNvPr id="0" name="fig31_apriori_network.png"/>
                          <pic:cNvPicPr/>
                        </pic:nvPicPr>
                        <pic:blipFill>
                          <a:blip r:embed="rId24"/>
                          <a:stretch>
                            <a:fillRect/>
                          </a:stretch>
                        </pic:blipFill>
                        <pic:spPr>
                          <a:xfrm>
                            <a:off x="0" y="0"/>
                            <a:ext cx="1565999" cy="1403972"/>
                          </a:xfrm>
                          <a:prstGeom prst="rect"/>
                        </pic:spPr>
                      </pic:pic>
                    </a:graphicData>
                  </a:graphic>
                </wp:inline>
              </w:drawing>
            </w:r>
          </w:p>
          <w:p>
            <w:pPr>
              <w:spacing w:before="40" w:after="0"/>
              <w:jc w:val="center"/>
            </w:pPr>
            <w:r>
              <w:rPr>
                <w:rFonts w:ascii="Times New Roman" w:hAnsi="Times New Roman" w:eastAsia="宋体"/>
                <w:sz w:val="14"/>
              </w:rPr>
              <w:t>fig31　M5 关联规则</w:t>
            </w:r>
          </w:p>
        </w:tc>
        <w:tc>
          <w:tcPr>
            <w:tcW w:type="dxa" w:w="2911"/>
          </w:tcPr>
          <w:p>
            <w:pPr>
              <w:jc w:val="center"/>
            </w:pPr>
            <w:r>
              <w:drawing>
                <wp:inline xmlns:a="http://schemas.openxmlformats.org/drawingml/2006/main" xmlns:pic="http://schemas.openxmlformats.org/drawingml/2006/picture">
                  <wp:extent cx="1565999" cy="1029317"/>
                  <wp:docPr id="49" name="Picture 49"/>
                  <wp:cNvGraphicFramePr>
                    <a:graphicFrameLocks noChangeAspect="1"/>
                  </wp:cNvGraphicFramePr>
                  <a:graphic>
                    <a:graphicData uri="http://schemas.openxmlformats.org/drawingml/2006/picture">
                      <pic:pic>
                        <pic:nvPicPr>
                          <pic:cNvPr id="0" name="fig32_bcg_matrix.png"/>
                          <pic:cNvPicPr/>
                        </pic:nvPicPr>
                        <pic:blipFill>
                          <a:blip r:embed="rId13"/>
                          <a:stretch>
                            <a:fillRect/>
                          </a:stretch>
                        </pic:blipFill>
                        <pic:spPr>
                          <a:xfrm>
                            <a:off x="0" y="0"/>
                            <a:ext cx="1565999" cy="1029317"/>
                          </a:xfrm>
                          <a:prstGeom prst="rect"/>
                        </pic:spPr>
                      </pic:pic>
                    </a:graphicData>
                  </a:graphic>
                </wp:inline>
              </w:drawing>
            </w:r>
          </w:p>
          <w:p>
            <w:pPr>
              <w:spacing w:before="40" w:after="0"/>
              <w:jc w:val="center"/>
            </w:pPr>
            <w:r>
              <w:rPr>
                <w:rFonts w:ascii="Times New Roman" w:hAnsi="Times New Roman" w:eastAsia="宋体"/>
                <w:sz w:val="14"/>
              </w:rPr>
              <w:t>fig32　M6 波士顿矩阵</w:t>
            </w:r>
          </w:p>
        </w:tc>
        <w:tc>
          <w:tcPr>
            <w:tcW w:type="dxa" w:w="2911"/>
          </w:tcPr>
          <w:p>
            <w:pPr>
              <w:jc w:val="center"/>
            </w:pPr>
            <w:r>
              <w:drawing>
                <wp:inline xmlns:a="http://schemas.openxmlformats.org/drawingml/2006/main" xmlns:pic="http://schemas.openxmlformats.org/drawingml/2006/picture">
                  <wp:extent cx="1565999" cy="729126"/>
                  <wp:docPr id="50" name="Picture 50"/>
                  <wp:cNvGraphicFramePr>
                    <a:graphicFrameLocks noChangeAspect="1"/>
                  </wp:cNvGraphicFramePr>
                  <a:graphic>
                    <a:graphicData uri="http://schemas.openxmlformats.org/drawingml/2006/picture">
                      <pic:pic>
                        <pic:nvPicPr>
                          <pic:cNvPr id="0" name="fig33_forecast_ci.png"/>
                          <pic:cNvPicPr/>
                        </pic:nvPicPr>
                        <pic:blipFill>
                          <a:blip r:embed="rId14"/>
                          <a:stretch>
                            <a:fillRect/>
                          </a:stretch>
                        </pic:blipFill>
                        <pic:spPr>
                          <a:xfrm>
                            <a:off x="0" y="0"/>
                            <a:ext cx="1565999" cy="729126"/>
                          </a:xfrm>
                          <a:prstGeom prst="rect"/>
                        </pic:spPr>
                      </pic:pic>
                    </a:graphicData>
                  </a:graphic>
                </wp:inline>
              </w:drawing>
            </w:r>
          </w:p>
          <w:p>
            <w:pPr>
              <w:spacing w:before="40" w:after="0"/>
              <w:jc w:val="center"/>
            </w:pPr>
            <w:r>
              <w:rPr>
                <w:rFonts w:ascii="Times New Roman" w:hAnsi="Times New Roman" w:eastAsia="宋体"/>
                <w:sz w:val="14"/>
              </w:rPr>
              <w:t>fig33　M7 时间序列预测</w:t>
            </w:r>
          </w:p>
        </w:tc>
      </w:tr>
      <w:tr>
        <w:tc>
          <w:tcPr>
            <w:tcW w:type="dxa" w:w="2911"/>
          </w:tcPr>
          <w:p>
            <w:pPr>
              <w:jc w:val="center"/>
            </w:pPr>
            <w:r>
              <w:drawing>
                <wp:inline xmlns:a="http://schemas.openxmlformats.org/drawingml/2006/main" xmlns:pic="http://schemas.openxmlformats.org/drawingml/2006/picture">
                  <wp:extent cx="1565999" cy="740988"/>
                  <wp:docPr id="51" name="Picture 51"/>
                  <wp:cNvGraphicFramePr>
                    <a:graphicFrameLocks noChangeAspect="1"/>
                  </wp:cNvGraphicFramePr>
                  <a:graphic>
                    <a:graphicData uri="http://schemas.openxmlformats.org/drawingml/2006/picture">
                      <pic:pic>
                        <pic:nvPicPr>
                          <pic:cNvPr id="0" name="fig34_kmeans_clusters.png"/>
                          <pic:cNvPicPr/>
                        </pic:nvPicPr>
                        <pic:blipFill>
                          <a:blip r:embed="rId17"/>
                          <a:stretch>
                            <a:fillRect/>
                          </a:stretch>
                        </pic:blipFill>
                        <pic:spPr>
                          <a:xfrm>
                            <a:off x="0" y="0"/>
                            <a:ext cx="1565999" cy="740988"/>
                          </a:xfrm>
                          <a:prstGeom prst="rect"/>
                        </pic:spPr>
                      </pic:pic>
                    </a:graphicData>
                  </a:graphic>
                </wp:inline>
              </w:drawing>
            </w:r>
          </w:p>
          <w:p>
            <w:pPr>
              <w:spacing w:before="40" w:after="0"/>
              <w:jc w:val="center"/>
            </w:pPr>
            <w:r>
              <w:rPr>
                <w:rFonts w:ascii="Times New Roman" w:hAnsi="Times New Roman" w:eastAsia="宋体"/>
                <w:sz w:val="14"/>
              </w:rPr>
              <w:t>fig34　M8 K-Means 分群</w:t>
            </w:r>
          </w:p>
        </w:tc>
        <w:tc>
          <w:tcPr>
            <w:tcW w:type="dxa" w:w="2911"/>
          </w:tcPr>
          <w:p>
            <w:pPr>
              <w:jc w:val="center"/>
            </w:pPr>
            <w:r>
              <w:drawing>
                <wp:inline xmlns:a="http://schemas.openxmlformats.org/drawingml/2006/main" xmlns:pic="http://schemas.openxmlformats.org/drawingml/2006/picture">
                  <wp:extent cx="1565999" cy="977109"/>
                  <wp:docPr id="52" name="Picture 52"/>
                  <wp:cNvGraphicFramePr>
                    <a:graphicFrameLocks noChangeAspect="1"/>
                  </wp:cNvGraphicFramePr>
                  <a:graphic>
                    <a:graphicData uri="http://schemas.openxmlformats.org/drawingml/2006/picture">
                      <pic:pic>
                        <pic:nvPicPr>
                          <pic:cNvPr id="0" name="fig35_repurchase_funnel.png"/>
                          <pic:cNvPicPr/>
                        </pic:nvPicPr>
                        <pic:blipFill>
                          <a:blip r:embed="rId19"/>
                          <a:stretch>
                            <a:fillRect/>
                          </a:stretch>
                        </pic:blipFill>
                        <pic:spPr>
                          <a:xfrm>
                            <a:off x="0" y="0"/>
                            <a:ext cx="1565999" cy="977109"/>
                          </a:xfrm>
                          <a:prstGeom prst="rect"/>
                        </pic:spPr>
                      </pic:pic>
                    </a:graphicData>
                  </a:graphic>
                </wp:inline>
              </w:drawing>
            </w:r>
          </w:p>
          <w:p>
            <w:pPr>
              <w:spacing w:before="40" w:after="0"/>
              <w:jc w:val="center"/>
            </w:pPr>
            <w:r>
              <w:rPr>
                <w:rFonts w:ascii="Times New Roman" w:hAnsi="Times New Roman" w:eastAsia="宋体"/>
                <w:sz w:val="14"/>
              </w:rPr>
              <w:t>fig35　M9 复购漏斗</w:t>
            </w:r>
          </w:p>
        </w:tc>
        <w:tc>
          <w:tcPr>
            <w:tcW w:type="dxa" w:w="2911"/>
          </w:tcPr>
          <w:p>
            <w:pPr>
              <w:jc w:val="center"/>
            </w:pPr>
            <w:r>
              <w:drawing>
                <wp:inline xmlns:a="http://schemas.openxmlformats.org/drawingml/2006/main" xmlns:pic="http://schemas.openxmlformats.org/drawingml/2006/picture">
                  <wp:extent cx="1565999" cy="633830"/>
                  <wp:docPr id="53" name="Picture 53"/>
                  <wp:cNvGraphicFramePr>
                    <a:graphicFrameLocks noChangeAspect="1"/>
                  </wp:cNvGraphicFramePr>
                  <a:graphic>
                    <a:graphicData uri="http://schemas.openxmlformats.org/drawingml/2006/picture">
                      <pic:pic>
                        <pic:nvPicPr>
                          <pic:cNvPr id="0" name="fig36_churn_diagnostics.png"/>
                          <pic:cNvPicPr/>
                        </pic:nvPicPr>
                        <pic:blipFill>
                          <a:blip r:embed="rId20"/>
                          <a:stretch>
                            <a:fillRect/>
                          </a:stretch>
                        </pic:blipFill>
                        <pic:spPr>
                          <a:xfrm>
                            <a:off x="0" y="0"/>
                            <a:ext cx="1565999" cy="633830"/>
                          </a:xfrm>
                          <a:prstGeom prst="rect"/>
                        </pic:spPr>
                      </pic:pic>
                    </a:graphicData>
                  </a:graphic>
                </wp:inline>
              </w:drawing>
            </w:r>
          </w:p>
          <w:p>
            <w:pPr>
              <w:spacing w:before="40" w:after="0"/>
              <w:jc w:val="center"/>
            </w:pPr>
            <w:r>
              <w:rPr>
                <w:rFonts w:ascii="Times New Roman" w:hAnsi="Times New Roman" w:eastAsia="宋体"/>
                <w:sz w:val="14"/>
              </w:rPr>
              <w:t>fig36　M10 流失预警</w:t>
            </w:r>
          </w:p>
        </w:tc>
      </w:tr>
      <w:tr>
        <w:tc>
          <w:tcPr>
            <w:tcW w:type="dxa" w:w="2911"/>
          </w:tcPr>
          <w:p>
            <w:pPr>
              <w:jc w:val="center"/>
            </w:pPr>
            <w:r>
              <w:drawing>
                <wp:inline xmlns:a="http://schemas.openxmlformats.org/drawingml/2006/main" xmlns:pic="http://schemas.openxmlformats.org/drawingml/2006/picture">
                  <wp:extent cx="1565999" cy="989400"/>
                  <wp:docPr id="54" name="Picture 54"/>
                  <wp:cNvGraphicFramePr>
                    <a:graphicFrameLocks noChangeAspect="1"/>
                  </wp:cNvGraphicFramePr>
                  <a:graphic>
                    <a:graphicData uri="http://schemas.openxmlformats.org/drawingml/2006/picture">
                      <pic:pic>
                        <pic:nvPicPr>
                          <pic:cNvPr id="0" name="fig37_churn_value_scatter.png"/>
                          <pic:cNvPicPr/>
                        </pic:nvPicPr>
                        <pic:blipFill>
                          <a:blip r:embed="rId21"/>
                          <a:stretch>
                            <a:fillRect/>
                          </a:stretch>
                        </pic:blipFill>
                        <pic:spPr>
                          <a:xfrm>
                            <a:off x="0" y="0"/>
                            <a:ext cx="1565999" cy="989400"/>
                          </a:xfrm>
                          <a:prstGeom prst="rect"/>
                        </pic:spPr>
                      </pic:pic>
                    </a:graphicData>
                  </a:graphic>
                </wp:inline>
              </w:drawing>
            </w:r>
          </w:p>
          <w:p>
            <w:pPr>
              <w:spacing w:before="40" w:after="0"/>
              <w:jc w:val="center"/>
            </w:pPr>
            <w:r>
              <w:rPr>
                <w:rFonts w:ascii="Times New Roman" w:hAnsi="Times New Roman" w:eastAsia="宋体"/>
                <w:sz w:val="14"/>
              </w:rPr>
              <w:t>fig37　M10 流失预警</w:t>
            </w:r>
          </w:p>
        </w:tc>
        <w:tc>
          <w:tcPr>
            <w:tcW w:type="dxa" w:w="2911"/>
          </w:tcPr>
          <w:p/>
        </w:tc>
        <w:tc>
          <w:tcPr>
            <w:tcW w:type="dxa" w:w="2911"/>
          </w:tcPr>
          <w:p/>
        </w:tc>
      </w:tr>
    </w:tbl>
    <w:p>
      <w:pPr>
        <w:spacing w:line="360" w:lineRule="auto" w:after="80" w:before="0"/>
        <w:jc w:val="both"/>
      </w:pPr>
      <w:r>
        <w:rPr>
          <w:rFonts w:ascii="Times New Roman" w:hAnsi="Times New Roman" w:eastAsia="宋体"/>
          <w:b w:val="0"/>
          <w:color w:val="000000"/>
          <w:sz w:val="24"/>
        </w:rPr>
      </w:r>
    </w:p>
    <w:sectPr w:rsidR="00FC693F" w:rsidRPr="0006063C" w:rsidSect="00034616">
      <w:pgSz w:w="11906" w:h="16838"/>
      <w:pgMar w:top="1417" w:right="1587" w:bottom="130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