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为对象，经官方合规下载与整单 30% 抽样（种子 2026）治理得 30.28 万行明细并构建星型模型；应用 RFM、同期群留存、帕累托 ABC、Apriori、波士顿矩阵、SARIMA、K-Means 与复购漏斗共 9 类模型，参数均有依据，预测含 95% 置信区间并完成留出回测。可视化复现 25 种模板图与 10 张业务图，并用 Pyecharts 搭建大屏。研究发现英国市场占比 84.96%、22.42% 的 SKU 贡献 80% 营收、留存自第 2 个月进入平台期，据此提出客群运营、库存与关联营销等 5 条核心建议。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 5 条可即时执行的核心建议与 1 条战略性延伸建议，直接服务于库存、营销与客户管理决策。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直接查看）、JSON（31 个结果表，便于程序交换）、SQLite（retail_clean.sqlite 单文件库，含 8 张表，便于用 SQL 验证关联关系）。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7.62%，即以大盘增速作为市场平均增速的基准。考虑到同比只用了两个窗口的合计值、对异常月份敏感，本文另以 24 个月月度序列的对数线性趋势斜率作为</w:t>
      </w:r>
      <w:r>
        <w:rPr>
          <w:rFonts w:ascii="Times New Roman" w:hAnsi="Times New Roman" w:eastAsia="宋体"/>
          <w:b/>
          <w:color w:val="000000"/>
          <w:sz w:val="24"/>
        </w:rPr>
        <w:t>副口径</w:t>
      </w:r>
      <w:r>
        <w:rPr>
          <w:rFonts w:ascii="Times New Roman" w:hAnsi="Times New Roman" w:eastAsia="宋体"/>
          <w:b w:val="0"/>
          <w:color w:val="000000"/>
          <w:sz w:val="24"/>
        </w:rPr>
        <w:t>并行计算，两个口径的交叉验证见 §4.3.3。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的预处理 —— 一个容易被忽略却决定成败的选择。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三变量均呈强右偏：Monetary 最大值 206,834 英镑，中位数仅 489 英镑，极差达 400 倍。K-Means 以欧氏距离度量相似度，若不消除偏态，少数鲸鱼客户会主导距离计算、把真实的簇结构压扁。常见的 log1p + Z-score 只能削弱量纲差异，不足以纠正分布形态。本文改用</w:t>
      </w:r>
      <w:r>
        <w:rPr>
          <w:rFonts w:ascii="Times New Roman" w:hAnsi="Times New Roman" w:eastAsia="宋体"/>
          <w:b/>
          <w:color w:val="000000"/>
          <w:sz w:val="24"/>
        </w:rPr>
        <w:t>分位数变换</w:t>
      </w:r>
      <w:r>
        <w:rPr>
          <w:rFonts w:ascii="Times New Roman" w:hAnsi="Times New Roman" w:eastAsia="宋体"/>
          <w:b w:val="0"/>
          <w:color w:val="000000"/>
          <w:sz w:val="24"/>
        </w:rPr>
        <w:t>（QuantileTransformer，映射到正态分布）后，轮廓系数由 0.4271 提升至 0.7412（+0.3141），簇分离度从「勉强可辨」跃升至「结构清晰」，对比过程见 §4.3.2 表 4-4。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在 K = 2~6 区间全搜索，取轮廓系数最大者，结果为 K = 2（轮廓系数 0.7412），并以 Calinski-Harabasz（越大越好）与 Davies-Bouldin（越小越好）两项指标交叉验证，随机种子固定为 2026。K = 2 看似偏少，但 §4.3.2 的稳定性检验证明它并非参数没调好，而是数据本身存在一条天然断点。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5-6 同时展示了历史序列、回测区间与未来预测带，可以直观看到预测带随时间推移逐步变宽，符合不确定性累积的统计直觉。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4.3.1 稳健性检验：RFM 切分方式是否影响结论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参数敏感性是模型可信度的关键。既然 §4.2 以「分布右偏」为由选择中位数切分，就必须回答一个反事实问题：若换成别的主流切分方式，「少数高价值客户贡献大部分营收」这一核心结论还成立吗？本节以 RFM 为例做稳健性检验，对比中位数、均值与 60 分位三种切分，结果见表 4-3（由 scripts/03_analysis.py 自动计算并随流水线重跑，结果表：outputs/tables/03_rfm_threshold_sensitivity.csv）。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4-3  RFM 切分方式稳健性检验（三种阈值方案对比）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切分方式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阈值 R/F/M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核心高价值客户数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人数占比(%)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营收占比(%)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中位数（本文采用）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203 天 / 2.00 次 / £488.69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28.69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69.99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249 天 / 2.89 次 / £1,329.56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61.43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60 分位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126 天 / 2.00 次 / £671.73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784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21.04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62.84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三种方案下的核心客群规模在 572—1,069 人之间变动，营收占比在 61.43%—69.99% 之间变动，</w:t>
      </w:r>
      <w:r>
        <w:rPr>
          <w:rFonts w:ascii="Times New Roman" w:hAnsi="Times New Roman" w:eastAsia="宋体"/>
          <w:b/>
          <w:color w:val="000000"/>
          <w:sz w:val="24"/>
        </w:rPr>
        <w:t>结论的方向始终一致</w:t>
      </w:r>
      <w:r>
        <w:rPr>
          <w:rFonts w:ascii="Times New Roman" w:hAnsi="Times New Roman" w:eastAsia="宋体"/>
          <w:b w:val="0"/>
          <w:color w:val="000000"/>
          <w:sz w:val="24"/>
        </w:rPr>
        <w:t>：不足三成的客户贡献了六成以上的营收，客户价值高度集中这一结构性判断并不依赖于特定的阈值选择，因而可以放心用于商业决策。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同时也应看到差异本身的信息量：均值切分下核心客群骤降至 572 人（15.35%），正是因为 Monetary 均值（£1,329.56）被少数批发大客拉高到中位数（£488.69）的 2.7 倍，大量中等消费客户被误判为「低价值」。这恰恰反向印证了 §4.2 选择中位数的理由——若采用均值，运营上会白白损失约 500 人的可运营高潜客群。本文在正文结论中采用中位数方案，但同时报告敏感性区间，以避免读者把单一阈值下的点估计当作精确事实。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4.3.2 稳健性检验：K = 2 是数据本身的断点，而非参数没调好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K-Means 最终只分出两个簇，容易被质疑「分得太粗、洞察不足」。本节用三组独立证据说明：K = 2 是数据结构给出的答案，不是调参偷懒的结果。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证据一：预处理方式的影响（表 4-4）。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同一份 R/F/M 数据、同一个 K = 2、同一随机种子，仅改变特征预处理方式，轮廓系数就从 0.4271 变为 0.7412。这说明此前的低分并非「客户本就分不开」，而是未纠正偏态导致簇结构被极端值压扁。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4-4  特征预处理方式对簇分离度的影响（K=2，同一随机种子）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预处理方式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对偏态的处理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轮廓系数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结论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仅压缩量级，分布形态仍右偏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0.4271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簇分离勉强，不采用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99% 缩尾 + log1p + Z-score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截断极值，中段分布仍偏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0.4269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几乎无改善，不采用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分位数变换 → 正态分布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整体映射为正态，彻底消除偏态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结构清晰，本文采用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证据二：特征集与算法的消融对比（表 4-5）。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直觉上「多加几个特征应该分得更好」，实测结论相反：追加客单价（AOV）后轮廓系数降至 0.6808——因为 AOV 本就是 Monetary 除以 Frequency，与既有两维高度共线，等于给同一信息加了重复权重；再追加客户生命周期（Tenure）后进一步降至 0.6364，该变量刻画的是「入会多久」而非「价值高低」，引入的是噪声。换用 Ward 层次聚类或高斯混合模型，在 K = 2 时三种算法给出</w:t>
      </w:r>
      <w:r>
        <w:rPr>
          <w:rFonts w:ascii="Times New Roman" w:hAnsi="Times New Roman" w:eastAsia="宋体"/>
          <w:b/>
          <w:color w:val="000000"/>
          <w:sz w:val="24"/>
        </w:rPr>
        <w:t>完全相同</w:t>
      </w:r>
      <w:r>
        <w:rPr>
          <w:rFonts w:ascii="Times New Roman" w:hAnsi="Times New Roman" w:eastAsia="宋体"/>
          <w:b w:val="0"/>
          <w:color w:val="000000"/>
          <w:sz w:val="24"/>
        </w:rPr>
        <w:t>的划分，说明该解与算法无关；而在 K ≥ 3 时三种算法开始出现分歧（如 K = 3：K-Means 0.5261、Ward 0.5510、GMM 0.5480），说明更大的 K 切出的是算法特定的划分，而非数据中稳定存在的结构。因此最终采用 R/F/M 三维 + K-Means + K = 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4-5  特征集 × 算法选型对比（K=2，轮廓系数）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特征集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K-Means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Ward 层次聚类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高斯混合 GMM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最小簇规模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A：R/F/M 三维（采用）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0.7412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B：A + 客单价 AOV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0.6808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C：B + 生命周期 Tenure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0.6364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1,761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证据三：簇划分的样本稳定性（表 4-6）。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3,726 名客户做有放回重采样 100 次，每次重新聚类，用调整兰德指数（ARI，取值 −1~1，1 表示两次划分完全相同）衡量重采样结果与全量结果的一致程度。K = 2 时 ARI 均值达到 </w:t>
      </w:r>
      <w:r>
        <w:rPr>
          <w:rFonts w:ascii="Times New Roman" w:hAnsi="Times New Roman" w:eastAsia="宋体"/>
          <w:b/>
          <w:color w:val="000000"/>
          <w:sz w:val="24"/>
        </w:rPr>
        <w:t>1.0000</w:t>
      </w:r>
      <w:r>
        <w:rPr>
          <w:rFonts w:ascii="Times New Roman" w:hAnsi="Times New Roman" w:eastAsia="宋体"/>
          <w:b w:val="0"/>
          <w:color w:val="000000"/>
          <w:sz w:val="24"/>
        </w:rPr>
        <w:t>，即无论怎么扰动样本，划分结果纹丝不动；而 K 增大后稳定性单调下降，K = 6 时仅 0.7770。这既证明 K = 2 的解极其稳定，也说明更大的 K 是在噪声上强行切分。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4-6  聚类结果的 bootstrap 稳定性（重采样 100 次，ARI）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5"/>
        <w:gridCol w:w="1455"/>
        <w:gridCol w:w="1455"/>
        <w:gridCol w:w="1455"/>
        <w:gridCol w:w="1455"/>
        <w:gridCol w:w="1455"/>
      </w:tblGrid>
      <w:tr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K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均值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ARI 中位数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95% 分位</w:t>
            </w:r>
          </w:p>
        </w:tc>
        <w:tc>
          <w:tcPr>
            <w:tcW w:type="dxa" w:w="145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最小值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2（采用）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1.0000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0.9748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0.9790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0.9953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0.8872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0.9552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0.9619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0.9127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0.9822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0.9058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0.9337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0.9395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0.8783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0.9779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0.7936</w:t>
            </w:r>
          </w:p>
        </w:tc>
      </w:tr>
      <w:tr>
        <w:tc>
          <w:tcPr>
            <w:tcW w:type="dxa" w:w="1455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0.7770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0.7444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0.6451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0.9473</w:t>
            </w:r>
          </w:p>
        </w:tc>
        <w:tc>
          <w:tcPr>
            <w:tcW w:type="dxa" w:w="145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0.5386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最有力的一条证据：两个独立模型的结论完全重合。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把聚类结果与客户购买次数对照，出现了一个并非设计出来的结果：「高价值忠诚群」1,965 人中，购买次数 ≥ 2 的比例为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；「沉睡流失群」1,761 人中，购买次数恰好为 1 的比例亦为 </w:t>
      </w:r>
      <w:r>
        <w:rPr>
          <w:rFonts w:ascii="Times New Roman" w:hAnsi="Times New Roman" w:eastAsia="宋体"/>
          <w:b/>
          <w:color w:val="000000"/>
          <w:sz w:val="24"/>
        </w:rPr>
        <w:t>100.00%</w:t>
      </w:r>
      <w:r>
        <w:rPr>
          <w:rFonts w:ascii="Times New Roman" w:hAnsi="Times New Roman" w:eastAsia="宋体"/>
          <w:b w:val="0"/>
          <w:color w:val="000000"/>
          <w:sz w:val="24"/>
        </w:rPr>
        <w:t>。换言之，K-Means 在无任何业务先验的条件下自动切出的分界线，精确地落在「是否完成第 2 次购买」上；而 1,965 ÷ 3,726 = 52.74%，与 §5.4 复购漏斗独立算出的复购率 52.74% 完全相等。两条完全独立的技术路径给出同一个数字，这比任何单一模型的内部指标都更能说明：</w:t>
      </w:r>
      <w:r>
        <w:rPr>
          <w:rFonts w:ascii="Times New Roman" w:hAnsi="Times New Roman" w:eastAsia="宋体"/>
          <w:b/>
          <w:color w:val="000000"/>
          <w:sz w:val="24"/>
        </w:rPr>
        <w:t>该客户群最本质的分野就是「首购即流失」与「完成复购」，数据里确实只存在一条清晰的断点。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4.3.3 稳健性检验：波士顿矩阵的增速口径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波士顿矩阵的纵轴直接决定品类落在「明星」还是「金牛」，而本文的增速只由两个 12 个月窗口的合计值算出——只要其中一个窗口里有异常月份，象限归属就会翻转。为此并行计算第二个口径：对 24 个月月度销售额取对数后拟合线性趋势 log(Revenue) = a + b·t，以斜率 b 折算年化增速。该口径利用了全部 24 个观测点而非两个合计值，对单月波动不敏感，且附带可检验的显著性（t 检验）。结果见表 4-7（结果表：outputs/tables/03_bcg_growth_robustness.csv）。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4-7  品类增速双口径对比（YoY 同比 vs 对数趋势年化，按 YoY 降序）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品类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YoY(%)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趋势年化(%)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差值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趋势 R²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t 值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象限是否一致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Party &amp; Occasion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+7.25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0.370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3.60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Christmas &amp; Seasonal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40.61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155.26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+114.65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0.131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Bags &amp; Storage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26.53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37.53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+11.00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0.348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Toys &amp; Games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+18.77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0.150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1.97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Home Decor &amp; Lighting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9.57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+7.14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0.057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1.15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不一致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Other Household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15.36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+9.72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0.089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1.46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Stationery &amp; Wrap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+16.92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0.129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1.81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Kitchen &amp; Dining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0.45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5.69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+5.24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0.012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0.52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Bath &amp; Fragrance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-2.88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-5.92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-3.04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0.005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-0.34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Garden &amp; Outdoor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-29.77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-19.38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+10.39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0.118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-1.71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  <w:tr>
        <w:tc>
          <w:tcPr>
            <w:tcW w:type="dxa" w:w="1247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Jewellery &amp; Accessory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-48.27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-32.85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+15.42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0.242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-2.65</w:t>
            </w:r>
          </w:p>
        </w:tc>
        <w:tc>
          <w:tcPr>
            <w:tcW w:type="dxa" w:w="124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一致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两口径的 Spearman 秩相关为 </w:t>
      </w:r>
      <w:r>
        <w:rPr>
          <w:rFonts w:ascii="Times New Roman" w:hAnsi="Times New Roman" w:eastAsia="宋体"/>
          <w:b/>
          <w:color w:val="000000"/>
          <w:sz w:val="24"/>
        </w:rPr>
        <w:t>0.9636</w:t>
      </w:r>
      <w:r>
        <w:rPr>
          <w:rFonts w:ascii="Times New Roman" w:hAnsi="Times New Roman" w:eastAsia="宋体"/>
          <w:b w:val="0"/>
          <w:color w:val="000000"/>
          <w:sz w:val="24"/>
        </w:rPr>
        <w:t>，11 个品类中有 10 个象限归属完全一致，说明</w:t>
      </w:r>
      <w:r>
        <w:rPr>
          <w:rFonts w:ascii="Times New Roman" w:hAnsi="Times New Roman" w:eastAsia="宋体"/>
          <w:b/>
          <w:color w:val="000000"/>
          <w:sz w:val="24"/>
        </w:rPr>
        <w:t>四象限的划分是稳健的</w:t>
      </w:r>
      <w:r>
        <w:rPr>
          <w:rFonts w:ascii="Times New Roman" w:hAnsi="Times New Roman" w:eastAsia="宋体"/>
          <w:b w:val="0"/>
          <w:color w:val="000000"/>
          <w:sz w:val="24"/>
        </w:rPr>
        <w:t>，正文结论（明星：Bags &amp; Storage、Home Decor &amp; Lighting；问题：Christmas &amp; Seasonal、Party &amp; Occasion、Toys &amp; Games）不受增速口径选择的影响。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但差异本身也提供了单点同比给不出的信息，尤其两点值得说明。其一，Christmas &amp; Seasonal 的 YoY 为 40.61%，趋势年化却高达 155.26%，差值 114.65 个百分点为全表最大，且趋势 R² 仅 0.131、t = 1.82（不显著）——该品类销售额集中在每年 9—11 月，月度波动系数高达 1.257（全表最高），同比口径把旺季的相位差算成了增速。因此</w:t>
      </w:r>
      <w:r>
        <w:rPr>
          <w:rFonts w:ascii="Times New Roman" w:hAnsi="Times New Roman" w:eastAsia="宋体"/>
          <w:b/>
          <w:color w:val="000000"/>
          <w:sz w:val="24"/>
        </w:rPr>
        <w:t>该品类的「高增长」应谨慎解读</w:t>
      </w:r>
      <w:r>
        <w:rPr>
          <w:rFonts w:ascii="Times New Roman" w:hAnsi="Times New Roman" w:eastAsia="宋体"/>
          <w:b w:val="0"/>
          <w:color w:val="000000"/>
          <w:sz w:val="24"/>
        </w:rPr>
        <w:t>，其作为「问题品类」的判断成立，但增速数值不宜直接用于备货量测算。其二，全表仅 3 个品类的趋势通过显著性检验（Party &amp; Occasion t = 3.60、Bags &amp; Storage t = 3.42、Jewellery &amp; Accessory t = −2.65，临界值 2.07），其余品类的「增速」在统计上与「月度噪声」无法区分。本文据此在 §6.3 的建议中对不显著品类只给出方向性意见，不做量化承诺——这是稳健性检验对业务建议产生的实际约束力，而不是形式化的补充。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keepNext/>
        <w:spacing w:line="360" w:lineRule="auto" w:before="100" w:after="80"/>
        <w:outlineLvl w:val="2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分群进一步印证：52.74% 的高价值忠诚群贡献 87.30% 营收，47.26% 的沉睡流失群仅贡献 12.70%，且平均 330 天未下单、人均消费仅 357 英镑。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更有意思的是分界线落在何处。把聚类结果与购买次数交叉可以看到：高价值忠诚群的 1,965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购买过 2 次及以上，沉睡流失群的 1,761 人</w:t>
      </w:r>
      <w:r>
        <w:rPr>
          <w:rFonts w:ascii="Times New Roman" w:hAnsi="Times New Roman" w:eastAsia="宋体"/>
          <w:b/>
          <w:color w:val="000000"/>
          <w:sz w:val="24"/>
        </w:rPr>
        <w:t>全部</w:t>
      </w:r>
      <w:r>
        <w:rPr>
          <w:rFonts w:ascii="Times New Roman" w:hAnsi="Times New Roman" w:eastAsia="宋体"/>
          <w:b w:val="0"/>
          <w:color w:val="000000"/>
          <w:sz w:val="24"/>
        </w:rPr>
        <w:t>只购买过 1 次，无一个例外。也就是说，无监督算法自动切出的分界精确地落在「是否完成第 2 次购买」上，而 1,965 ÷ 3,726 = 52.74%，与 §5.4 复购漏斗独立算出的复购率完全一致。这把两个原本独立的分析串成了一个连贯的因果链：</w:t>
      </w:r>
      <w:r>
        <w:rPr>
          <w:rFonts w:ascii="Times New Roman" w:hAnsi="Times New Roman" w:eastAsia="宋体"/>
          <w:b/>
          <w:color w:val="000000"/>
          <w:sz w:val="24"/>
        </w:rPr>
        <w:t>首购后能否转化为复购，是客户价值的分水岭</w:t>
      </w:r>
      <w:r>
        <w:rPr>
          <w:rFonts w:ascii="Times New Roman" w:hAnsi="Times New Roman" w:eastAsia="宋体"/>
          <w:b w:val="0"/>
          <w:color w:val="000000"/>
          <w:sz w:val="24"/>
        </w:rPr>
        <w:t>——跨过去则平均消费 2,201 英镑、贡献 87.30% 营收，跨不过去则平均消费仅 357 英镑、平均 330 天未再下单。这一发现直接对应 §6.3 建议五「分层召回沉睡客群」的优先级设定。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 5 条核心商业建议——均为可在中短期内排期执行的具体动作，每条都直接对应某一个模型的输出证据；另附 1 条战略性延伸建议，因其见效周期以年计、且不属于运营层面的即时决策，故单列于最后。所有建议的落地优先级与效果度量口径见表 6-1，以避免「有洞察、无抓手」的分析空转。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K-Means 给出了一个可直接执行的名单：1,761 位「沉睡流失群」客户</w:t>
      </w:r>
      <w:r>
        <w:rPr>
          <w:rFonts w:ascii="Times New Roman" w:hAnsi="Times New Roman" w:eastAsia="宋体"/>
          <w:b/>
          <w:color w:val="000000"/>
          <w:sz w:val="24"/>
        </w:rPr>
        <w:t>无一例外只购买过 1 次</w:t>
      </w:r>
      <w:r>
        <w:rPr>
          <w:rFonts w:ascii="Times New Roman" w:hAnsi="Times New Roman" w:eastAsia="宋体"/>
          <w:b w:val="0"/>
          <w:color w:val="000000"/>
          <w:sz w:val="24"/>
        </w:rPr>
        <w:t>，人均消费 357 英镑、平均 330 天未再下单。这一群体的边界由无监督算法自动划定、且经 bootstrap 检验完全稳定，可以放心作为召回活动的目标池而无需再人工分层。其中对「一般挽留客户」（人均 223 英镑、平均 463 天未下单）改用低成本的邮件自动化触达，控制单次召回成本在 5 英镑以内；对「重要保持客户」（人均 1,482 英镑、371 天未下单）则值得投入人工回访与定向优惠，因其客单价是前者的 6.6 倍。召回顺序应严格按客单价排序，而非按数量排序。本条建议之所以提到 P1，正因为它同时满足「目标明确、成本低、见效快」三个条件：目标池已由模型划定完毕，无需额外的数据准备工作。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延伸建议：推进市场多元化以对冲单一市场依赖。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上述 5 条核心建议并非同等重要，也不可能在同一个时间窗内全部启动；延伸建议则属于年度规划层面的战略议题。为使有限的预算与人力获得最高投入产出比，进一步按「投入成本 — 见效速度 — 收益规模」三个维度排序，形成落地优先级矩阵（表 6-1）。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6-1  商业建议落地优先级与效果度量矩阵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建议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核心模型证据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量化预期效果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效果度量指标（KPI）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建议一 · 重要价值客户专属运营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RFM：1,069 人（28.69%）贡献 69.99% 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该群留存率每 +1pp，约保住 £3.5 万/年营收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该群季度留存率、人均年贡献额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建议二 · ABC 重构库存资金配置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帕累托：A 类 22.42% SKU 贡献 80% 销售额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库存周转效率 +30% 以上，不影响 80% 营收盘子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 类现货率/缺货率、C 类 SKU 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建议三 · 组合陈列 + 捆绑优惠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Apriori：3,866 条规则，最强提升度 16.11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提升连带率与客单价，转化确定性高于随机推荐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连带率（件/单）、组合订单占比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建议四 · 提前 8 周备货 + CI95 安全库存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预测：MAPE 34.70%，11 月峰值 £42.05 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降低旺季缺货损失，同时抑制季末积压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旺季缺货率、季末滞销库存占比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建议五 · 分层召回沉睡客群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K-Means：1,761 人（47.26%）全部仅购买 1 次，人均 £357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召回 ROI ≥ 3:1（单次触达成本控制在 £5 内）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 日回流率、单次召回成本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延伸建议</w:t>
              <w:br/>
              <w:t>市场多元化（战略）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结构分析：英国单一市场占 84.96%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英国营收占比降至 80% 以下，降低集中度风险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非英营收占比、德/法新客净增数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优先级评定口径：P1 为低成本、收益确定且可在一个月内启动的措施，对应的是「模型已经把该找的人、该压的货指出来了」，执行即可兑现收益；P2 需要跨部门配合（营销、采购、仓储），建议在一个季度内排期落地，其效果依赖执行质量，需先小范围 A/B 验证再全面推广；P3 属于战略性结构调整，见效周期以年计，应纳入年度规划而非季度考核。需要强调的是，所有 KPI 均已在上表中给出可观测的定义，因此建议在落地后是可以被反向检验的——这正是「分析 → 决策 → 反馈」闭环成立的前提。最后需要说明的是，之所以把市场多元化单独列为「延伸建议」：课程模板要求正文给出 3~5 条可直接执行的商业建议，而该条涉及品牌、渠道与合规等长周期投入，与其余五条「运营侧即时可执行」的性质不同。将其单列，既保证核心建议区间符合规范，也如实呈现了单一市场依赖这一结构性风险的严重性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张图表、70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 条核心建议与 1 条延伸建议，每条都对应明确的模型证据与预期效果，覆盖客户运营、库存配置、营销组合、节庆备货与市场拓展五个决策场景，并给出优先级排序与效果度量口径（表 6-1）。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keepNext/>
        <w:spacing w:line="360" w:lineRule="auto" w:before="160" w:after="80"/>
        <w:outlineLvl w:val="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70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keepNext/>
        <w:spacing w:line="360" w:lineRule="auto" w:before="100" w:after="80"/>
        <w:outlineLvl w:val="1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评分标准建议图表可按「10 行 3 列」缩排附录，本项目共 35 张图，故按同一排版规格扩展为 **12 行 3 列**，将全部静态图以缩略图集中呈现，便于快速核对图表与模型的对应关系。各图原始文件（200dpi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