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8 类模型，参数有业务依据，预测含 95% 置信区间并完成留出回测。可视化环节复现 23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8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对教学：形成一套从合规取数到可视化呈现的完整教学案例，8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8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23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模板复现清单（23 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复现的图表类型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对应编号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比较类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柱形图、条形图、堆积柱形图、百分比堆积柱形图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fig04,05,07,08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构成类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环形图、矩形树图、玫瑰图、词云图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fig06,23,20,24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折线图、面积图、多重折线图（移动平均）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fig02,03,25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直方图、箱线图、小提琴图、散点图、气泡图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fig11,12,22,09,10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关系类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雷达图、日历热力图、热力图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fig14,17,13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进度类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仪表盘、子弹图、瀑布图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fig16,21,15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变化类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双轴组合图、三轴组合图、坡度图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fig19,01,18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0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6 个脚本串联成流水线，随机种子固定为 2026，任何人克隆仓库后执行 python run_all.py 即可重新生成 35 张图表、69 张结果表与交互大屏，这在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。8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8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69 个结果表（CSV + JSON）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按评分标准「图表可按 10 行 3 列缩排附录」的要求，将 35 张静态图以缩略图形式集中呈现，便于快速核对图表与模型的对应关系。各图原始文件（200dpi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10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1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