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>
      <w:pPr>
        <w:spacing w:after="560"/>
        <w:jc w:val="center"/>
      </w:pPr>
      <w:r>
        <w:rPr>
          <w:rFonts w:ascii="Times New Roman" w:hAnsi="Times New Roman" w:eastAsia="黑体"/>
          <w:b/>
          <w:color w:val="000000"/>
          <w:sz w:val="32"/>
        </w:rPr>
        <w:t>《零售交易数据的用户价值与品类结构分析》</w:t>
      </w:r>
    </w:p>
    <w:p>
      <w:pPr>
        <w:spacing w:after="120"/>
        <w:jc w:val="center"/>
      </w:pPr>
      <w:r>
        <w:rPr>
          <w:rFonts w:ascii="Times New Roman" w:hAnsi="Times New Roman" w:eastAsia="宋体"/>
          <w:color w:val="000000"/>
          <w:sz w:val="21"/>
        </w:rPr>
        <w:t>学　　院：数据科学学院</w:t>
      </w:r>
    </w:p>
    <w:p>
      <w:pPr>
        <w:spacing w:after="120"/>
        <w:jc w:val="center"/>
      </w:pPr>
      <w:r>
        <w:rPr>
          <w:rFonts w:ascii="Times New Roman" w:hAnsi="Times New Roman" w:eastAsia="宋体"/>
          <w:color w:val="000000"/>
          <w:sz w:val="21"/>
        </w:rPr>
        <w:t>专业班级：数据科学与大数据技术 大数据241班</w:t>
      </w:r>
    </w:p>
    <w:p>
      <w:pPr>
        <w:spacing w:after="120"/>
        <w:jc w:val="center"/>
      </w:pPr>
      <w:r>
        <w:rPr>
          <w:rFonts w:ascii="Times New Roman" w:hAnsi="Times New Roman" w:eastAsia="宋体"/>
          <w:color w:val="000000"/>
          <w:sz w:val="21"/>
        </w:rPr>
        <w:t>学　　号：2024459985127</w:t>
      </w:r>
    </w:p>
    <w:p>
      <w:pPr>
        <w:spacing w:after="120"/>
        <w:jc w:val="center"/>
      </w:pPr>
      <w:r>
        <w:rPr>
          <w:rFonts w:ascii="Times New Roman" w:hAnsi="Times New Roman" w:eastAsia="宋体"/>
          <w:color w:val="000000"/>
          <w:sz w:val="21"/>
        </w:rPr>
        <w:t>姓　　名：秦子睿</w:t>
      </w:r>
    </w:p>
    <w:p>
      <w:pPr>
        <w:spacing w:after="120"/>
        <w:jc w:val="center"/>
      </w:pPr>
      <w:r>
        <w:rPr>
          <w:rFonts w:ascii="Times New Roman" w:hAnsi="Times New Roman" w:eastAsia="宋体"/>
          <w:color w:val="000000"/>
          <w:sz w:val="21"/>
        </w:rPr>
        <w:t>组员分工：独立完成（全流程：数据获取、清洗治理、模型建模、可视化、大屏搭建、论文撰写）</w:t>
      </w:r>
    </w:p>
    <w:p>
      <w:pPr>
        <w:spacing w:after="120"/>
        <w:jc w:val="center"/>
      </w:pPr>
      <w:r>
        <w:rPr>
          <w:rFonts w:ascii="Times New Roman" w:hAnsi="Times New Roman" w:eastAsia="宋体"/>
          <w:color w:val="000000"/>
          <w:sz w:val="21"/>
        </w:rPr>
        <w:t>完成日期：2026 年 10 月</w:t>
      </w:r>
    </w:p>
    <w:p/>
    <w:p/>
    <w:p/>
    <w:p>
      <w:pPr>
        <w:spacing w:after="80"/>
        <w:jc w:val="center"/>
      </w:pPr>
      <w:r>
        <w:rPr>
          <w:rFonts w:ascii="Times New Roman" w:hAnsi="Times New Roman" w:eastAsia="黑体"/>
          <w:b/>
          <w:color w:val="000000"/>
          <w:sz w:val="24"/>
        </w:rPr>
        <w:t>《商业数据分析》期末大作业评分表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911"/>
        <w:gridCol w:w="2911"/>
        <w:gridCol w:w="2911"/>
      </w:tblGrid>
      <w:tr>
        <w:tc>
          <w:tcPr>
            <w:tcW w:type="dxa" w:w="2608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color w:val="000000"/>
                <w:sz w:val="18"/>
              </w:rPr>
              <w:t>评分维度</w:t>
            </w:r>
          </w:p>
        </w:tc>
        <w:tc>
          <w:tcPr>
            <w:tcW w:type="dxa" w:w="5443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color w:val="000000"/>
                <w:sz w:val="18"/>
              </w:rPr>
              <w:t>评分要点（子项及分值）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color w:val="000000"/>
                <w:sz w:val="18"/>
              </w:rPr>
              <w:t>得分</w:t>
            </w:r>
          </w:p>
        </w:tc>
      </w:tr>
      <w:tr>
        <w:tc>
          <w:tcPr>
            <w:tcW w:type="dxa" w:w="2608"/>
          </w:tcPr>
          <w:p>
            <w:pPr>
              <w:spacing w:after="20"/>
            </w:pPr>
            <w:r/>
            <w:r>
              <w:rPr>
                <w:rFonts w:ascii="Times New Roman" w:hAnsi="Times New Roman" w:eastAsia="宋体"/>
                <w:color w:val="000000"/>
                <w:sz w:val="17"/>
              </w:rPr>
              <w:t>1. 数据获取合规性与清洗质量（15 分）</w:t>
            </w:r>
          </w:p>
        </w:tc>
        <w:tc>
          <w:tcPr>
            <w:tcW w:type="dxa" w:w="5443"/>
          </w:tcPr>
          <w:p>
            <w:pPr>
              <w:spacing w:after="20"/>
            </w:pPr>
            <w:r/>
            <w:r>
              <w:rPr>
                <w:rFonts w:ascii="Times New Roman" w:hAnsi="Times New Roman" w:eastAsia="宋体"/>
                <w:color w:val="000000"/>
                <w:sz w:val="17"/>
              </w:rPr>
              <w:t>① 来源合规、白名单方式、合规声明完整（5）；② 数据量达标、抽样方法与随机种子说明（4）；③ 清洗完整、异常/缺失/重复处理、多表对齐（4）；④ 可导出 CSV/JSON/SQLite 复用（2）</w:t>
            </w:r>
          </w:p>
        </w:tc>
        <w:tc>
          <w:tcPr>
            <w:tcW w:type="dxa" w:w="907"/>
          </w:tcPr>
          <w:p>
            <w:pPr>
              <w:spacing w:after="20"/>
            </w:pPr>
            <w:r/>
          </w:p>
        </w:tc>
      </w:tr>
      <w:tr>
        <w:tc>
          <w:tcPr>
            <w:tcW w:type="dxa" w:w="2608"/>
          </w:tcPr>
          <w:p>
            <w:pPr>
              <w:spacing w:after="20"/>
            </w:pPr>
            <w:r/>
            <w:r>
              <w:rPr>
                <w:rFonts w:ascii="Times New Roman" w:hAnsi="Times New Roman" w:eastAsia="宋体"/>
                <w:color w:val="000000"/>
                <w:sz w:val="17"/>
              </w:rPr>
              <w:t>2. 商业分析模型应用深度（20 分）</w:t>
            </w:r>
          </w:p>
        </w:tc>
        <w:tc>
          <w:tcPr>
            <w:tcW w:type="dxa" w:w="5443"/>
          </w:tcPr>
          <w:p>
            <w:pPr>
              <w:spacing w:after="20"/>
            </w:pPr>
            <w:r/>
            <w:r>
              <w:rPr>
                <w:rFonts w:ascii="Times New Roman" w:hAnsi="Times New Roman" w:eastAsia="宋体"/>
                <w:color w:val="000000"/>
                <w:sz w:val="17"/>
              </w:rPr>
              <w:t>① 模型 ≥3 种、选型与场景匹配（6）；② 计算正确、参数与阈值有业务依据（6）；③ 预测类含置信区间与回测误差（4）；④ 结论与模型一一对应（4）</w:t>
            </w:r>
          </w:p>
        </w:tc>
        <w:tc>
          <w:tcPr>
            <w:tcW w:type="dxa" w:w="907"/>
          </w:tcPr>
          <w:p>
            <w:pPr>
              <w:spacing w:after="20"/>
            </w:pPr>
            <w:r/>
          </w:p>
        </w:tc>
      </w:tr>
      <w:tr>
        <w:tc>
          <w:tcPr>
            <w:tcW w:type="dxa" w:w="2608"/>
          </w:tcPr>
          <w:p>
            <w:pPr>
              <w:spacing w:after="20"/>
            </w:pPr>
            <w:r/>
            <w:r>
              <w:rPr>
                <w:rFonts w:ascii="Times New Roman" w:hAnsi="Times New Roman" w:eastAsia="宋体"/>
                <w:color w:val="000000"/>
                <w:sz w:val="17"/>
              </w:rPr>
              <w:t>3. 可视化复现与大屏质量（25 分）</w:t>
            </w:r>
          </w:p>
        </w:tc>
        <w:tc>
          <w:tcPr>
            <w:tcW w:type="dxa" w:w="5443"/>
          </w:tcPr>
          <w:p>
            <w:pPr>
              <w:spacing w:after="20"/>
            </w:pPr>
            <w:r/>
            <w:r>
              <w:rPr>
                <w:rFonts w:ascii="Times New Roman" w:hAnsi="Times New Roman" w:eastAsia="宋体"/>
                <w:color w:val="000000"/>
                <w:sz w:val="17"/>
              </w:rPr>
              <w:t>① 图表 ≥10 张、类别覆盖全面（6）；② 模板复现 ≥10 种、风格细节贴近原作（7）；③ 业务模型图 ≥6 张（6）；④ 交互大屏 ≥1 个、组件 ≥6、有联动（6）</w:t>
            </w:r>
          </w:p>
        </w:tc>
        <w:tc>
          <w:tcPr>
            <w:tcW w:type="dxa" w:w="907"/>
          </w:tcPr>
          <w:p>
            <w:pPr>
              <w:spacing w:after="20"/>
            </w:pPr>
            <w:r/>
          </w:p>
        </w:tc>
      </w:tr>
      <w:tr>
        <w:tc>
          <w:tcPr>
            <w:tcW w:type="dxa" w:w="2608"/>
          </w:tcPr>
          <w:p>
            <w:pPr>
              <w:spacing w:after="20"/>
            </w:pPr>
            <w:r/>
            <w:r>
              <w:rPr>
                <w:rFonts w:ascii="Times New Roman" w:hAnsi="Times New Roman" w:eastAsia="宋体"/>
                <w:color w:val="000000"/>
                <w:sz w:val="17"/>
              </w:rPr>
              <w:t>4. 代码规范性与文档完整性（10 分）</w:t>
            </w:r>
          </w:p>
        </w:tc>
        <w:tc>
          <w:tcPr>
            <w:tcW w:type="dxa" w:w="5443"/>
          </w:tcPr>
          <w:p>
            <w:pPr>
              <w:spacing w:after="20"/>
            </w:pPr>
            <w:r/>
            <w:r>
              <w:rPr>
                <w:rFonts w:ascii="Times New Roman" w:hAnsi="Times New Roman" w:eastAsia="宋体"/>
                <w:color w:val="000000"/>
                <w:sz w:val="17"/>
              </w:rPr>
              <w:t>① 目录结构清晰、注释充分（3）；② README 详实、依赖明确（3）；③ 可一键复现（2）；④ 图表命名与索引规范（2）</w:t>
            </w:r>
          </w:p>
        </w:tc>
        <w:tc>
          <w:tcPr>
            <w:tcW w:type="dxa" w:w="907"/>
          </w:tcPr>
          <w:p>
            <w:pPr>
              <w:spacing w:after="20"/>
            </w:pPr>
            <w:r/>
          </w:p>
        </w:tc>
      </w:tr>
      <w:tr>
        <w:tc>
          <w:tcPr>
            <w:tcW w:type="dxa" w:w="2608"/>
          </w:tcPr>
          <w:p>
            <w:pPr>
              <w:spacing w:after="20"/>
            </w:pPr>
            <w:r/>
            <w:r>
              <w:rPr>
                <w:rFonts w:ascii="Times New Roman" w:hAnsi="Times New Roman" w:eastAsia="宋体"/>
                <w:color w:val="000000"/>
                <w:sz w:val="17"/>
              </w:rPr>
              <w:t>5. 期末大论文质量（25 分）</w:t>
            </w:r>
          </w:p>
        </w:tc>
        <w:tc>
          <w:tcPr>
            <w:tcW w:type="dxa" w:w="5443"/>
          </w:tcPr>
          <w:p>
            <w:pPr>
              <w:spacing w:after="20"/>
            </w:pPr>
            <w:r/>
            <w:r>
              <w:rPr>
                <w:rFonts w:ascii="Times New Roman" w:hAnsi="Times New Roman" w:eastAsia="宋体"/>
                <w:color w:val="000000"/>
                <w:sz w:val="17"/>
              </w:rPr>
              <w:t>① 题目创新性与针对性（4）；② 摘要与关键词相关性（4）；③ 正文逻辑性与技术深度（10）；④ 商业建议可行性与数据支撑（7）</w:t>
            </w:r>
          </w:p>
        </w:tc>
        <w:tc>
          <w:tcPr>
            <w:tcW w:type="dxa" w:w="907"/>
          </w:tcPr>
          <w:p>
            <w:pPr>
              <w:spacing w:after="20"/>
            </w:pPr>
            <w:r/>
          </w:p>
        </w:tc>
      </w:tr>
      <w:tr>
        <w:tc>
          <w:tcPr>
            <w:tcW w:type="dxa" w:w="2608"/>
          </w:tcPr>
          <w:p>
            <w:pPr>
              <w:spacing w:after="20"/>
            </w:pPr>
            <w:r/>
            <w:r>
              <w:rPr>
                <w:rFonts w:ascii="Times New Roman" w:hAnsi="Times New Roman" w:eastAsia="宋体"/>
                <w:color w:val="000000"/>
                <w:sz w:val="17"/>
              </w:rPr>
              <w:t>6. 创新性与商业洞察深度（5 分）</w:t>
            </w:r>
          </w:p>
        </w:tc>
        <w:tc>
          <w:tcPr>
            <w:tcW w:type="dxa" w:w="5443"/>
          </w:tcPr>
          <w:p>
            <w:pPr>
              <w:spacing w:after="20"/>
            </w:pPr>
            <w:r/>
            <w:r>
              <w:rPr>
                <w:rFonts w:ascii="Times New Roman" w:hAnsi="Times New Roman" w:eastAsia="宋体"/>
                <w:color w:val="000000"/>
                <w:sz w:val="17"/>
              </w:rPr>
              <w:t>① 引入新工具/新方法（2）；② 提出有效商业建议（2）；③ 体现批判性思维（1）</w:t>
            </w:r>
          </w:p>
        </w:tc>
        <w:tc>
          <w:tcPr>
            <w:tcW w:type="dxa" w:w="907"/>
          </w:tcPr>
          <w:p>
            <w:pPr>
              <w:spacing w:after="20"/>
            </w:pPr>
            <w:r/>
          </w:p>
        </w:tc>
      </w:tr>
      <w:tr>
        <w:tc>
          <w:tcPr>
            <w:tcW w:type="dxa" w:w="2608"/>
          </w:tcPr>
          <w:p>
            <w:pPr>
              <w:spacing w:after="20"/>
            </w:pPr>
            <w:r/>
            <w:r>
              <w:rPr>
                <w:rFonts w:ascii="Times New Roman" w:hAnsi="Times New Roman" w:eastAsia="宋体"/>
                <w:color w:val="000000"/>
                <w:sz w:val="17"/>
              </w:rPr>
              <w:t>总　分</w:t>
            </w:r>
          </w:p>
        </w:tc>
        <w:tc>
          <w:tcPr>
            <w:tcW w:type="dxa" w:w="5443"/>
          </w:tcPr>
          <w:p>
            <w:pPr>
              <w:spacing w:after="20"/>
            </w:pPr>
            <w:r/>
            <w:r>
              <w:rPr>
                <w:rFonts w:ascii="Times New Roman" w:hAnsi="Times New Roman" w:eastAsia="宋体"/>
                <w:color w:val="000000"/>
                <w:sz w:val="17"/>
              </w:rPr>
              <w:t>（各维度得分相加）</w:t>
            </w:r>
          </w:p>
        </w:tc>
        <w:tc>
          <w:tcPr>
            <w:tcW w:type="dxa" w:w="907"/>
          </w:tcPr>
          <w:p>
            <w:pPr>
              <w:spacing w:after="20"/>
            </w:pPr>
            <w:r/>
          </w:p>
        </w:tc>
      </w:tr>
    </w:tbl>
    <w:p>
      <w:r>
        <w:br w:type="page"/>
      </w:r>
    </w:p>
    <w:p>
      <w:pPr>
        <w:spacing w:after="120"/>
        <w:jc w:val="center"/>
      </w:pPr>
      <w:r>
        <w:rPr>
          <w:rFonts w:ascii="Times New Roman" w:hAnsi="Times New Roman" w:eastAsia="黑体"/>
          <w:b/>
          <w:color w:val="000000"/>
          <w:sz w:val="32"/>
        </w:rPr>
        <w:t>《零售交易数据的用户价值与品类结构分析》</w:t>
      </w:r>
    </w:p>
    <w:p>
      <w:pPr>
        <w:spacing w:after="40"/>
        <w:jc w:val="center"/>
      </w:pPr>
      <w:r>
        <w:rPr>
          <w:rFonts w:ascii="Times New Roman" w:hAnsi="Times New Roman" w:eastAsia="宋体"/>
          <w:color w:val="000000"/>
          <w:sz w:val="21"/>
        </w:rPr>
        <w:t>秦子睿</w:t>
      </w:r>
    </w:p>
    <w:p>
      <w:pPr>
        <w:spacing w:after="280"/>
        <w:jc w:val="center"/>
      </w:pPr>
      <w:r>
        <w:rPr>
          <w:rFonts w:ascii="Times New Roman" w:hAnsi="Times New Roman" w:eastAsia="宋体"/>
          <w:color w:val="000000"/>
          <w:sz w:val="21"/>
        </w:rPr>
        <w:t>（嘉兴大学　数据科学学院）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黑体"/>
          <w:b/>
          <w:color w:val="000000"/>
          <w:sz w:val="24"/>
        </w:rPr>
        <w:t>摘要：</w:t>
      </w:r>
      <w:r>
        <w:rPr>
          <w:rFonts w:ascii="Times New Roman" w:hAnsi="Times New Roman" w:eastAsia="宋体"/>
          <w:color w:val="000000"/>
          <w:sz w:val="24"/>
        </w:rPr>
        <w:t>本文以 UCI 公开数据集 Online Retail II 为对象，经合规下载与整单 30% 抽样治理得 30.28 万行明细并构建星型模型；应用 RFM、同期群留存、帕累托 ABC、Apriori、波士顿矩阵、SARIMA、K-Means、流失预警与复购漏斗等 10 类模型，预测含 95% 置信区间并留出回测。可视化复现 25 种模板图并搭建 Pyecharts 交互大屏。研究发现英国市场占比 84.96%、22.17% 的 SKU 贡献 80% 营收；流失预警时间外 AUC 0.71—0.74，且一次性客户的流失近乎不可预测，据此提出 5 条核心建议与 1 条战略延伸。</w:t>
      </w:r>
    </w:p>
    <w:p>
      <w:pPr>
        <w:spacing w:line="360" w:lineRule="auto" w:after="280"/>
        <w:ind w:firstLine="480"/>
        <w:jc w:val="both"/>
      </w:pPr>
      <w:r>
        <w:rPr>
          <w:rFonts w:ascii="Times New Roman" w:hAnsi="Times New Roman" w:eastAsia="黑体"/>
          <w:b/>
          <w:color w:val="000000"/>
          <w:sz w:val="24"/>
        </w:rPr>
        <w:t>关键词：</w:t>
      </w:r>
      <w:r>
        <w:rPr>
          <w:rFonts w:ascii="Times New Roman" w:hAnsi="Times New Roman" w:eastAsia="宋体"/>
          <w:color w:val="000000"/>
          <w:sz w:val="24"/>
        </w:rPr>
        <w:t>商业数据分析；RFM 模型；同期群分析；关联规则；Python 可视化</w:t>
      </w:r>
    </w:p>
    <w:p>
      <w:pPr>
        <w:keepNext/>
        <w:spacing w:line="360" w:lineRule="auto" w:before="160" w:after="80"/>
        <w:outlineLvl w:val="0"/>
      </w:pPr>
      <w:r>
        <w:rPr>
          <w:rFonts w:ascii="Times New Roman" w:hAnsi="Times New Roman" w:eastAsia="黑体"/>
          <w:b/>
          <w:color w:val="000000"/>
          <w:sz w:val="28"/>
        </w:rPr>
        <w:t>1 引言</w:t>
      </w:r>
    </w:p>
    <w:p>
      <w:pPr>
        <w:keepNext/>
        <w:spacing w:line="360" w:lineRule="auto" w:before="100" w:after="80"/>
        <w:outlineLvl w:val="1"/>
      </w:pPr>
      <w:r>
        <w:rPr>
          <w:rFonts w:ascii="Times New Roman" w:hAnsi="Times New Roman" w:eastAsia="黑体"/>
          <w:b/>
          <w:color w:val="000000"/>
          <w:sz w:val="24"/>
        </w:rPr>
        <w:t>1.1 研究背景</w:t>
      </w: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在全球跨境电商与礼品家居零售行业，交易系统每时每刻都在产生海量的订单明细数据。这些数据天然具备「高维度、强时间依赖、长尾分布」的特征：单笔交易包含商品、数量、单价、时间戳与客户属地等多个维度，业务口径稍有不统一就会导致分析结论失真。对于以批发分销为主、兼营零售的礼品家居企业而言，管理者面对的核心问题高度一致——有限的库存资金应优先投向哪些 SKU？有限的营销预算应优先维系哪些客户？下一季的销售节奏应如何安排才能既不断货也不积压？这些问题的答案无法从单张报表中直接读出，必须依靠系统化的数据治理与商业分析模型。</w:t>
      </w: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传统上，这类分析多在 Excel 中手工完成。Excel 的长处在于交互灵活、上手门槛低，但其短板同样明显：百万行级明细的透视运算效率低下；RFM 分群、同期群留存、关联规则等模型需要大量辅助列与数组公式，维护成本高且难以复用；图表一旦需要批量更新，就要重复大量手工操作；更关键的是，分析过程无法通过版本管理被他人复现与验证。本次作业正是针对这些痛点，尝试用 Python 技术栈完成端到端的商业数据分析闭环。</w:t>
      </w: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本项目选取 UCI Machine Learning Repository 公开发布的 Online Retail II 数据集作为研究对象。该数据集源自一家英国在线礼品家居零售商的真实交易系统，覆盖 2009 年 12 月至 2011 年 12 月共 25 个月、106.7 万条明细、5.36 万张发票，涵盖 43 个国家的客户与 4,500 余种 SKU，是一份兼具时间跨度、品类广度与地理跨度的优质商业分析样本。</w:t>
      </w:r>
    </w:p>
    <w:p>
      <w:pPr>
        <w:keepNext/>
        <w:spacing w:line="360" w:lineRule="auto" w:before="100" w:after="80"/>
        <w:outlineLvl w:val="1"/>
      </w:pPr>
      <w:r>
        <w:rPr>
          <w:rFonts w:ascii="Times New Roman" w:hAnsi="Times New Roman" w:eastAsia="黑体"/>
          <w:b/>
          <w:color w:val="000000"/>
          <w:sz w:val="24"/>
        </w:rPr>
        <w:t>1.2 研究目的</w:t>
      </w: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本项目希望达成四个层次的目标。第一，在</w:t>
      </w:r>
      <w:r>
        <w:rPr>
          <w:rFonts w:ascii="Times New Roman" w:hAnsi="Times New Roman" w:eastAsia="宋体"/>
          <w:b/>
          <w:color w:val="000000"/>
          <w:sz w:val="24"/>
        </w:rPr>
        <w:t>数据获取层</w:t>
      </w:r>
      <w:r>
        <w:rPr>
          <w:rFonts w:ascii="Times New Roman" w:hAnsi="Times New Roman" w:eastAsia="宋体"/>
          <w:b w:val="0"/>
          <w:color w:val="000000"/>
          <w:sz w:val="24"/>
        </w:rPr>
        <w:t>严格遵循课程白名单要求，不使用任何爬虫技术，完整记录数据来源、获取日期、授权协议与抽样方法，使分析结论可被独立复核。第二，在</w:t>
      </w:r>
      <w:r>
        <w:rPr>
          <w:rFonts w:ascii="Times New Roman" w:hAnsi="Times New Roman" w:eastAsia="宋体"/>
          <w:b/>
          <w:color w:val="000000"/>
          <w:sz w:val="24"/>
        </w:rPr>
        <w:t>数据治理层</w:t>
      </w:r>
      <w:r>
        <w:rPr>
          <w:rFonts w:ascii="Times New Roman" w:hAnsi="Times New Roman" w:eastAsia="宋体"/>
          <w:b w:val="0"/>
          <w:color w:val="000000"/>
          <w:sz w:val="24"/>
        </w:rPr>
        <w:t>建立可审计的清洗流程，把原始扁平明细重构为结构规范的星型模型，让后续每一个指标都有唯一、可追溯的计算口径。</w:t>
      </w: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第三，在</w:t>
      </w:r>
      <w:r>
        <w:rPr>
          <w:rFonts w:ascii="Times New Roman" w:hAnsi="Times New Roman" w:eastAsia="宋体"/>
          <w:b/>
          <w:color w:val="000000"/>
          <w:sz w:val="24"/>
        </w:rPr>
        <w:t>模型应用层</w:t>
      </w:r>
      <w:r>
        <w:rPr>
          <w:rFonts w:ascii="Times New Roman" w:hAnsi="Times New Roman" w:eastAsia="宋体"/>
          <w:b w:val="0"/>
          <w:color w:val="000000"/>
          <w:sz w:val="24"/>
        </w:rPr>
        <w:t>围绕零售业务的真实决策场景，选用 10 类经典商业分析模型，不只给出计算结果，更给出每一个参数与阈值背后的业务理由，并对预测类模型完成置信区间估计与留出回测，避免「看上去很美但经不起检验」的分析。第四，在</w:t>
      </w:r>
      <w:r>
        <w:rPr>
          <w:rFonts w:ascii="Times New Roman" w:hAnsi="Times New Roman" w:eastAsia="宋体"/>
          <w:b/>
          <w:color w:val="000000"/>
          <w:sz w:val="24"/>
        </w:rPr>
        <w:t>呈现层</w:t>
      </w:r>
      <w:r>
        <w:rPr>
          <w:rFonts w:ascii="Times New Roman" w:hAnsi="Times New Roman" w:eastAsia="宋体"/>
          <w:b w:val="0"/>
          <w:color w:val="000000"/>
          <w:sz w:val="24"/>
        </w:rPr>
        <w:t>用 Python 复现《Excel 数据可视化——从图表到数据大屏》中的典型图表模板，并搭建交互式大屏，使分析结论既能以静态图入论文，也能以动态视图支撑业务探索。</w:t>
      </w:r>
    </w:p>
    <w:p>
      <w:pPr>
        <w:keepNext/>
        <w:spacing w:line="360" w:lineRule="auto" w:before="100" w:after="80"/>
        <w:outlineLvl w:val="1"/>
      </w:pPr>
      <w:r>
        <w:rPr>
          <w:rFonts w:ascii="Times New Roman" w:hAnsi="Times New Roman" w:eastAsia="黑体"/>
          <w:b/>
          <w:color w:val="000000"/>
          <w:sz w:val="24"/>
        </w:rPr>
        <w:t>1.3 研究意义</w:t>
      </w: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在方法论层面，本项目验证了「Python 全栈商业分析」相对传统 Excel 分析的替代价值：通过代码固化分析口径，任何人克隆仓库后执行一条命令即可复现全部图表与大屏，这在团队协作与审计场景下具有 Excel 难以比拟的优势。</w:t>
      </w:r>
    </w:p>
    <w:p>
      <w:pPr>
        <w:spacing w:line="360" w:lineRule="auto" w:after="60"/>
        <w:ind w:left="480" w:hanging="240"/>
      </w:pPr>
      <w:r>
        <w:rPr>
          <w:rFonts w:ascii="Times New Roman" w:hAnsi="Times New Roman" w:eastAsia="宋体"/>
          <w:b w:val="0"/>
          <w:color w:val="000000"/>
          <w:sz w:val="24"/>
        </w:rPr>
        <w:t>对业务：将 30 万行明细压缩为 5 条可即时执行的核心建议与 1 条战略性延伸建议，直接服务于库存、营销与客户管理决策。</w:t>
      </w:r>
    </w:p>
    <w:p>
      <w:pPr>
        <w:spacing w:line="360" w:lineRule="auto" w:after="60"/>
        <w:ind w:left="480" w:hanging="240"/>
      </w:pPr>
      <w:r>
        <w:rPr>
          <w:rFonts w:ascii="Times New Roman" w:hAnsi="Times New Roman" w:eastAsia="宋体"/>
          <w:b w:val="0"/>
          <w:color w:val="000000"/>
          <w:sz w:val="24"/>
        </w:rPr>
        <w:t>对教学：形成一套从合规取数到可视化呈现的完整教学案例，10 类模型的参数依据可供对照参考。</w:t>
      </w:r>
    </w:p>
    <w:p>
      <w:pPr>
        <w:spacing w:line="360" w:lineRule="auto" w:after="60"/>
        <w:ind w:left="480" w:hanging="240"/>
      </w:pPr>
      <w:r>
        <w:rPr>
          <w:rFonts w:ascii="Times New Roman" w:hAnsi="Times New Roman" w:eastAsia="宋体"/>
          <w:b w:val="0"/>
          <w:color w:val="000000"/>
          <w:sz w:val="24"/>
        </w:rPr>
        <w:t>对技术：沉淀了一组可复用的图表绘制工具（瀑布图、子弹图、坡度图、矩形树图等），弥补了 Matplotlib 原生不支持这些模板图型的空白。</w:t>
      </w:r>
    </w:p>
    <w:p>
      <w:pPr>
        <w:spacing w:after="0"/>
      </w:pPr>
    </w:p>
    <w:p>
      <w:pPr>
        <w:keepNext/>
        <w:spacing w:line="360" w:lineRule="auto" w:before="160" w:after="80"/>
        <w:outlineLvl w:val="0"/>
      </w:pPr>
      <w:r>
        <w:rPr>
          <w:rFonts w:ascii="Times New Roman" w:hAnsi="Times New Roman" w:eastAsia="黑体"/>
          <w:b/>
          <w:color w:val="000000"/>
          <w:sz w:val="28"/>
        </w:rPr>
        <w:t>2 数据准备与预处理</w:t>
      </w:r>
    </w:p>
    <w:p>
      <w:pPr>
        <w:keepNext/>
        <w:spacing w:line="360" w:lineRule="auto" w:before="100" w:after="80"/>
        <w:outlineLvl w:val="1"/>
      </w:pPr>
      <w:r>
        <w:rPr>
          <w:rFonts w:ascii="Times New Roman" w:hAnsi="Times New Roman" w:eastAsia="黑体"/>
          <w:b/>
          <w:color w:val="000000"/>
          <w:sz w:val="24"/>
        </w:rPr>
        <w:t>2.1 数据源介绍</w:t>
      </w: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 xml:space="preserve">本项目使用的数据集为 </w:t>
      </w:r>
      <w:r>
        <w:rPr>
          <w:rFonts w:ascii="Times New Roman" w:hAnsi="Times New Roman" w:eastAsia="宋体"/>
          <w:b/>
          <w:color w:val="000000"/>
          <w:sz w:val="24"/>
        </w:rPr>
        <w:t>Online Retail II</w:t>
      </w:r>
      <w:r>
        <w:rPr>
          <w:rFonts w:ascii="Times New Roman" w:hAnsi="Times New Roman" w:eastAsia="宋体"/>
          <w:b w:val="0"/>
          <w:color w:val="000000"/>
          <w:sz w:val="24"/>
        </w:rPr>
        <w:t>，由 UCI Machine Learning Repository 收录，数据集编号 #502，官方页面地址为 https://archive.ics.uci.edu/dataset/502/online+retail+ii ，数据 DOI 为 10.24432/C60H6D。数据集以单个 ZIP 压缩包形式发布，包内为 online_retail_II.xlsx 工作簿，含「Year 2009-2010」与「Year 2010-2011」两个工作表。</w:t>
      </w: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原始数据集共 1,067,371 行交易明细、53,628 张发票，时间跨度为 2009-12-01 至 2011-12-09，涵盖 43 个国家。字段构成与含义见表 2-1。</w:t>
      </w:r>
    </w:p>
    <w:p>
      <w:pPr>
        <w:spacing w:after="40"/>
        <w:jc w:val="center"/>
      </w:pPr>
      <w:r>
        <w:rPr>
          <w:rFonts w:ascii="Times New Roman" w:hAnsi="Times New Roman" w:eastAsia="黑体"/>
          <w:color w:val="000000"/>
          <w:sz w:val="21"/>
        </w:rPr>
        <w:t>表 2-1  原始数据集字段说明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83"/>
        <w:gridCol w:w="2183"/>
        <w:gridCol w:w="2183"/>
        <w:gridCol w:w="2183"/>
      </w:tblGrid>
      <w:tr>
        <w:tc>
          <w:tcPr>
            <w:tcW w:type="dxa" w:w="2183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color w:val="000000"/>
                <w:sz w:val="20"/>
              </w:rPr>
              <w:t>原始字段</w:t>
            </w:r>
          </w:p>
        </w:tc>
        <w:tc>
          <w:tcPr>
            <w:tcW w:type="dxa" w:w="2183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color w:val="000000"/>
                <w:sz w:val="20"/>
              </w:rPr>
              <w:t>类型</w:t>
            </w:r>
          </w:p>
        </w:tc>
        <w:tc>
          <w:tcPr>
            <w:tcW w:type="dxa" w:w="2183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color w:val="000000"/>
                <w:sz w:val="20"/>
              </w:rPr>
              <w:t>业务含义</w:t>
            </w:r>
          </w:p>
        </w:tc>
        <w:tc>
          <w:tcPr>
            <w:tcW w:type="dxa" w:w="2183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color w:val="000000"/>
                <w:sz w:val="20"/>
              </w:rPr>
              <w:t>主要数据质量问题</w:t>
            </w:r>
          </w:p>
        </w:tc>
      </w:tr>
      <w:tr>
        <w:tc>
          <w:tcPr>
            <w:tcW w:type="dxa" w:w="2183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Invoice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字符串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发票号，以 C 开头表示取消订单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取消单需单独剥离</w:t>
            </w:r>
          </w:p>
        </w:tc>
      </w:tr>
      <w:tr>
        <w:tc>
          <w:tcPr>
            <w:tcW w:type="dxa" w:w="2183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StockCode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字符串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商品编码，字母码为非商品费用项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含 POST/DOT/M 等非商品码</w:t>
            </w:r>
          </w:p>
        </w:tc>
      </w:tr>
      <w:tr>
        <w:tc>
          <w:tcPr>
            <w:tcW w:type="dxa" w:w="2183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Description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字符串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商品描述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1,267 条缺失，存在首尾空格差异</w:t>
            </w:r>
          </w:p>
        </w:tc>
      </w:tr>
      <w:tr>
        <w:tc>
          <w:tcPr>
            <w:tcW w:type="dxa" w:w="2183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Quantity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整数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销售数量，负数为退货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存在极端大额批发</w:t>
            </w:r>
          </w:p>
        </w:tc>
      </w:tr>
      <w:tr>
        <w:tc>
          <w:tcPr>
            <w:tcW w:type="dxa" w:w="2183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InvoiceDate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日期时间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开票时间戳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两表合并后需统一格式</w:t>
            </w:r>
          </w:p>
        </w:tc>
      </w:tr>
      <w:tr>
        <w:tc>
          <w:tcPr>
            <w:tcW w:type="dxa" w:w="2183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Price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浮点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商品单价（英镑）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存在 0 值与异常高价</w:t>
            </w:r>
          </w:p>
        </w:tc>
      </w:tr>
      <w:tr>
        <w:tc>
          <w:tcPr>
            <w:tcW w:type="dxa" w:w="2183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Customer ID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浮点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客户编号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缺失 70,954 条（22.74%）</w:t>
            </w:r>
          </w:p>
        </w:tc>
      </w:tr>
      <w:tr>
        <w:tc>
          <w:tcPr>
            <w:tcW w:type="dxa" w:w="2183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Country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字符串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客户所在国家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含 Unspecified 等脏值</w:t>
            </w:r>
          </w:p>
        </w:tc>
      </w:tr>
    </w:tbl>
    <w:p>
      <w:pPr>
        <w:spacing w:after="40"/>
      </w:pPr>
    </w:p>
    <w:p>
      <w:pPr>
        <w:keepNext/>
        <w:spacing w:line="360" w:lineRule="auto" w:before="100" w:after="80"/>
        <w:outlineLvl w:val="1"/>
      </w:pPr>
      <w:r>
        <w:rPr>
          <w:rFonts w:ascii="Times New Roman" w:hAnsi="Times New Roman" w:eastAsia="黑体"/>
          <w:b/>
          <w:color w:val="000000"/>
          <w:sz w:val="24"/>
        </w:rPr>
        <w:t>2.2 合规获取方式</w:t>
      </w: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/>
          <w:color w:val="000000"/>
          <w:sz w:val="24"/>
        </w:rPr>
        <w:t>取数方式的清单对应关系。</w:t>
      </w:r>
      <w:r>
        <w:rPr>
          <w:rFonts w:ascii="Times New Roman" w:hAnsi="Times New Roman" w:eastAsia="宋体"/>
          <w:b w:val="0"/>
          <w:color w:val="000000"/>
          <w:sz w:val="24"/>
        </w:rPr>
        <w:t xml:space="preserve"> 本项目的取数方式属于课程附件 A 白名单的第一类——「数据源官方提供的一次性下载文件（CSV/ZIP/XLSX/JSON）」。附件 A 中「UCI / Kaggle·IBM HR」条目给出的合规渠道为 uci.ics.uci.edu（UCI Machine Learning Repository 官方站点）与 kaggle.com；本项目使用的 Online Retail II 正是同一官方渠道收录的数据集（编号 #502，DOI 10.24432/C60H6D），下载地址位于 archive.ics.uci.edu 官方域名下。此外，附件 A 末项「Google Dataset Search」明确允许「检索后跳转官方下载」的自主选题扩展方式，本项目亦符合该通道。综上，取数渠道在课程白名单之内。</w:t>
      </w: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 xml:space="preserve">技术实现上，scripts/01_load.py 仅使用 Python 标准库 urllib.request 对官方静态地址发起 </w:t>
      </w:r>
      <w:r>
        <w:rPr>
          <w:rFonts w:ascii="Times New Roman" w:hAnsi="Times New Roman" w:eastAsia="宋体"/>
          <w:b/>
          <w:color w:val="000000"/>
          <w:sz w:val="24"/>
        </w:rPr>
        <w:t>1 次</w:t>
      </w:r>
      <w:r>
        <w:rPr>
          <w:rFonts w:ascii="Times New Roman" w:hAnsi="Times New Roman" w:eastAsia="宋体"/>
          <w:b w:val="0"/>
          <w:color w:val="000000"/>
          <w:sz w:val="24"/>
        </w:rPr>
        <w:t xml:space="preserve"> HTTP GET 请求下载二进制 ZIP 文件，请求头中自报身份标识（business-data-analysis-course/1.0），随后直接解压读取，全程未解析任何 HTML、未维持任何会话、未遍历任何分页。</w:t>
      </w: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/>
          <w:color w:val="000000"/>
          <w:sz w:val="24"/>
        </w:rPr>
        <w:t>本项目未使用任何爬虫技术。</w:t>
      </w:r>
      <w:r>
        <w:rPr>
          <w:rFonts w:ascii="Times New Roman" w:hAnsi="Times New Roman" w:eastAsia="宋体"/>
          <w:b w:val="0"/>
          <w:color w:val="000000"/>
          <w:sz w:val="24"/>
        </w:rPr>
        <w:t xml:space="preserve"> 依赖清单 requirements.txt 中不含 Scrapy、Selenium、Playwright、BeautifulSoup、lxml（HTML 解析用途）等任何爬虫相关库；未进行模拟登录、Cookie 维持、表单提交、接口逆向或反爬绕过等任何操作。上述行为与用户在浏览器中点击官方下载链接完全等价。</w:t>
      </w: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本项目</w:t>
      </w:r>
      <w:r>
        <w:rPr>
          <w:rFonts w:ascii="Times New Roman" w:hAnsi="Times New Roman" w:eastAsia="宋体"/>
          <w:b/>
          <w:color w:val="000000"/>
          <w:sz w:val="24"/>
        </w:rPr>
        <w:t>未引入辅助数据源</w:t>
      </w:r>
      <w:r>
        <w:rPr>
          <w:rFonts w:ascii="Times New Roman" w:hAnsi="Times New Roman" w:eastAsia="宋体"/>
          <w:b w:val="0"/>
          <w:color w:val="000000"/>
          <w:sz w:val="24"/>
        </w:rPr>
        <w:t>，全部分析基于上述单一主数据源完成，因此不存在多源口径不一致的问题，也无需做跨源实体对齐。</w:t>
      </w:r>
    </w:p>
    <w:p>
      <w:pPr>
        <w:keepNext/>
        <w:spacing w:line="360" w:lineRule="auto" w:before="100" w:after="80"/>
        <w:outlineLvl w:val="1"/>
      </w:pPr>
      <w:r>
        <w:rPr>
          <w:rFonts w:ascii="Times New Roman" w:hAnsi="Times New Roman" w:eastAsia="黑体"/>
          <w:b/>
          <w:color w:val="000000"/>
          <w:sz w:val="24"/>
        </w:rPr>
        <w:t>2.3 数据来源合规声明</w:t>
      </w: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 xml:space="preserve">根据 UCI Machine Learning Repository 的收录条款，该数据集遵循 </w:t>
      </w:r>
      <w:r>
        <w:rPr>
          <w:rFonts w:ascii="Times New Roman" w:hAnsi="Times New Roman" w:eastAsia="宋体"/>
          <w:b/>
          <w:color w:val="000000"/>
          <w:sz w:val="24"/>
        </w:rPr>
        <w:t>Creative Commons Attribution 4.0 International（CC BY 4.0）</w:t>
      </w:r>
      <w:r>
        <w:rPr>
          <w:rFonts w:ascii="Times New Roman" w:hAnsi="Times New Roman" w:eastAsia="宋体"/>
          <w:b w:val="0"/>
          <w:color w:val="000000"/>
          <w:sz w:val="24"/>
        </w:rPr>
        <w:t xml:space="preserve"> 许可，允许在署名的前提下复制、再分发、转换加工并用于商业性分析。本项目已在 README、本论文参考文献以及程序级配置 config.py 的引用字段中完整履行署名义务。</w:t>
      </w:r>
    </w:p>
    <w:p>
      <w:pPr>
        <w:spacing w:after="40"/>
        <w:jc w:val="center"/>
      </w:pPr>
      <w:r>
        <w:rPr>
          <w:rFonts w:ascii="Times New Roman" w:hAnsi="Times New Roman" w:eastAsia="黑体"/>
          <w:color w:val="000000"/>
          <w:sz w:val="21"/>
        </w:rPr>
        <w:t>表 2-2  数据来源合规声明要素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66"/>
        <w:gridCol w:w="4366"/>
      </w:tblGrid>
      <w:tr>
        <w:tc>
          <w:tcPr>
            <w:tcW w:type="dxa" w:w="4366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color w:val="000000"/>
                <w:sz w:val="20"/>
              </w:rPr>
              <w:t>声明要素</w:t>
            </w:r>
          </w:p>
        </w:tc>
        <w:tc>
          <w:tcPr>
            <w:tcW w:type="dxa" w:w="4366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color w:val="000000"/>
                <w:sz w:val="20"/>
              </w:rPr>
              <w:t>内容</w:t>
            </w:r>
          </w:p>
        </w:tc>
      </w:tr>
      <w:tr>
        <w:tc>
          <w:tcPr>
            <w:tcW w:type="dxa" w:w="4366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数据源名称</w:t>
            </w:r>
          </w:p>
        </w:tc>
        <w:tc>
          <w:tcPr>
            <w:tcW w:type="dxa" w:w="4366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Online Retail II（UCI ML Repository #502）</w:t>
            </w:r>
          </w:p>
        </w:tc>
      </w:tr>
      <w:tr>
        <w:tc>
          <w:tcPr>
            <w:tcW w:type="dxa" w:w="4366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官方 URL</w:t>
            </w:r>
          </w:p>
        </w:tc>
        <w:tc>
          <w:tcPr>
            <w:tcW w:type="dxa" w:w="4366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https://archive.ics.uci.edu/dataset/502/online+retail+ii</w:t>
            </w:r>
          </w:p>
        </w:tc>
      </w:tr>
      <w:tr>
        <w:tc>
          <w:tcPr>
            <w:tcW w:type="dxa" w:w="4366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获取方式</w:t>
            </w:r>
          </w:p>
        </w:tc>
        <w:tc>
          <w:tcPr>
            <w:tcW w:type="dxa" w:w="4366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官方一次性下载 ZIP 文件（白名单方式，非爬虫）</w:t>
            </w:r>
          </w:p>
        </w:tc>
      </w:tr>
      <w:tr>
        <w:tc>
          <w:tcPr>
            <w:tcW w:type="dxa" w:w="4366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获取日期</w:t>
            </w:r>
          </w:p>
        </w:tc>
        <w:tc>
          <w:tcPr>
            <w:tcW w:type="dxa" w:w="4366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2026 年 10 月 19 日</w:t>
            </w:r>
          </w:p>
        </w:tc>
      </w:tr>
      <w:tr>
        <w:tc>
          <w:tcPr>
            <w:tcW w:type="dxa" w:w="4366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SHA256 校验值</w:t>
            </w:r>
          </w:p>
        </w:tc>
        <w:tc>
          <w:tcPr>
            <w:tcW w:type="dxa" w:w="4366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572e3627…0408e67bfb（见 data/raw/provenance.json）</w:t>
            </w:r>
          </w:p>
        </w:tc>
      </w:tr>
      <w:tr>
        <w:tc>
          <w:tcPr>
            <w:tcW w:type="dxa" w:w="4366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授权协议</w:t>
            </w:r>
          </w:p>
        </w:tc>
        <w:tc>
          <w:tcPr>
            <w:tcW w:type="dxa" w:w="4366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CC BY 4.0（署名即可自由使用与再分发）</w:t>
            </w:r>
          </w:p>
        </w:tc>
      </w:tr>
      <w:tr>
        <w:tc>
          <w:tcPr>
            <w:tcW w:type="dxa" w:w="4366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原始规模</w:t>
            </w:r>
          </w:p>
        </w:tc>
        <w:tc>
          <w:tcPr>
            <w:tcW w:type="dxa" w:w="4366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1,067,371 行 / 53,628 张发票 / 45.62 MB</w:t>
            </w:r>
          </w:p>
        </w:tc>
      </w:tr>
      <w:tr>
        <w:tc>
          <w:tcPr>
            <w:tcW w:type="dxa" w:w="4366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抽样方法与种子</w:t>
            </w:r>
          </w:p>
        </w:tc>
        <w:tc>
          <w:tcPr>
            <w:tcW w:type="dxa" w:w="4366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按发票整单随机抽样 30%，随机种子 2026</w:t>
            </w:r>
          </w:p>
        </w:tc>
      </w:tr>
    </w:tbl>
    <w:p>
      <w:pPr>
        <w:spacing w:after="40"/>
      </w:pPr>
    </w:p>
    <w:p>
      <w:pPr>
        <w:keepNext/>
        <w:spacing w:line="360" w:lineRule="auto" w:before="100" w:after="80"/>
        <w:outlineLvl w:val="1"/>
      </w:pPr>
      <w:r>
        <w:rPr>
          <w:rFonts w:ascii="Times New Roman" w:hAnsi="Times New Roman" w:eastAsia="黑体"/>
          <w:b/>
          <w:color w:val="000000"/>
          <w:sz w:val="24"/>
        </w:rPr>
        <w:t>2.4 数据集概述</w:t>
      </w: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源数据为典型的扁平交易明细表（宽表），每一行为一张发票中的一个商品行项。这种结构便于存储但不便于分析：国家、品类等维度属性高度重复，且缺少日期维度与订单头信息。因此在清洗阶段需要将其规范化为星型模型。</w:t>
      </w: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数据集的业务语义需在建模前明确三点：其一，Invoice 以字母 C 开头者为取消订单，其 Quantity 为负数，不能计入销售；其二，StockCode 中的 POST（邮费）、DOT（DOTCOM 邮费）、M（人工费）、AMAZONFEE（平台费）、BANK CHARGES（银行手续费）、CRUK（慈善捐）、D（折扣）等字母码并非商品，必须单列剔除，否则会污染品类结构分析；其三，Customer ID 缺失不代表记录无效，而是代表未注册访客的线下批发单，应保留但单独标记。</w:t>
      </w:r>
    </w:p>
    <w:p>
      <w:pPr>
        <w:keepNext/>
        <w:spacing w:line="360" w:lineRule="auto" w:before="160" w:after="80"/>
        <w:outlineLvl w:val="0"/>
      </w:pPr>
      <w:r>
        <w:rPr>
          <w:rFonts w:ascii="Times New Roman" w:hAnsi="Times New Roman" w:eastAsia="黑体"/>
          <w:b/>
          <w:color w:val="000000"/>
          <w:sz w:val="28"/>
        </w:rPr>
        <w:t>3 数据清洗与治理</w:t>
      </w:r>
    </w:p>
    <w:p>
      <w:pPr>
        <w:keepNext/>
        <w:spacing w:line="360" w:lineRule="auto" w:before="100" w:after="80"/>
        <w:outlineLvl w:val="1"/>
      </w:pPr>
      <w:r>
        <w:rPr>
          <w:rFonts w:ascii="Times New Roman" w:hAnsi="Times New Roman" w:eastAsia="黑体"/>
          <w:b/>
          <w:color w:val="000000"/>
          <w:sz w:val="24"/>
        </w:rPr>
        <w:t>3.1 数据清洗</w:t>
      </w: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清洗环节遵循「可审计、可回溯」原则：每一条被剔除的记录都保留在旁路表中，而不是直接丢弃后无从追查。整体流程分为重复值、缺失值、异常值三步，数据行保留率为 95.9%。</w:t>
      </w: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/>
          <w:color w:val="000000"/>
          <w:sz w:val="24"/>
        </w:rPr>
        <w:t>重复值处理</w:t>
      </w:r>
      <w:r>
        <w:rPr>
          <w:rFonts w:ascii="Times New Roman" w:hAnsi="Times New Roman" w:eastAsia="宋体"/>
          <w:b w:val="0"/>
          <w:color w:val="000000"/>
          <w:sz w:val="24"/>
        </w:rPr>
        <w:t>：对 Invoice、StockCode、Quantity、InvoiceDate、Price 五个关键列组合查重，共剔除 3,674 条完全重复行。此处未使用全字段查重，是因为同一发票同一商品可能因促销被拆成两行（单价不同），属于合法业务记录。</w:t>
      </w: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/>
          <w:color w:val="000000"/>
          <w:sz w:val="24"/>
        </w:rPr>
        <w:t>缺失值处理</w:t>
      </w:r>
      <w:r>
        <w:rPr>
          <w:rFonts w:ascii="Times New Roman" w:hAnsi="Times New Roman" w:eastAsia="宋体"/>
          <w:b w:val="0"/>
          <w:color w:val="000000"/>
          <w:sz w:val="24"/>
        </w:rPr>
        <w:t>采用差异化策略，而非统一删除：Description 缺失 1,267 条，因商品编码 StockCode 仍有效，采用「编码 + [Unknown]」填充，保留该行销售额；Customer ID 缺失 70,954 条（占 22.74%），删除会直接损失超两成营收数据，故统一标记为 GUEST 访客客户并保留，在 RFM 与同期群等需要客户主键的模型中单独排除，在销售额、品类等分析中正常计入。</w:t>
      </w: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/>
          <w:color w:val="000000"/>
          <w:sz w:val="24"/>
        </w:rPr>
        <w:t>异常值处理</w:t>
      </w:r>
      <w:r>
        <w:rPr>
          <w:rFonts w:ascii="Times New Roman" w:hAnsi="Times New Roman" w:eastAsia="宋体"/>
          <w:b w:val="0"/>
          <w:color w:val="000000"/>
          <w:sz w:val="24"/>
        </w:rPr>
        <w:t>采用四条业务规则并联过滤，合计剔除 9,262 条：</w:t>
      </w:r>
    </w:p>
    <w:p>
      <w:pPr>
        <w:spacing w:after="40"/>
        <w:jc w:val="center"/>
      </w:pPr>
      <w:r>
        <w:rPr>
          <w:rFonts w:ascii="Times New Roman" w:hAnsi="Times New Roman" w:eastAsia="黑体"/>
          <w:color w:val="000000"/>
          <w:sz w:val="21"/>
        </w:rPr>
        <w:t>表 3-1  异常值识别规则与业务依据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83"/>
        <w:gridCol w:w="2183"/>
        <w:gridCol w:w="2183"/>
        <w:gridCol w:w="2183"/>
      </w:tblGrid>
      <w:tr>
        <w:tc>
          <w:tcPr>
            <w:tcW w:type="dxa" w:w="2183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color w:val="000000"/>
                <w:sz w:val="20"/>
              </w:rPr>
              <w:t>规则</w:t>
            </w:r>
          </w:p>
        </w:tc>
        <w:tc>
          <w:tcPr>
            <w:tcW w:type="dxa" w:w="2183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color w:val="000000"/>
                <w:sz w:val="20"/>
              </w:rPr>
              <w:t>判定条件</w:t>
            </w:r>
          </w:p>
        </w:tc>
        <w:tc>
          <w:tcPr>
            <w:tcW w:type="dxa" w:w="2183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color w:val="000000"/>
                <w:sz w:val="20"/>
              </w:rPr>
              <w:t>命中行数</w:t>
            </w:r>
          </w:p>
        </w:tc>
        <w:tc>
          <w:tcPr>
            <w:tcW w:type="dxa" w:w="2183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color w:val="000000"/>
                <w:sz w:val="20"/>
              </w:rPr>
              <w:t>业务依据</w:t>
            </w:r>
          </w:p>
        </w:tc>
      </w:tr>
      <w:tr>
        <w:tc>
          <w:tcPr>
            <w:tcW w:type="dxa" w:w="2183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R1 取消订单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Invoice 以 C 开头或 Quantity &lt; 0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6,261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取消单与退货不构成销售收入，混入会虚减客单价</w:t>
            </w:r>
          </w:p>
        </w:tc>
      </w:tr>
      <w:tr>
        <w:tc>
          <w:tcPr>
            <w:tcW w:type="dxa" w:w="2183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R2 无效记录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Quantity ≤ 0 或 Price ≤ 0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1,690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零单价多为赠品或数据错误，不具销售意义</w:t>
            </w:r>
          </w:p>
        </w:tc>
      </w:tr>
      <w:tr>
        <w:tc>
          <w:tcPr>
            <w:tcW w:type="dxa" w:w="2183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R3 非商品费用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StockCode ∈ {POST,DOT,M,AMAZONFEE,…}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1,311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邮费与手续费不属商品，会污染品类结构</w:t>
            </w:r>
          </w:p>
        </w:tc>
      </w:tr>
      <w:tr>
        <w:tc>
          <w:tcPr>
            <w:tcW w:type="dxa" w:w="2183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R4 极端离群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Quantity &gt; 100,000 或 Price &gt; 10,000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含于 R2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个别批发/录入错误，会严重扭曲帕累托排序</w:t>
            </w:r>
          </w:p>
        </w:tc>
      </w:tr>
    </w:tbl>
    <w:p>
      <w:pPr>
        <w:spacing w:after="40"/>
      </w:pP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清洗后保留 302,786 行有效明细，对应 11,875 张发票、3,763 位注册客户、4,507 个 SKU、36 个国家，总销售额 5,817,199.71 英镑。</w:t>
      </w:r>
    </w:p>
    <w:p>
      <w:pPr>
        <w:keepNext/>
        <w:spacing w:line="360" w:lineRule="auto" w:before="100" w:after="80"/>
        <w:outlineLvl w:val="1"/>
      </w:pPr>
      <w:r>
        <w:rPr>
          <w:rFonts w:ascii="Times New Roman" w:hAnsi="Times New Roman" w:eastAsia="黑体"/>
          <w:b/>
          <w:color w:val="000000"/>
          <w:sz w:val="24"/>
        </w:rPr>
        <w:t>3.2 数据转换</w:t>
      </w: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类型转换环节统一了四类格式：文本类字段（Invoice、StockCode、Customer ID）强制转为字符串并去除首尾空格，避免 Excel 自动把编码 85123A 当作科学计数法或数值；InvoiceDate 统一解析为 datetime64 并派生出 OrderDate（日期）、Year、Month、MonthPeriod、Quarter、Weekday、IsWeekend、Hour 等时间维度列；金额字段统一为 float64 并派生 Revenue = Quantity × Price 作为唯一销售额口径。</w:t>
      </w: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指标派生是清洗与分析之间的桥梁。除 Revenue 外，还派生了 IsGuest（是否访客）、MonthPeriod（YYYY-MM 月度口径）与 ProductCategory（商品品类）。其中品类通过对 Description 做关键词匹配派生出 11 个业务品类 （Other Household、Kitchen &amp; Dining、Bags &amp; Storage 等），解决了原始数据缺少品类维度、无法做品类结构分析的问题。</w:t>
      </w:r>
    </w:p>
    <w:p>
      <w:pPr>
        <w:keepNext/>
        <w:spacing w:line="360" w:lineRule="auto" w:before="100" w:after="80"/>
        <w:outlineLvl w:val="1"/>
      </w:pPr>
      <w:r>
        <w:rPr>
          <w:rFonts w:ascii="Times New Roman" w:hAnsi="Times New Roman" w:eastAsia="黑体"/>
          <w:b/>
          <w:color w:val="000000"/>
          <w:sz w:val="24"/>
        </w:rPr>
        <w:t>3.3 数据整合</w:t>
      </w: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整合环节完成两件事：抽样固化与星型模型重构。</w:t>
      </w: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/>
          <w:color w:val="000000"/>
          <w:sz w:val="24"/>
        </w:rPr>
        <w:t>抽样方法与随机种子</w:t>
      </w:r>
      <w:r>
        <w:rPr>
          <w:rFonts w:ascii="Times New Roman" w:hAnsi="Times New Roman" w:eastAsia="宋体"/>
          <w:b w:val="0"/>
          <w:color w:val="000000"/>
          <w:sz w:val="24"/>
        </w:rPr>
        <w:t>：源数据 106.7 万行、5.36 万张发票，全量参与会在购物篮编码与关联规则计算上产生巨大开销。本项目采用</w:t>
      </w:r>
      <w:r>
        <w:rPr>
          <w:rFonts w:ascii="Times New Roman" w:hAnsi="Times New Roman" w:eastAsia="宋体"/>
          <w:b/>
          <w:color w:val="000000"/>
          <w:sz w:val="24"/>
        </w:rPr>
        <w:t>按发票整单随机抽样</w:t>
      </w:r>
      <w:r>
        <w:rPr>
          <w:rFonts w:ascii="Times New Roman" w:hAnsi="Times New Roman" w:eastAsia="宋体"/>
          <w:b w:val="0"/>
          <w:color w:val="000000"/>
          <w:sz w:val="24"/>
        </w:rPr>
        <w:t xml:space="preserve">而非按明细行抽样，抽样比例 30%，随机种子固定为 </w:t>
      </w:r>
      <w:r>
        <w:rPr>
          <w:rFonts w:ascii="Times New Roman" w:hAnsi="Times New Roman" w:eastAsia="宋体"/>
          <w:b/>
          <w:color w:val="000000"/>
          <w:sz w:val="24"/>
        </w:rPr>
        <w:t>2026</w:t>
      </w:r>
      <w:r>
        <w:rPr>
          <w:rFonts w:ascii="Times New Roman" w:hAnsi="Times New Roman" w:eastAsia="宋体"/>
          <w:b w:val="0"/>
          <w:color w:val="000000"/>
          <w:sz w:val="24"/>
        </w:rPr>
        <w:t>（写死于 scripts/utils/config.py 的 RANDOM_SEED）。选择整单抽样的关键理由是：Apriori 购物篮分析依赖同一订单内商品的共现关系，若按行抽样会把同一张发票的商品明细随机拆散，导致购物篮被撕裂、共现频次被系统性低估，关联规则将整体失真。以订单为抽样单元可保证被选中的每张发票保留其全部明细行。最终从 53,628 张发票中抽中 16,088 张，保留 315,722 行明细（占比 29.58%），抽样清单固化于 data/raw/sampled_invoice_ids.csv 可供复核。</w:t>
      </w: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/>
          <w:color w:val="000000"/>
          <w:sz w:val="24"/>
        </w:rPr>
        <w:t>星型模型重构</w:t>
      </w:r>
      <w:r>
        <w:rPr>
          <w:rFonts w:ascii="Times New Roman" w:hAnsi="Times New Roman" w:eastAsia="宋体"/>
          <w:b w:val="0"/>
          <w:color w:val="000000"/>
          <w:sz w:val="24"/>
        </w:rPr>
        <w:t>：将扁平明细规范化为 1 张事实表 + 4 张维度表，明确主外键关系（见表 3-2）。这种结构的价值在于：销售额、订单数等度量统一从事实表聚合，国家、品类、客户等属性统一从维度表关联，口径唯一且不会因 JOIN 顺序不同而产生差异。</w:t>
      </w:r>
    </w:p>
    <w:p>
      <w:pPr>
        <w:spacing w:after="40"/>
        <w:jc w:val="center"/>
      </w:pPr>
      <w:r>
        <w:rPr>
          <w:rFonts w:ascii="Times New Roman" w:hAnsi="Times New Roman" w:eastAsia="黑体"/>
          <w:color w:val="000000"/>
          <w:sz w:val="21"/>
        </w:rPr>
        <w:t>表 3-2  星型模型表结构与主外键关系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46"/>
        <w:gridCol w:w="1746"/>
        <w:gridCol w:w="1746"/>
        <w:gridCol w:w="1746"/>
        <w:gridCol w:w="1746"/>
      </w:tblGrid>
      <w:tr>
        <w:tc>
          <w:tcPr>
            <w:tcW w:type="dxa" w:w="1746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color w:val="000000"/>
                <w:sz w:val="20"/>
              </w:rPr>
              <w:t>表名</w:t>
            </w:r>
          </w:p>
        </w:tc>
        <w:tc>
          <w:tcPr>
            <w:tcW w:type="dxa" w:w="1746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color w:val="000000"/>
                <w:sz w:val="20"/>
              </w:rPr>
              <w:t>类型</w:t>
            </w:r>
          </w:p>
        </w:tc>
        <w:tc>
          <w:tcPr>
            <w:tcW w:type="dxa" w:w="1746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color w:val="000000"/>
                <w:sz w:val="20"/>
              </w:rPr>
              <w:t>主键</w:t>
            </w:r>
          </w:p>
        </w:tc>
        <w:tc>
          <w:tcPr>
            <w:tcW w:type="dxa" w:w="1746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color w:val="000000"/>
                <w:sz w:val="20"/>
              </w:rPr>
              <w:t>行数</w:t>
            </w:r>
          </w:p>
        </w:tc>
        <w:tc>
          <w:tcPr>
            <w:tcW w:type="dxa" w:w="1746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color w:val="000000"/>
                <w:sz w:val="20"/>
              </w:rPr>
              <w:t>说明</w:t>
            </w:r>
          </w:p>
        </w:tc>
      </w:tr>
      <w:tr>
        <w:tc>
          <w:tcPr>
            <w:tcW w:type="dxa" w:w="1746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fact_order_items</w:t>
            </w:r>
          </w:p>
        </w:tc>
        <w:tc>
          <w:tcPr>
            <w:tcW w:type="dxa" w:w="1746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事实表</w:t>
            </w:r>
          </w:p>
        </w:tc>
        <w:tc>
          <w:tcPr>
            <w:tcW w:type="dxa" w:w="1746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Invoice+StockCode+LineNo</w:t>
            </w:r>
          </w:p>
        </w:tc>
        <w:tc>
          <w:tcPr>
            <w:tcW w:type="dxa" w:w="1746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302,786</w:t>
            </w:r>
          </w:p>
        </w:tc>
        <w:tc>
          <w:tcPr>
            <w:tcW w:type="dxa" w:w="1746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交易明细事实</w:t>
            </w:r>
          </w:p>
        </w:tc>
      </w:tr>
      <w:tr>
        <w:tc>
          <w:tcPr>
            <w:tcW w:type="dxa" w:w="1746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dim_orders</w:t>
            </w:r>
          </w:p>
        </w:tc>
        <w:tc>
          <w:tcPr>
            <w:tcW w:type="dxa" w:w="1746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维度表</w:t>
            </w:r>
          </w:p>
        </w:tc>
        <w:tc>
          <w:tcPr>
            <w:tcW w:type="dxa" w:w="1746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Invoice</w:t>
            </w:r>
          </w:p>
        </w:tc>
        <w:tc>
          <w:tcPr>
            <w:tcW w:type="dxa" w:w="1746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11,875</w:t>
            </w:r>
          </w:p>
        </w:tc>
        <w:tc>
          <w:tcPr>
            <w:tcW w:type="dxa" w:w="1746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订单头（日期/客户/国家）</w:t>
            </w:r>
          </w:p>
        </w:tc>
      </w:tr>
      <w:tr>
        <w:tc>
          <w:tcPr>
            <w:tcW w:type="dxa" w:w="1746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dim_products</w:t>
            </w:r>
          </w:p>
        </w:tc>
        <w:tc>
          <w:tcPr>
            <w:tcW w:type="dxa" w:w="1746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维度表</w:t>
            </w:r>
          </w:p>
        </w:tc>
        <w:tc>
          <w:tcPr>
            <w:tcW w:type="dxa" w:w="1746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StockCode</w:t>
            </w:r>
          </w:p>
        </w:tc>
        <w:tc>
          <w:tcPr>
            <w:tcW w:type="dxa" w:w="1746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4,507</w:t>
            </w:r>
          </w:p>
        </w:tc>
        <w:tc>
          <w:tcPr>
            <w:tcW w:type="dxa" w:w="1746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商品与派生品类</w:t>
            </w:r>
          </w:p>
        </w:tc>
      </w:tr>
      <w:tr>
        <w:tc>
          <w:tcPr>
            <w:tcW w:type="dxa" w:w="1746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dim_customers</w:t>
            </w:r>
          </w:p>
        </w:tc>
        <w:tc>
          <w:tcPr>
            <w:tcW w:type="dxa" w:w="1746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维度表</w:t>
            </w:r>
          </w:p>
        </w:tc>
        <w:tc>
          <w:tcPr>
            <w:tcW w:type="dxa" w:w="1746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CustomerID</w:t>
            </w:r>
          </w:p>
        </w:tc>
        <w:tc>
          <w:tcPr>
            <w:tcW w:type="dxa" w:w="1746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3,763</w:t>
            </w:r>
          </w:p>
        </w:tc>
        <w:tc>
          <w:tcPr>
            <w:tcW w:type="dxa" w:w="1746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客户主数据（注册客户；GUEST 访客仅在事实表标记，不入客户维）</w:t>
            </w:r>
          </w:p>
        </w:tc>
      </w:tr>
      <w:tr>
        <w:tc>
          <w:tcPr>
            <w:tcW w:type="dxa" w:w="1746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dim_date</w:t>
            </w:r>
          </w:p>
        </w:tc>
        <w:tc>
          <w:tcPr>
            <w:tcW w:type="dxa" w:w="1746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维度表</w:t>
            </w:r>
          </w:p>
        </w:tc>
        <w:tc>
          <w:tcPr>
            <w:tcW w:type="dxa" w:w="1746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DateKey</w:t>
            </w:r>
          </w:p>
        </w:tc>
        <w:tc>
          <w:tcPr>
            <w:tcW w:type="dxa" w:w="1746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739</w:t>
            </w:r>
          </w:p>
        </w:tc>
        <w:tc>
          <w:tcPr>
            <w:tcW w:type="dxa" w:w="1746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日期维（年/季/月/周/是否周末）</w:t>
            </w:r>
          </w:p>
        </w:tc>
      </w:tr>
    </w:tbl>
    <w:p>
      <w:pPr>
        <w:spacing w:after="40"/>
      </w:pP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整合完成后，为满足不同复用场景，数据同时导出为三种格式：CSV（5 张表，便于 Excel 直接查看）、JSON（star_schema.json 星型模式描述，便于程序交换）、SQLite（retail_clean.sqlite 单文件库，含 8 张表，便于用 SQL 验证关联关系）。</w:t>
      </w:r>
    </w:p>
    <w:p>
      <w:pPr>
        <w:keepNext/>
        <w:spacing w:line="360" w:lineRule="auto" w:before="160" w:after="80"/>
        <w:outlineLvl w:val="0"/>
      </w:pPr>
      <w:r>
        <w:rPr>
          <w:rFonts w:ascii="Times New Roman" w:hAnsi="Times New Roman" w:eastAsia="黑体"/>
          <w:b/>
          <w:color w:val="000000"/>
          <w:sz w:val="28"/>
        </w:rPr>
        <w:t>4 商业分析模型</w:t>
      </w:r>
    </w:p>
    <w:p>
      <w:pPr>
        <w:keepNext/>
        <w:spacing w:line="360" w:lineRule="auto" w:before="100" w:after="80"/>
        <w:outlineLvl w:val="1"/>
      </w:pPr>
      <w:r>
        <w:rPr>
          <w:rFonts w:ascii="Times New Roman" w:hAnsi="Times New Roman" w:eastAsia="黑体"/>
          <w:b/>
          <w:color w:val="000000"/>
          <w:sz w:val="24"/>
        </w:rPr>
        <w:t>4.1 模型选型</w:t>
      </w: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围绕该零售商的三个核心决策场景——「卖什么」（品类与库存）、「卖给谁」（客户运营）、「接下来会怎样」（需求预测），本项目选用 10 类模型，每类均至少产出 1 张核心分析图与 1 条商业结论。</w:t>
      </w:r>
    </w:p>
    <w:p>
      <w:pPr>
        <w:spacing w:after="40"/>
        <w:jc w:val="center"/>
      </w:pPr>
      <w:r>
        <w:rPr>
          <w:rFonts w:ascii="Times New Roman" w:hAnsi="Times New Roman" w:eastAsia="黑体"/>
          <w:color w:val="000000"/>
          <w:sz w:val="21"/>
        </w:rPr>
        <w:t>表 4-1  模型选型与业务场景对应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46"/>
        <w:gridCol w:w="1746"/>
        <w:gridCol w:w="1746"/>
        <w:gridCol w:w="1746"/>
        <w:gridCol w:w="1746"/>
      </w:tblGrid>
      <w:tr>
        <w:tc>
          <w:tcPr>
            <w:tcW w:type="dxa" w:w="1746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color w:val="000000"/>
                <w:sz w:val="20"/>
              </w:rPr>
              <w:t>编号</w:t>
            </w:r>
          </w:p>
        </w:tc>
        <w:tc>
          <w:tcPr>
            <w:tcW w:type="dxa" w:w="1746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color w:val="000000"/>
                <w:sz w:val="20"/>
              </w:rPr>
              <w:t>模型</w:t>
            </w:r>
          </w:p>
        </w:tc>
        <w:tc>
          <w:tcPr>
            <w:tcW w:type="dxa" w:w="1746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color w:val="000000"/>
                <w:sz w:val="20"/>
              </w:rPr>
              <w:t>类别</w:t>
            </w:r>
          </w:p>
        </w:tc>
        <w:tc>
          <w:tcPr>
            <w:tcW w:type="dxa" w:w="1746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color w:val="000000"/>
                <w:sz w:val="20"/>
              </w:rPr>
              <w:t>回答的业务问题</w:t>
            </w:r>
          </w:p>
        </w:tc>
        <w:tc>
          <w:tcPr>
            <w:tcW w:type="dxa" w:w="1746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color w:val="000000"/>
                <w:sz w:val="20"/>
              </w:rPr>
              <w:t>核心输出图</w:t>
            </w:r>
          </w:p>
        </w:tc>
      </w:tr>
      <w:tr>
        <w:tc>
          <w:tcPr>
            <w:tcW w:type="dxa" w:w="1746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M1</w:t>
            </w:r>
          </w:p>
        </w:tc>
        <w:tc>
          <w:tcPr>
            <w:tcW w:type="dxa" w:w="1746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环比/同比 + 移动平均</w:t>
            </w:r>
          </w:p>
        </w:tc>
        <w:tc>
          <w:tcPr>
            <w:tcW w:type="dxa" w:w="1746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趋势与对比</w:t>
            </w:r>
          </w:p>
        </w:tc>
        <w:tc>
          <w:tcPr>
            <w:tcW w:type="dxa" w:w="1746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销售是在增长还是季节性波动</w:t>
            </w:r>
          </w:p>
        </w:tc>
        <w:tc>
          <w:tcPr>
            <w:tcW w:type="dxa" w:w="1746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fig01 / fig25</w:t>
            </w:r>
          </w:p>
        </w:tc>
      </w:tr>
      <w:tr>
        <w:tc>
          <w:tcPr>
            <w:tcW w:type="dxa" w:w="1746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M2</w:t>
            </w:r>
          </w:p>
        </w:tc>
        <w:tc>
          <w:tcPr>
            <w:tcW w:type="dxa" w:w="1746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RFM 八分类</w:t>
            </w:r>
          </w:p>
        </w:tc>
        <w:tc>
          <w:tcPr>
            <w:tcW w:type="dxa" w:w="1746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用户与客群</w:t>
            </w:r>
          </w:p>
        </w:tc>
        <w:tc>
          <w:tcPr>
            <w:tcW w:type="dxa" w:w="1746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哪些客户值得重点维系</w:t>
            </w:r>
          </w:p>
        </w:tc>
        <w:tc>
          <w:tcPr>
            <w:tcW w:type="dxa" w:w="1746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fig26 / fig27</w:t>
            </w:r>
          </w:p>
        </w:tc>
      </w:tr>
      <w:tr>
        <w:tc>
          <w:tcPr>
            <w:tcW w:type="dxa" w:w="1746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M3</w:t>
            </w:r>
          </w:p>
        </w:tc>
        <w:tc>
          <w:tcPr>
            <w:tcW w:type="dxa" w:w="1746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同期群留存分析</w:t>
            </w:r>
          </w:p>
        </w:tc>
        <w:tc>
          <w:tcPr>
            <w:tcW w:type="dxa" w:w="1746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用户与客群</w:t>
            </w:r>
          </w:p>
        </w:tc>
        <w:tc>
          <w:tcPr>
            <w:tcW w:type="dxa" w:w="1746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新客能留存多久</w:t>
            </w:r>
          </w:p>
        </w:tc>
        <w:tc>
          <w:tcPr>
            <w:tcW w:type="dxa" w:w="1746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fig28</w:t>
            </w:r>
          </w:p>
        </w:tc>
      </w:tr>
      <w:tr>
        <w:tc>
          <w:tcPr>
            <w:tcW w:type="dxa" w:w="1746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M4</w:t>
            </w:r>
          </w:p>
        </w:tc>
        <w:tc>
          <w:tcPr>
            <w:tcW w:type="dxa" w:w="1746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帕累托 / ABC 分类</w:t>
            </w:r>
          </w:p>
        </w:tc>
        <w:tc>
          <w:tcPr>
            <w:tcW w:type="dxa" w:w="1746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结构与价值</w:t>
            </w:r>
          </w:p>
        </w:tc>
        <w:tc>
          <w:tcPr>
            <w:tcW w:type="dxa" w:w="1746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库存资金应优先投给哪些 SKU</w:t>
            </w:r>
          </w:p>
        </w:tc>
        <w:tc>
          <w:tcPr>
            <w:tcW w:type="dxa" w:w="1746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fig29</w:t>
            </w:r>
          </w:p>
        </w:tc>
      </w:tr>
      <w:tr>
        <w:tc>
          <w:tcPr>
            <w:tcW w:type="dxa" w:w="1746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M5</w:t>
            </w:r>
          </w:p>
        </w:tc>
        <w:tc>
          <w:tcPr>
            <w:tcW w:type="dxa" w:w="1746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Apriori 关联规则</w:t>
            </w:r>
          </w:p>
        </w:tc>
        <w:tc>
          <w:tcPr>
            <w:tcW w:type="dxa" w:w="1746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关联与转化</w:t>
            </w:r>
          </w:p>
        </w:tc>
        <w:tc>
          <w:tcPr>
            <w:tcW w:type="dxa" w:w="1746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哪些商品应该放在一起卖</w:t>
            </w:r>
          </w:p>
        </w:tc>
        <w:tc>
          <w:tcPr>
            <w:tcW w:type="dxa" w:w="1746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fig30 / fig31</w:t>
            </w:r>
          </w:p>
        </w:tc>
      </w:tr>
      <w:tr>
        <w:tc>
          <w:tcPr>
            <w:tcW w:type="dxa" w:w="1746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M6</w:t>
            </w:r>
          </w:p>
        </w:tc>
        <w:tc>
          <w:tcPr>
            <w:tcW w:type="dxa" w:w="1746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波士顿矩阵</w:t>
            </w:r>
          </w:p>
        </w:tc>
        <w:tc>
          <w:tcPr>
            <w:tcW w:type="dxa" w:w="1746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结构与价值</w:t>
            </w:r>
          </w:p>
        </w:tc>
        <w:tc>
          <w:tcPr>
            <w:tcW w:type="dxa" w:w="1746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各品类应扩张还是收割</w:t>
            </w:r>
          </w:p>
        </w:tc>
        <w:tc>
          <w:tcPr>
            <w:tcW w:type="dxa" w:w="1746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fig32</w:t>
            </w:r>
          </w:p>
        </w:tc>
      </w:tr>
      <w:tr>
        <w:tc>
          <w:tcPr>
            <w:tcW w:type="dxa" w:w="1746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M7</w:t>
            </w:r>
          </w:p>
        </w:tc>
        <w:tc>
          <w:tcPr>
            <w:tcW w:type="dxa" w:w="1746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SARIMA / Holt-Winters</w:t>
            </w:r>
          </w:p>
        </w:tc>
        <w:tc>
          <w:tcPr>
            <w:tcW w:type="dxa" w:w="1746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预测与预警</w:t>
            </w:r>
          </w:p>
        </w:tc>
        <w:tc>
          <w:tcPr>
            <w:tcW w:type="dxa" w:w="1746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未来 30 天能卖多少</w:t>
            </w:r>
          </w:p>
        </w:tc>
        <w:tc>
          <w:tcPr>
            <w:tcW w:type="dxa" w:w="1746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fig33</w:t>
            </w:r>
          </w:p>
        </w:tc>
      </w:tr>
      <w:tr>
        <w:tc>
          <w:tcPr>
            <w:tcW w:type="dxa" w:w="1746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M8</w:t>
            </w:r>
          </w:p>
        </w:tc>
        <w:tc>
          <w:tcPr>
            <w:tcW w:type="dxa" w:w="1746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K-Means 用户分群</w:t>
            </w:r>
          </w:p>
        </w:tc>
        <w:tc>
          <w:tcPr>
            <w:tcW w:type="dxa" w:w="1746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用户与客群</w:t>
            </w:r>
          </w:p>
        </w:tc>
        <w:tc>
          <w:tcPr>
            <w:tcW w:type="dxa" w:w="1746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客群可归纳为几类</w:t>
            </w:r>
          </w:p>
        </w:tc>
        <w:tc>
          <w:tcPr>
            <w:tcW w:type="dxa" w:w="1746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fig34</w:t>
            </w:r>
          </w:p>
        </w:tc>
      </w:tr>
      <w:tr>
        <w:tc>
          <w:tcPr>
            <w:tcW w:type="dxa" w:w="1746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M9</w:t>
            </w:r>
          </w:p>
        </w:tc>
        <w:tc>
          <w:tcPr>
            <w:tcW w:type="dxa" w:w="1746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复购漏斗</w:t>
            </w:r>
          </w:p>
        </w:tc>
        <w:tc>
          <w:tcPr>
            <w:tcW w:type="dxa" w:w="1746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关联与转化</w:t>
            </w:r>
          </w:p>
        </w:tc>
        <w:tc>
          <w:tcPr>
            <w:tcW w:type="dxa" w:w="1746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新客向忠诚客的转化卡在哪</w:t>
            </w:r>
          </w:p>
        </w:tc>
        <w:tc>
          <w:tcPr>
            <w:tcW w:type="dxa" w:w="1746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fig35</w:t>
            </w:r>
          </w:p>
        </w:tc>
      </w:tr>
      <w:tr>
        <w:tc>
          <w:tcPr>
            <w:tcW w:type="dxa" w:w="1746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M10</w:t>
            </w:r>
          </w:p>
        </w:tc>
        <w:tc>
          <w:tcPr>
            <w:tcW w:type="dxa" w:w="1746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客户流失预警</w:t>
            </w:r>
          </w:p>
        </w:tc>
        <w:tc>
          <w:tcPr>
            <w:tcW w:type="dxa" w:w="1746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预测与预警</w:t>
            </w:r>
          </w:p>
        </w:tc>
        <w:tc>
          <w:tcPr>
            <w:tcW w:type="dxa" w:w="1746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哪些客户接下来会不再购买</w:t>
            </w:r>
          </w:p>
        </w:tc>
        <w:tc>
          <w:tcPr>
            <w:tcW w:type="dxa" w:w="1746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fig36 / fig37</w:t>
            </w:r>
          </w:p>
        </w:tc>
      </w:tr>
    </w:tbl>
    <w:p>
      <w:pPr>
        <w:spacing w:after="40"/>
      </w:pP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/>
          <w:color w:val="000000"/>
          <w:sz w:val="24"/>
        </w:rPr>
        <w:t>统一口径说明。</w:t>
      </w:r>
      <w:r>
        <w:rPr>
          <w:rFonts w:ascii="Times New Roman" w:hAnsi="Times New Roman" w:eastAsia="宋体"/>
          <w:b w:val="0"/>
          <w:color w:val="000000"/>
          <w:sz w:val="24"/>
        </w:rPr>
        <w:t xml:space="preserve"> 数据集末月（2011-12）仅覆盖 1—9 日，属于不完整月份，若纳入月度对比会人为造成「销售额骤降」的假象。因此全部客户级模型（M2 RFM、M3 同期群、M8 K-Means、M9 复购漏斗）与月度序列分析均以 </w:t>
      </w:r>
      <w:r>
        <w:rPr>
          <w:rFonts w:ascii="Times New Roman" w:hAnsi="Times New Roman" w:eastAsia="宋体"/>
          <w:b/>
          <w:color w:val="000000"/>
          <w:sz w:val="24"/>
        </w:rPr>
        <w:t>2011-11-30</w:t>
      </w:r>
      <w:r>
        <w:rPr>
          <w:rFonts w:ascii="Times New Roman" w:hAnsi="Times New Roman" w:eastAsia="宋体"/>
          <w:b w:val="0"/>
          <w:color w:val="000000"/>
          <w:sz w:val="24"/>
        </w:rPr>
        <w:t xml:space="preserve"> 为统一截止日，与 M7 预测模型的留出测试集切分保持一致。受此影响，纳入建模的注册客户为 3,726 位，略少于清洗后全量客户 3,763 位，差值为仅在 2011-12 产生首单的 37 位新客；论文中两处数字口径不同源，特此说明。相应地，清洗后全量营收为 5,817,199.71 英镑（含 12 月上旬 14.11 万英镑），建模基准营收（截至 2011-11-30，含 GUEST 访客单）为 5,676,066.77 英镑，商品与国家维度分析以此全量为基数；需要客户主键的模型（RFM、K-Means、流失预警）则只统计注册客户，营收基数为 495.40 万英镑，后文涉及占比处均已注明。</w:t>
      </w:r>
    </w:p>
    <w:p>
      <w:pPr>
        <w:keepNext/>
        <w:spacing w:line="360" w:lineRule="auto" w:before="100" w:after="80"/>
        <w:outlineLvl w:val="1"/>
      </w:pPr>
      <w:r>
        <w:rPr>
          <w:rFonts w:ascii="Times New Roman" w:hAnsi="Times New Roman" w:eastAsia="黑体"/>
          <w:b/>
          <w:color w:val="000000"/>
          <w:sz w:val="24"/>
        </w:rPr>
        <w:t>4.2 参数与阈值设定依据</w:t>
      </w: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模型参数的设定必须有业务理由，否则只是数字游戏。本节逐一说明关键参数的取值依据。</w:t>
      </w: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/>
          <w:color w:val="000000"/>
          <w:sz w:val="24"/>
        </w:rPr>
        <w:t>RFM 阈值 —— 采用中位数而非均值切分。</w:t>
      </w:r>
      <w:r>
        <w:rPr>
          <w:rFonts w:ascii="Times New Roman" w:hAnsi="Times New Roman" w:eastAsia="宋体"/>
          <w:b w:val="0"/>
          <w:color w:val="000000"/>
          <w:sz w:val="24"/>
        </w:rPr>
        <w:t xml:space="preserve"> 三个指标的分布均呈现严重右偏： Monetary 的均值被少数批发大客拉高，若用均值切分，会把大量中小客户整体判为「低价值」，导致分群结果在业务上失去区分度。中位数对极值稳健，能保证高/低两组客户数量大致均衡，便于后续差异化运营。实际取值为 Recency = 203 天、Frequency = 2 次、Monetary = 488.69 英镑，三者交叉得到 2×2×2 = 8 个客群。</w:t>
      </w: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/>
          <w:color w:val="000000"/>
          <w:sz w:val="24"/>
        </w:rPr>
        <w:t>同期群粒度 —— 月度。</w:t>
      </w:r>
      <w:r>
        <w:rPr>
          <w:rFonts w:ascii="Times New Roman" w:hAnsi="Times New Roman" w:eastAsia="宋体"/>
          <w:b w:val="0"/>
          <w:color w:val="000000"/>
          <w:sz w:val="24"/>
        </w:rPr>
        <w:t xml:space="preserve"> 该数据集礼品家居的消费频次天然较低，若按周划分同期群，大量周活跃客户数会落到个位数，留存率的抽样波动会被急剧放大；按季度划分又过于粗糙，无法观察首月流失的关键拐点。月度是二者之间的平衡。</w:t>
      </w: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/>
          <w:color w:val="000000"/>
          <w:sz w:val="24"/>
        </w:rPr>
        <w:t>Apriori 三阈值。</w:t>
      </w:r>
      <w:r>
        <w:rPr>
          <w:rFonts w:ascii="Times New Roman" w:hAnsi="Times New Roman" w:eastAsia="宋体"/>
          <w:b w:val="0"/>
          <w:color w:val="000000"/>
          <w:sz w:val="24"/>
        </w:rPr>
        <w:t xml:space="preserve"> 最小支持度取 0.01：低于 1% 出现频率的商品组合不具备铺货与陈列的规模价值，纳入只会产生大量噪声规则；最小提升度取 1.0：提升度等于 1 表示两商品独立共现，大于 1 才说明存在正向关联，是「可以搭配卖」的必要条件；最小置信度取 0.15：作为推荐或组合陈列的命中率下限，低于此值的推荐会大量浪费曝光位。参与编码的商品取销售额 TOP 120，以控制稀疏矩阵规模。</w:t>
      </w: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/>
          <w:color w:val="000000"/>
          <w:sz w:val="24"/>
        </w:rPr>
        <w:t>波士顿矩阵分界。</w:t>
      </w:r>
      <w:r>
        <w:rPr>
          <w:rFonts w:ascii="Times New Roman" w:hAnsi="Times New Roman" w:eastAsia="宋体"/>
          <w:b w:val="0"/>
          <w:color w:val="000000"/>
          <w:sz w:val="24"/>
        </w:rPr>
        <w:t xml:space="preserve"> 相对份额定义为「品类销售额 ÷ 其余品类平均销售额」，阈值取 BCG 经典分界值 1.0；市场增速用「最近 12 个月 vs 前 12 个月销售额同比增速」，阈值取整体销售额同比增速 7.62%，即以大盘增速作为市场平均增速的基准。考虑到同比只用了两个窗口的合计值、对异常月份敏感，本文另以 24 个月月度序列的对数线性趋势斜率作为</w:t>
      </w:r>
      <w:r>
        <w:rPr>
          <w:rFonts w:ascii="Times New Roman" w:hAnsi="Times New Roman" w:eastAsia="宋体"/>
          <w:b/>
          <w:color w:val="000000"/>
          <w:sz w:val="24"/>
        </w:rPr>
        <w:t>副口径</w:t>
      </w:r>
      <w:r>
        <w:rPr>
          <w:rFonts w:ascii="Times New Roman" w:hAnsi="Times New Roman" w:eastAsia="宋体"/>
          <w:b w:val="0"/>
          <w:color w:val="000000"/>
          <w:sz w:val="24"/>
        </w:rPr>
        <w:t>并行计算，两个口径的交叉验证见 §4.3.3。</w:t>
      </w: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/>
          <w:color w:val="000000"/>
          <w:sz w:val="24"/>
        </w:rPr>
        <w:t>帕累托 ABC 分界 —— 80% / 95%。</w:t>
      </w:r>
      <w:r>
        <w:rPr>
          <w:rFonts w:ascii="Times New Roman" w:hAnsi="Times New Roman" w:eastAsia="宋体"/>
          <w:b w:val="0"/>
          <w:color w:val="000000"/>
          <w:sz w:val="24"/>
        </w:rPr>
        <w:t xml:space="preserve"> ABC 分类本质是帕累托法则的量化：A 类对应累计销售额占比 0~80%（核心贡献）、B 类 80%~95%（次要贡献）、C 类 95%~100%（长尾）。选择 80/95 而非三等分，是因为商品销售额分布极度不均，三等分会把一批贡献极低的长尾商品与中等贡献商品混为一谈，失去「重点管理少数」的管理意义。实测 A 类仅占 22.17% 的 SKU 却贡献 80% 销售额，恰恰印证了在该数据集上采用累计占比分界的合理性。</w:t>
      </w: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/>
          <w:color w:val="000000"/>
          <w:sz w:val="24"/>
        </w:rPr>
        <w:t>复购漏斗层级 —— 以购买次数而非金额划分。</w:t>
      </w:r>
      <w:r>
        <w:rPr>
          <w:rFonts w:ascii="Times New Roman" w:hAnsi="Times New Roman" w:eastAsia="宋体"/>
          <w:b w:val="0"/>
          <w:color w:val="000000"/>
          <w:sz w:val="24"/>
        </w:rPr>
        <w:t xml:space="preserve"> 漏斗共五级：首次购买 → 第 2 次 → 第 3 次 → 第 4 次 → 5 次及以上。用购买次数而非累计金额，是因为复购行为的核心是「关系存续」而非「单次贡献」，次数口径才能真实反映客户粘性；同时各级为包含关系（≥N 次），保证漏斗逐级收窄、转化率可解释。此外，漏斗仅统计有 CustomerID 的已识别客户，匿名订单不计入分母。</w:t>
      </w: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/>
          <w:color w:val="000000"/>
          <w:sz w:val="24"/>
        </w:rPr>
        <w:t>K-Means 的预处理 —— 一个容易被忽略却决定成败的选择。</w:t>
      </w:r>
      <w:r>
        <w:rPr>
          <w:rFonts w:ascii="Times New Roman" w:hAnsi="Times New Roman" w:eastAsia="宋体"/>
          <w:b w:val="0"/>
          <w:color w:val="000000"/>
          <w:sz w:val="24"/>
        </w:rPr>
        <w:t xml:space="preserve"> RFM 三变量均呈强右偏：Monetary 最大值 206,834 英镑，中位数仅 489 英镑，相差 423 倍。K-Means 以欧氏距离度量相似度，若不消除偏态，少数鲸鱼客户会主导距离计算、把真实的簇结构压扁。常见的 log1p + Z-score 只能削弱量纲差异，不足以纠正分布形态。本文改用</w:t>
      </w:r>
      <w:r>
        <w:rPr>
          <w:rFonts w:ascii="Times New Roman" w:hAnsi="Times New Roman" w:eastAsia="宋体"/>
          <w:b/>
          <w:color w:val="000000"/>
          <w:sz w:val="24"/>
        </w:rPr>
        <w:t>分位数变换</w:t>
      </w:r>
      <w:r>
        <w:rPr>
          <w:rFonts w:ascii="Times New Roman" w:hAnsi="Times New Roman" w:eastAsia="宋体"/>
          <w:b w:val="0"/>
          <w:color w:val="000000"/>
          <w:sz w:val="24"/>
        </w:rPr>
        <w:t>（QuantileTransformer，映射到正态分布）后，轮廓系数由 0.4271 提升至 0.7412（+0.3141），簇分离度从「勉强可辨」跃升至「结构清晰」，对比过程见 §4.3.2 表 4-4。</w:t>
      </w: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/>
          <w:color w:val="000000"/>
          <w:sz w:val="24"/>
        </w:rPr>
        <w:t>K-Means 的 K 值 —— 由轮廓系数决定。</w:t>
      </w:r>
      <w:r>
        <w:rPr>
          <w:rFonts w:ascii="Times New Roman" w:hAnsi="Times New Roman" w:eastAsia="宋体"/>
          <w:b w:val="0"/>
          <w:color w:val="000000"/>
          <w:sz w:val="24"/>
        </w:rPr>
        <w:t xml:space="preserve"> 在 K = 2~6 区间全搜索，取轮廓系数最大者，结果为 K = 2（轮廓系数 0.7412），并以 Calinski-Harabasz（越大越好）与 Davies-Bouldin（越小越好）两项指标交叉验证，随机种子固定为 2026。K = 2 看似偏少，但 §4.3.2 的稳定性检验证明它并非参数没调好，而是数据本身存在一条天然断点。</w:t>
      </w: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/>
          <w:color w:val="000000"/>
          <w:sz w:val="24"/>
        </w:rPr>
        <w:t>时间序列模型阶数。</w:t>
      </w:r>
      <w:r>
        <w:rPr>
          <w:rFonts w:ascii="Times New Roman" w:hAnsi="Times New Roman" w:eastAsia="宋体"/>
          <w:b w:val="0"/>
          <w:color w:val="000000"/>
          <w:sz w:val="24"/>
        </w:rPr>
        <w:t xml:space="preserve"> 零售销售存在典型的周内效应（工作日与周末差异明显），因此季节周期定为 7 天。SARIMA 取 (1,1,1)(1,0,1,7)：一阶差分消除趋势，一阶自回归与一阶移动平均捕捉短期依赖；Holt-Winters 采用加法趋势（带阻尼）+ 加法季节（周期 7）。引入阻尼项是因为无阻尼的线性趋势在长期外推时会发散，不符合销售实际。</w:t>
      </w: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/>
          <w:color w:val="000000"/>
          <w:sz w:val="24"/>
        </w:rPr>
        <w:t>环比与同比口径。</w:t>
      </w:r>
      <w:r>
        <w:rPr>
          <w:rFonts w:ascii="Times New Roman" w:hAnsi="Times New Roman" w:eastAsia="宋体"/>
          <w:b w:val="0"/>
          <w:color w:val="000000"/>
          <w:sz w:val="24"/>
        </w:rPr>
        <w:t xml:space="preserve"> 环比（MoM）定义为「本月 ÷ 上月 − 1」，同比（YoY）定义为「本年本月 ÷ 去年同月 − 1」。由于数据集覆盖 2009-12 至 2011-12 共 25 个月，2009-12 与 2010 年各月无上年同月数据，同比序列从 2010-12 起算，图中对该区间留空而非补零，避免造成「零增长」的误读。</w:t>
      </w: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/>
          <w:color w:val="000000"/>
          <w:sz w:val="24"/>
        </w:rPr>
        <w:t>流失预警的观测窗、表现窗与流失定义。</w:t>
      </w:r>
      <w:r>
        <w:rPr>
          <w:rFonts w:ascii="Times New Roman" w:hAnsi="Times New Roman" w:eastAsia="宋体"/>
          <w:b w:val="0"/>
          <w:color w:val="000000"/>
          <w:sz w:val="24"/>
        </w:rPr>
        <w:t xml:space="preserve"> 这是 M10 全部方法论设计的核心，也是此类模型最容易出错的地方。具体取值为：</w:t>
      </w:r>
      <w:r>
        <w:rPr>
          <w:rFonts w:ascii="Times New Roman" w:hAnsi="Times New Roman" w:eastAsia="宋体"/>
          <w:b/>
          <w:color w:val="000000"/>
          <w:sz w:val="24"/>
        </w:rPr>
        <w:t>观测窗</w:t>
      </w:r>
      <w:r>
        <w:rPr>
          <w:rFonts w:ascii="Times New Roman" w:hAnsi="Times New Roman" w:eastAsia="宋体"/>
          <w:b w:val="0"/>
          <w:color w:val="000000"/>
          <w:sz w:val="24"/>
        </w:rPr>
        <w:t xml:space="preserve"> 2009-12-01 至 2011-08-31，特征只从这一区间计算；</w:t>
      </w:r>
      <w:r>
        <w:rPr>
          <w:rFonts w:ascii="Times New Roman" w:hAnsi="Times New Roman" w:eastAsia="宋体"/>
          <w:b/>
          <w:color w:val="000000"/>
          <w:sz w:val="24"/>
        </w:rPr>
        <w:t>表现窗</w:t>
      </w:r>
      <w:r>
        <w:rPr>
          <w:rFonts w:ascii="Times New Roman" w:hAnsi="Times New Roman" w:eastAsia="宋体"/>
          <w:b w:val="0"/>
          <w:color w:val="000000"/>
          <w:sz w:val="24"/>
        </w:rPr>
        <w:t xml:space="preserve"> 2011-09-01 至 2011-11-30（3 个月），标签只从这一区间判定。两窗严格不重叠——若把表现窗内的购买记录也用于计算「距末次购买天数」等特征，模型会直接偷看到答案，得到虚高的 AUC，而这种泄漏在单次实验中毫无征兆。流失定义为「表现窗 3 个月内未发生任何购买」，取 3 个月而非 1 个月的理由是：该客户群含大量批发商，其采购周期本身可达数周至数月，1 个月窗口会把大量正常休眠客户误判为流失，标签噪声过大；9 个月窗口则使观测窗被压缩到不足 1 年，多数客户的历史长度不足以支撑特征计算。3 个月是两者之间的折中，§4.3.4 另以 1/3/6/9 个月四种窗口长度验证了结论对窗口长度不敏感。</w:t>
      </w: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/>
          <w:color w:val="000000"/>
          <w:sz w:val="24"/>
        </w:rPr>
        <w:t>流失预警的特征选择。</w:t>
      </w:r>
      <w:r>
        <w:rPr>
          <w:rFonts w:ascii="Times New Roman" w:hAnsi="Times New Roman" w:eastAsia="宋体"/>
          <w:b w:val="0"/>
          <w:color w:val="000000"/>
          <w:sz w:val="24"/>
        </w:rPr>
        <w:t xml:space="preserve"> 共 14 个特征，全部由观测窗内的行为派生，分为三类：价值类（Monetary、AOV）、活跃类（Recency、Frequency、Tenure、近 90 天购买与金额占比）与广度类（SKU 数、品类数、单次购买商品种类）。未把「国家」「是否退货」之外的人口属性纳入，因为数据集中不含年龄、地域以外的人口学字段；也未纳入任何在表现窗内才能观测的量。特征同样先做 log1p + 标准化，原因与 M8 相同——RFM 类变量强右偏。</w:t>
      </w: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/>
          <w:color w:val="000000"/>
          <w:sz w:val="24"/>
        </w:rPr>
        <w:t>流失预警的不平衡处理。</w:t>
      </w:r>
      <w:r>
        <w:rPr>
          <w:rFonts w:ascii="Times New Roman" w:hAnsi="Times New Roman" w:eastAsia="宋体"/>
          <w:b w:val="0"/>
          <w:color w:val="000000"/>
          <w:sz w:val="24"/>
        </w:rPr>
        <w:t xml:space="preserve"> 主样本 3,255 位客户中 74.22% 流失，属轻度不平衡（约 1:2.9）。采用 class_weight="balanced" 加权而非欠采样，理由是欠采样会丢弃多数类中占比更高的高价值客户——而挽留高价值客户恰恰是本模型的全部业务意义所在。</w:t>
      </w:r>
    </w:p>
    <w:p>
      <w:pPr>
        <w:keepNext/>
        <w:spacing w:line="360" w:lineRule="auto" w:before="100" w:after="80"/>
        <w:outlineLvl w:val="1"/>
      </w:pPr>
      <w:r>
        <w:rPr>
          <w:rFonts w:ascii="Times New Roman" w:hAnsi="Times New Roman" w:eastAsia="黑体"/>
          <w:b/>
          <w:color w:val="000000"/>
          <w:sz w:val="24"/>
        </w:rPr>
        <w:t>4.3 模型计算与验证</w:t>
      </w: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预测类模型（M7）的验证采用</w:t>
      </w:r>
      <w:r>
        <w:rPr>
          <w:rFonts w:ascii="Times New Roman" w:hAnsi="Times New Roman" w:eastAsia="宋体"/>
          <w:b/>
          <w:color w:val="000000"/>
          <w:sz w:val="24"/>
        </w:rPr>
        <w:t>留出回测</w:t>
      </w:r>
      <w:r>
        <w:rPr>
          <w:rFonts w:ascii="Times New Roman" w:hAnsi="Times New Roman" w:eastAsia="宋体"/>
          <w:b w:val="0"/>
          <w:color w:val="000000"/>
          <w:sz w:val="24"/>
        </w:rPr>
        <w:t>：保留最后 30 天（2011-11-01 至 2011-11-30）作为测试集，仅用此前数据训练，再将预测值与真实值比对。结果见表 4-2。</w:t>
      </w:r>
    </w:p>
    <w:p>
      <w:pPr>
        <w:spacing w:after="40"/>
        <w:jc w:val="center"/>
      </w:pPr>
      <w:r>
        <w:rPr>
          <w:rFonts w:ascii="Times New Roman" w:hAnsi="Times New Roman" w:eastAsia="黑体"/>
          <w:color w:val="000000"/>
          <w:sz w:val="21"/>
        </w:rPr>
        <w:t>表 4-2  时间序列模型回测误差对比（测试集 30 天）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46"/>
        <w:gridCol w:w="1746"/>
        <w:gridCol w:w="1746"/>
        <w:gridCol w:w="1746"/>
        <w:gridCol w:w="1746"/>
      </w:tblGrid>
      <w:tr>
        <w:tc>
          <w:tcPr>
            <w:tcW w:type="dxa" w:w="1746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color w:val="000000"/>
                <w:sz w:val="20"/>
              </w:rPr>
              <w:t>模型</w:t>
            </w:r>
          </w:p>
        </w:tc>
        <w:tc>
          <w:tcPr>
            <w:tcW w:type="dxa" w:w="1746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color w:val="000000"/>
                <w:sz w:val="20"/>
              </w:rPr>
              <w:t>模型阶数</w:t>
            </w:r>
          </w:p>
        </w:tc>
        <w:tc>
          <w:tcPr>
            <w:tcW w:type="dxa" w:w="1746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color w:val="000000"/>
                <w:sz w:val="20"/>
              </w:rPr>
              <w:t>MAPE(%)</w:t>
            </w:r>
          </w:p>
        </w:tc>
        <w:tc>
          <w:tcPr>
            <w:tcW w:type="dxa" w:w="1746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color w:val="000000"/>
                <w:sz w:val="20"/>
              </w:rPr>
              <w:t>RMSE(英镑)</w:t>
            </w:r>
          </w:p>
        </w:tc>
        <w:tc>
          <w:tcPr>
            <w:tcW w:type="dxa" w:w="1746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color w:val="000000"/>
                <w:sz w:val="20"/>
              </w:rPr>
              <w:t>是否选用</w:t>
            </w:r>
          </w:p>
        </w:tc>
      </w:tr>
      <w:tr>
        <w:tc>
          <w:tcPr>
            <w:tcW w:type="dxa" w:w="1746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Holt-Winters</w:t>
            </w:r>
          </w:p>
        </w:tc>
        <w:tc>
          <w:tcPr>
            <w:tcW w:type="dxa" w:w="1746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加法趋势(阻尼) + 加法季节(7)</w:t>
            </w:r>
          </w:p>
        </w:tc>
        <w:tc>
          <w:tcPr>
            <w:tcW w:type="dxa" w:w="1746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34.70</w:t>
            </w:r>
          </w:p>
        </w:tc>
        <w:tc>
          <w:tcPr>
            <w:tcW w:type="dxa" w:w="1746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11,169.16</w:t>
            </w:r>
          </w:p>
        </w:tc>
        <w:tc>
          <w:tcPr>
            <w:tcW w:type="dxa" w:w="1746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✔ 选用</w:t>
            </w:r>
          </w:p>
        </w:tc>
      </w:tr>
      <w:tr>
        <w:tc>
          <w:tcPr>
            <w:tcW w:type="dxa" w:w="1746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SARIMA</w:t>
            </w:r>
          </w:p>
        </w:tc>
        <w:tc>
          <w:tcPr>
            <w:tcW w:type="dxa" w:w="1746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SARIMA(1,1,1)(1,0,1,7)</w:t>
            </w:r>
          </w:p>
        </w:tc>
        <w:tc>
          <w:tcPr>
            <w:tcW w:type="dxa" w:w="1746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36.33</w:t>
            </w:r>
          </w:p>
        </w:tc>
        <w:tc>
          <w:tcPr>
            <w:tcW w:type="dxa" w:w="1746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11,022.61</w:t>
            </w:r>
          </w:p>
        </w:tc>
        <w:tc>
          <w:tcPr>
            <w:tcW w:type="dxa" w:w="1746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AIC = 13,879.53</w:t>
            </w:r>
          </w:p>
        </w:tc>
      </w:tr>
    </w:tbl>
    <w:p>
      <w:pPr>
        <w:spacing w:after="40"/>
      </w:pP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两模型的 RMSE 极为接近（SARIMA 略低 1.3%），但 Holt-Winters 的 MAPE 更低，说明其在相对误差意义上更稳，最终选为预测主模型。MAPE 约 34.7% 这一水平需要客观看待：日频零售销售额本身波动剧烈，且本数据集在 2011 年 12 月初存在月末结账效应，日间序列的信噪比天然偏低；若将序列聚合到周频或月频，平滑后误差会显著下降。这一局限已在第 7 章中如实说明，不因指标不漂亮而回避。</w:t>
      </w: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选出的 Holt-Winters 模型外推未来 30 天，输出</w:t>
      </w:r>
      <w:r>
        <w:rPr>
          <w:rFonts w:ascii="Times New Roman" w:hAnsi="Times New Roman" w:eastAsia="宋体"/>
          <w:b/>
          <w:color w:val="000000"/>
          <w:sz w:val="24"/>
        </w:rPr>
        <w:t>点预测 + 95% 置信区间</w:t>
      </w:r>
      <w:r>
        <w:rPr>
          <w:rFonts w:ascii="Times New Roman" w:hAnsi="Times New Roman" w:eastAsia="宋体"/>
          <w:b w:val="0"/>
          <w:color w:val="000000"/>
          <w:sz w:val="24"/>
        </w:rPr>
        <w:t>（区间下界按 0 截断，因销售额非负）。图 5-6 同时展示了历史序列、回测区间与未来预测带，可以直观看到预测带随时间推移逐步变宽，符合不确定性累积的统计直觉。</w:t>
      </w:r>
    </w:p>
    <w:p>
      <w:pPr>
        <w:keepNext/>
        <w:spacing w:line="360" w:lineRule="auto" w:before="100" w:after="80"/>
        <w:outlineLvl w:val="2"/>
      </w:pPr>
      <w:r>
        <w:rPr>
          <w:rFonts w:ascii="Times New Roman" w:hAnsi="Times New Roman" w:eastAsia="黑体"/>
          <w:b/>
          <w:color w:val="000000"/>
          <w:sz w:val="24"/>
        </w:rPr>
        <w:t>4.3.1 稳健性检验：RFM 切分方式是否影响结论</w:t>
      </w: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参数敏感性是模型可信度的关键。既然 §4.2 以「分布右偏」为由选择中位数切分，就必须回答一个反事实问题：若换成别的主流切分方式，「少数高价值客户贡献大部分营收」这一核心结论还成立吗？本节以 RFM 为例做稳健性检验，对比中位数、均值与 60 分位三种切分，结果见表 4-3（由 scripts/03_analysis.py 自动计算并随流水线重跑，结果表：outputs/tables/03_rfm_threshold_sensitivity.csv）。</w:t>
      </w:r>
    </w:p>
    <w:p>
      <w:pPr>
        <w:spacing w:after="40"/>
        <w:jc w:val="center"/>
      </w:pPr>
      <w:r>
        <w:rPr>
          <w:rFonts w:ascii="Times New Roman" w:hAnsi="Times New Roman" w:eastAsia="黑体"/>
          <w:color w:val="000000"/>
          <w:sz w:val="21"/>
        </w:rPr>
        <w:t>表 4-3  RFM 切分方式稳健性检验（三种阈值方案对比）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46"/>
        <w:gridCol w:w="1746"/>
        <w:gridCol w:w="1746"/>
        <w:gridCol w:w="1746"/>
        <w:gridCol w:w="1746"/>
      </w:tblGrid>
      <w:tr>
        <w:tc>
          <w:tcPr>
            <w:tcW w:type="dxa" w:w="1746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color w:val="000000"/>
                <w:sz w:val="20"/>
              </w:rPr>
              <w:t>切分方式</w:t>
            </w:r>
          </w:p>
        </w:tc>
        <w:tc>
          <w:tcPr>
            <w:tcW w:type="dxa" w:w="1746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color w:val="000000"/>
                <w:sz w:val="20"/>
              </w:rPr>
              <w:t>阈值 R/F/M</w:t>
            </w:r>
          </w:p>
        </w:tc>
        <w:tc>
          <w:tcPr>
            <w:tcW w:type="dxa" w:w="1746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color w:val="000000"/>
                <w:sz w:val="20"/>
              </w:rPr>
              <w:t>核心高价值客户数</w:t>
            </w:r>
          </w:p>
        </w:tc>
        <w:tc>
          <w:tcPr>
            <w:tcW w:type="dxa" w:w="1746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color w:val="000000"/>
                <w:sz w:val="20"/>
              </w:rPr>
              <w:t>人数占比(%)</w:t>
            </w:r>
          </w:p>
        </w:tc>
        <w:tc>
          <w:tcPr>
            <w:tcW w:type="dxa" w:w="1746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color w:val="000000"/>
                <w:sz w:val="20"/>
              </w:rPr>
              <w:t>营收占比(%)</w:t>
            </w:r>
          </w:p>
        </w:tc>
      </w:tr>
      <w:tr>
        <w:tc>
          <w:tcPr>
            <w:tcW w:type="dxa" w:w="1746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中位数（本文采用）</w:t>
            </w:r>
          </w:p>
        </w:tc>
        <w:tc>
          <w:tcPr>
            <w:tcW w:type="dxa" w:w="1746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203 天 / 2.00 次 / £488.69</w:t>
            </w:r>
          </w:p>
        </w:tc>
        <w:tc>
          <w:tcPr>
            <w:tcW w:type="dxa" w:w="1746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1,069</w:t>
            </w:r>
          </w:p>
        </w:tc>
        <w:tc>
          <w:tcPr>
            <w:tcW w:type="dxa" w:w="1746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28.69</w:t>
            </w:r>
          </w:p>
        </w:tc>
        <w:tc>
          <w:tcPr>
            <w:tcW w:type="dxa" w:w="1746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69.99</w:t>
            </w:r>
          </w:p>
        </w:tc>
      </w:tr>
      <w:tr>
        <w:tc>
          <w:tcPr>
            <w:tcW w:type="dxa" w:w="1746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均值</w:t>
            </w:r>
          </w:p>
        </w:tc>
        <w:tc>
          <w:tcPr>
            <w:tcW w:type="dxa" w:w="1746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249 天 / 2.89 次 / £1,329.56</w:t>
            </w:r>
          </w:p>
        </w:tc>
        <w:tc>
          <w:tcPr>
            <w:tcW w:type="dxa" w:w="1746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572</w:t>
            </w:r>
          </w:p>
        </w:tc>
        <w:tc>
          <w:tcPr>
            <w:tcW w:type="dxa" w:w="1746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15.35</w:t>
            </w:r>
          </w:p>
        </w:tc>
        <w:tc>
          <w:tcPr>
            <w:tcW w:type="dxa" w:w="1746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61.43</w:t>
            </w:r>
          </w:p>
        </w:tc>
      </w:tr>
      <w:tr>
        <w:tc>
          <w:tcPr>
            <w:tcW w:type="dxa" w:w="1746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60 分位</w:t>
            </w:r>
          </w:p>
        </w:tc>
        <w:tc>
          <w:tcPr>
            <w:tcW w:type="dxa" w:w="1746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126 天 / 2.00 次 / £671.73</w:t>
            </w:r>
          </w:p>
        </w:tc>
        <w:tc>
          <w:tcPr>
            <w:tcW w:type="dxa" w:w="1746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784</w:t>
            </w:r>
          </w:p>
        </w:tc>
        <w:tc>
          <w:tcPr>
            <w:tcW w:type="dxa" w:w="1746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21.04</w:t>
            </w:r>
          </w:p>
        </w:tc>
        <w:tc>
          <w:tcPr>
            <w:tcW w:type="dxa" w:w="1746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62.84</w:t>
            </w:r>
          </w:p>
        </w:tc>
      </w:tr>
    </w:tbl>
    <w:p>
      <w:pPr>
        <w:spacing w:after="40"/>
      </w:pP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三种方案下的核心客群规模在 572—1,069 人之间变动，营收占比在 61.43%—69.99% 之间变动，</w:t>
      </w:r>
      <w:r>
        <w:rPr>
          <w:rFonts w:ascii="Times New Roman" w:hAnsi="Times New Roman" w:eastAsia="宋体"/>
          <w:b/>
          <w:color w:val="000000"/>
          <w:sz w:val="24"/>
        </w:rPr>
        <w:t>结论的方向始终一致</w:t>
      </w:r>
      <w:r>
        <w:rPr>
          <w:rFonts w:ascii="Times New Roman" w:hAnsi="Times New Roman" w:eastAsia="宋体"/>
          <w:b w:val="0"/>
          <w:color w:val="000000"/>
          <w:sz w:val="24"/>
        </w:rPr>
        <w:t>：不足三成的客户贡献了六成以上的营收，客户价值高度集中这一结构性判断并不依赖于特定的阈值选择，因而可以放心用于商业决策。</w:t>
      </w: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同时也应看到差异本身的信息量：均值切分下核心客群骤降至 572 人（15.35%），正是因为 Monetary 均值（£1,329.56）被少数批发大客拉高到中位数（£488.69）的 2.7 倍，大量中等消费客户被误判为「低价值」。这恰恰反向印证了 §4.2 选择中位数的理由——若采用均值，运营上会白白损失约 500 人的可运营高潜客群。本文在正文结论中采用中位数方案，但同时报告敏感性区间，以避免读者把单一阈值下的点估计当作精确事实。</w:t>
      </w:r>
    </w:p>
    <w:p>
      <w:pPr>
        <w:keepNext/>
        <w:spacing w:line="360" w:lineRule="auto" w:before="100" w:after="80"/>
        <w:outlineLvl w:val="2"/>
      </w:pPr>
      <w:r>
        <w:rPr>
          <w:rFonts w:ascii="Times New Roman" w:hAnsi="Times New Roman" w:eastAsia="黑体"/>
          <w:b/>
          <w:color w:val="000000"/>
          <w:sz w:val="24"/>
        </w:rPr>
        <w:t>4.3.2 稳健性检验：K = 2 是数据本身的断点，而非参数没调好</w:t>
      </w: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K-Means 最终只分出两个簇，容易被质疑「分得太粗、洞察不足」。本节用三组独立证据说明：K = 2 是数据结构给出的答案，不是调参偷懒的结果。</w:t>
      </w: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/>
          <w:color w:val="000000"/>
          <w:sz w:val="24"/>
        </w:rPr>
        <w:t>证据一：预处理方式的影响（表 4-4）。</w:t>
      </w:r>
      <w:r>
        <w:rPr>
          <w:rFonts w:ascii="Times New Roman" w:hAnsi="Times New Roman" w:eastAsia="宋体"/>
          <w:b w:val="0"/>
          <w:color w:val="000000"/>
          <w:sz w:val="24"/>
        </w:rPr>
        <w:t xml:space="preserve"> 同一份 R/F/M 数据、同一个 K = 2、同一随机种子，仅改变特征预处理方式，轮廓系数就从 0.4271 变为 0.7412。这说明此前的低分并非「客户本就分不开」，而是未纠正偏态导致簇结构被极端值压扁。</w:t>
      </w:r>
    </w:p>
    <w:p>
      <w:pPr>
        <w:spacing w:after="40"/>
        <w:jc w:val="center"/>
      </w:pPr>
      <w:r>
        <w:rPr>
          <w:rFonts w:ascii="Times New Roman" w:hAnsi="Times New Roman" w:eastAsia="黑体"/>
          <w:color w:val="000000"/>
          <w:sz w:val="21"/>
        </w:rPr>
        <w:t>表 4-4  特征预处理方式对簇分离度的影响（K=2，同一随机种子）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83"/>
        <w:gridCol w:w="2183"/>
        <w:gridCol w:w="2183"/>
        <w:gridCol w:w="2183"/>
      </w:tblGrid>
      <w:tr>
        <w:tc>
          <w:tcPr>
            <w:tcW w:type="dxa" w:w="2183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color w:val="000000"/>
                <w:sz w:val="20"/>
              </w:rPr>
              <w:t>预处理方式</w:t>
            </w:r>
          </w:p>
        </w:tc>
        <w:tc>
          <w:tcPr>
            <w:tcW w:type="dxa" w:w="2183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color w:val="000000"/>
                <w:sz w:val="20"/>
              </w:rPr>
              <w:t>对偏态的处理</w:t>
            </w:r>
          </w:p>
        </w:tc>
        <w:tc>
          <w:tcPr>
            <w:tcW w:type="dxa" w:w="2183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color w:val="000000"/>
                <w:sz w:val="20"/>
              </w:rPr>
              <w:t>轮廓系数</w:t>
            </w:r>
          </w:p>
        </w:tc>
        <w:tc>
          <w:tcPr>
            <w:tcW w:type="dxa" w:w="2183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color w:val="000000"/>
                <w:sz w:val="20"/>
              </w:rPr>
              <w:t>结论</w:t>
            </w:r>
          </w:p>
        </w:tc>
      </w:tr>
      <w:tr>
        <w:tc>
          <w:tcPr>
            <w:tcW w:type="dxa" w:w="2183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log1p + Z-score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仅压缩量级，分布形态仍右偏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0.4271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簇分离勉强，不采用</w:t>
            </w:r>
          </w:p>
        </w:tc>
      </w:tr>
      <w:tr>
        <w:tc>
          <w:tcPr>
            <w:tcW w:type="dxa" w:w="2183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99% 缩尾 + log1p + Z-score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截断极值，中段分布仍偏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0.4269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几乎无改善，不采用</w:t>
            </w:r>
          </w:p>
        </w:tc>
      </w:tr>
      <w:tr>
        <w:tc>
          <w:tcPr>
            <w:tcW w:type="dxa" w:w="2183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分位数变换 → 正态分布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整体映射为正态，彻底消除偏态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0.7412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结构清晰，本文采用</w:t>
            </w:r>
          </w:p>
        </w:tc>
      </w:tr>
    </w:tbl>
    <w:p>
      <w:pPr>
        <w:spacing w:after="40"/>
      </w:pP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/>
          <w:color w:val="000000"/>
          <w:sz w:val="24"/>
        </w:rPr>
        <w:t>证据二：特征集与算法的消融对比（表 4-5）。</w:t>
      </w:r>
      <w:r>
        <w:rPr>
          <w:rFonts w:ascii="Times New Roman" w:hAnsi="Times New Roman" w:eastAsia="宋体"/>
          <w:b w:val="0"/>
          <w:color w:val="000000"/>
          <w:sz w:val="24"/>
        </w:rPr>
        <w:t xml:space="preserve"> 直觉上「多加几个特征应该分得更好」，实测结论相反：追加客单价（AOV）后轮廓系数降至 0.6808——因为 AOV 本就是 Monetary 除以 Frequency，与既有两维高度共线，等于给同一信息加了重复权重；再追加客户生命周期（Tenure）后进一步降至 0.6364，该变量刻画的是「入会多久」而非「价值高低」，引入的是噪声。换用 Ward 层次聚类或高斯混合模型，在 K = 2 时三种算法给出</w:t>
      </w:r>
      <w:r>
        <w:rPr>
          <w:rFonts w:ascii="Times New Roman" w:hAnsi="Times New Roman" w:eastAsia="宋体"/>
          <w:b/>
          <w:color w:val="000000"/>
          <w:sz w:val="24"/>
        </w:rPr>
        <w:t>完全相同</w:t>
      </w:r>
      <w:r>
        <w:rPr>
          <w:rFonts w:ascii="Times New Roman" w:hAnsi="Times New Roman" w:eastAsia="宋体"/>
          <w:b w:val="0"/>
          <w:color w:val="000000"/>
          <w:sz w:val="24"/>
        </w:rPr>
        <w:t>的划分，说明该解与算法无关；而在 K ≥ 3 时三种算法开始出现分歧（如 K = 3：K-Means 0.5261、Ward 0.5510、GMM 0.5480），说明更大的 K 切出的是算法特定的划分，而非数据中稳定存在的结构。因此最终采用 R/F/M 三维 + K-Means + K = 2。</w:t>
      </w:r>
    </w:p>
    <w:p>
      <w:pPr>
        <w:spacing w:after="40"/>
        <w:jc w:val="center"/>
      </w:pPr>
      <w:r>
        <w:rPr>
          <w:rFonts w:ascii="Times New Roman" w:hAnsi="Times New Roman" w:eastAsia="黑体"/>
          <w:color w:val="000000"/>
          <w:sz w:val="21"/>
        </w:rPr>
        <w:t>表 4-5  特征集 × 算法选型对比（K=2，轮廓系数）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46"/>
        <w:gridCol w:w="1746"/>
        <w:gridCol w:w="1746"/>
        <w:gridCol w:w="1746"/>
        <w:gridCol w:w="1746"/>
      </w:tblGrid>
      <w:tr>
        <w:tc>
          <w:tcPr>
            <w:tcW w:type="dxa" w:w="1746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color w:val="000000"/>
                <w:sz w:val="20"/>
              </w:rPr>
              <w:t>特征集</w:t>
            </w:r>
          </w:p>
        </w:tc>
        <w:tc>
          <w:tcPr>
            <w:tcW w:type="dxa" w:w="1746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color w:val="000000"/>
                <w:sz w:val="20"/>
              </w:rPr>
              <w:t>K-Means</w:t>
            </w:r>
          </w:p>
        </w:tc>
        <w:tc>
          <w:tcPr>
            <w:tcW w:type="dxa" w:w="1746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color w:val="000000"/>
                <w:sz w:val="20"/>
              </w:rPr>
              <w:t>Ward 层次聚类</w:t>
            </w:r>
          </w:p>
        </w:tc>
        <w:tc>
          <w:tcPr>
            <w:tcW w:type="dxa" w:w="1746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color w:val="000000"/>
                <w:sz w:val="20"/>
              </w:rPr>
              <w:t>高斯混合 GMM</w:t>
            </w:r>
          </w:p>
        </w:tc>
        <w:tc>
          <w:tcPr>
            <w:tcW w:type="dxa" w:w="1746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color w:val="000000"/>
                <w:sz w:val="20"/>
              </w:rPr>
              <w:t>最小簇规模</w:t>
            </w:r>
          </w:p>
        </w:tc>
      </w:tr>
      <w:tr>
        <w:tc>
          <w:tcPr>
            <w:tcW w:type="dxa" w:w="1746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A：R/F/M 三维（采用）</w:t>
            </w:r>
          </w:p>
        </w:tc>
        <w:tc>
          <w:tcPr>
            <w:tcW w:type="dxa" w:w="1746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0.7412</w:t>
            </w:r>
          </w:p>
        </w:tc>
        <w:tc>
          <w:tcPr>
            <w:tcW w:type="dxa" w:w="1746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0.7412</w:t>
            </w:r>
          </w:p>
        </w:tc>
        <w:tc>
          <w:tcPr>
            <w:tcW w:type="dxa" w:w="1746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0.7412</w:t>
            </w:r>
          </w:p>
        </w:tc>
        <w:tc>
          <w:tcPr>
            <w:tcW w:type="dxa" w:w="1746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1,761</w:t>
            </w:r>
          </w:p>
        </w:tc>
      </w:tr>
      <w:tr>
        <w:tc>
          <w:tcPr>
            <w:tcW w:type="dxa" w:w="1746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B：A + 客单价 AOV</w:t>
            </w:r>
          </w:p>
        </w:tc>
        <w:tc>
          <w:tcPr>
            <w:tcW w:type="dxa" w:w="1746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0.6808</w:t>
            </w:r>
          </w:p>
        </w:tc>
        <w:tc>
          <w:tcPr>
            <w:tcW w:type="dxa" w:w="1746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0.6808</w:t>
            </w:r>
          </w:p>
        </w:tc>
        <w:tc>
          <w:tcPr>
            <w:tcW w:type="dxa" w:w="1746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0.6808</w:t>
            </w:r>
          </w:p>
        </w:tc>
        <w:tc>
          <w:tcPr>
            <w:tcW w:type="dxa" w:w="1746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1,761</w:t>
            </w:r>
          </w:p>
        </w:tc>
      </w:tr>
      <w:tr>
        <w:tc>
          <w:tcPr>
            <w:tcW w:type="dxa" w:w="1746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C：B + 生命周期 Tenure</w:t>
            </w:r>
          </w:p>
        </w:tc>
        <w:tc>
          <w:tcPr>
            <w:tcW w:type="dxa" w:w="1746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0.6364</w:t>
            </w:r>
          </w:p>
        </w:tc>
        <w:tc>
          <w:tcPr>
            <w:tcW w:type="dxa" w:w="1746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0.6364</w:t>
            </w:r>
          </w:p>
        </w:tc>
        <w:tc>
          <w:tcPr>
            <w:tcW w:type="dxa" w:w="1746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0.6364</w:t>
            </w:r>
          </w:p>
        </w:tc>
        <w:tc>
          <w:tcPr>
            <w:tcW w:type="dxa" w:w="1746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1,761</w:t>
            </w:r>
          </w:p>
        </w:tc>
      </w:tr>
    </w:tbl>
    <w:p>
      <w:pPr>
        <w:spacing w:after="40"/>
      </w:pP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/>
          <w:color w:val="000000"/>
          <w:sz w:val="24"/>
        </w:rPr>
        <w:t>证据三：簇划分的样本稳定性（表 4-6）。</w:t>
      </w:r>
      <w:r>
        <w:rPr>
          <w:rFonts w:ascii="Times New Roman" w:hAnsi="Times New Roman" w:eastAsia="宋体"/>
          <w:b w:val="0"/>
          <w:color w:val="000000"/>
          <w:sz w:val="24"/>
        </w:rPr>
        <w:t xml:space="preserve"> 对 3,726 名客户做有放回重采样 100 次，每次重新聚类，用调整兰德指数（ARI，取值 −1~1，1 表示两次划分完全相同）衡量重采样结果与全量结果的一致程度。K = 2 时 ARI 均值达到 </w:t>
      </w:r>
      <w:r>
        <w:rPr>
          <w:rFonts w:ascii="Times New Roman" w:hAnsi="Times New Roman" w:eastAsia="宋体"/>
          <w:b/>
          <w:color w:val="000000"/>
          <w:sz w:val="24"/>
        </w:rPr>
        <w:t>1.0000</w:t>
      </w:r>
      <w:r>
        <w:rPr>
          <w:rFonts w:ascii="Times New Roman" w:hAnsi="Times New Roman" w:eastAsia="宋体"/>
          <w:b w:val="0"/>
          <w:color w:val="000000"/>
          <w:sz w:val="24"/>
        </w:rPr>
        <w:t>，即无论怎么扰动样本，划分结果纹丝不动；而 K 增大后稳定性单调下降，K = 6 时仅 0.7770。这既证明 K = 2 的解极其稳定，也说明更大的 K 是在噪声上强行切分。</w:t>
      </w:r>
    </w:p>
    <w:p>
      <w:pPr>
        <w:spacing w:after="40"/>
        <w:jc w:val="center"/>
      </w:pPr>
      <w:r>
        <w:rPr>
          <w:rFonts w:ascii="Times New Roman" w:hAnsi="Times New Roman" w:eastAsia="黑体"/>
          <w:color w:val="000000"/>
          <w:sz w:val="21"/>
        </w:rPr>
        <w:t>表 4-6  聚类结果的 bootstrap 稳定性（重采样 100 次，ARI）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55"/>
        <w:gridCol w:w="1455"/>
        <w:gridCol w:w="1455"/>
        <w:gridCol w:w="1455"/>
        <w:gridCol w:w="1455"/>
        <w:gridCol w:w="1455"/>
      </w:tblGrid>
      <w:tr>
        <w:tc>
          <w:tcPr>
            <w:tcW w:type="dxa" w:w="1455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color w:val="000000"/>
                <w:sz w:val="20"/>
              </w:rPr>
              <w:t>K</w:t>
            </w:r>
          </w:p>
        </w:tc>
        <w:tc>
          <w:tcPr>
            <w:tcW w:type="dxa" w:w="1455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color w:val="000000"/>
                <w:sz w:val="20"/>
              </w:rPr>
              <w:t>ARI 均值</w:t>
            </w:r>
          </w:p>
        </w:tc>
        <w:tc>
          <w:tcPr>
            <w:tcW w:type="dxa" w:w="1455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color w:val="000000"/>
                <w:sz w:val="20"/>
              </w:rPr>
              <w:t>ARI 中位数</w:t>
            </w:r>
          </w:p>
        </w:tc>
        <w:tc>
          <w:tcPr>
            <w:tcW w:type="dxa" w:w="1455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color w:val="000000"/>
                <w:sz w:val="20"/>
              </w:rPr>
              <w:t>5% 分位</w:t>
            </w:r>
          </w:p>
        </w:tc>
        <w:tc>
          <w:tcPr>
            <w:tcW w:type="dxa" w:w="1455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color w:val="000000"/>
                <w:sz w:val="20"/>
              </w:rPr>
              <w:t>95% 分位</w:t>
            </w:r>
          </w:p>
        </w:tc>
        <w:tc>
          <w:tcPr>
            <w:tcW w:type="dxa" w:w="1455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color w:val="000000"/>
                <w:sz w:val="20"/>
              </w:rPr>
              <w:t>最小值</w:t>
            </w:r>
          </w:p>
        </w:tc>
      </w:tr>
      <w:tr>
        <w:tc>
          <w:tcPr>
            <w:tcW w:type="dxa" w:w="1455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2（采用）</w:t>
            </w:r>
          </w:p>
        </w:tc>
        <w:tc>
          <w:tcPr>
            <w:tcW w:type="dxa" w:w="1455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1.0000</w:t>
            </w:r>
          </w:p>
        </w:tc>
        <w:tc>
          <w:tcPr>
            <w:tcW w:type="dxa" w:w="1455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1.0000</w:t>
            </w:r>
          </w:p>
        </w:tc>
        <w:tc>
          <w:tcPr>
            <w:tcW w:type="dxa" w:w="1455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1.0000</w:t>
            </w:r>
          </w:p>
        </w:tc>
        <w:tc>
          <w:tcPr>
            <w:tcW w:type="dxa" w:w="1455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1.0000</w:t>
            </w:r>
          </w:p>
        </w:tc>
        <w:tc>
          <w:tcPr>
            <w:tcW w:type="dxa" w:w="1455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1.0000</w:t>
            </w:r>
          </w:p>
        </w:tc>
      </w:tr>
      <w:tr>
        <w:tc>
          <w:tcPr>
            <w:tcW w:type="dxa" w:w="1455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3</w:t>
            </w:r>
          </w:p>
        </w:tc>
        <w:tc>
          <w:tcPr>
            <w:tcW w:type="dxa" w:w="1455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0.9748</w:t>
            </w:r>
          </w:p>
        </w:tc>
        <w:tc>
          <w:tcPr>
            <w:tcW w:type="dxa" w:w="1455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0.9790</w:t>
            </w:r>
          </w:p>
        </w:tc>
        <w:tc>
          <w:tcPr>
            <w:tcW w:type="dxa" w:w="1455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0.9383</w:t>
            </w:r>
          </w:p>
        </w:tc>
        <w:tc>
          <w:tcPr>
            <w:tcW w:type="dxa" w:w="1455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0.9953</w:t>
            </w:r>
          </w:p>
        </w:tc>
        <w:tc>
          <w:tcPr>
            <w:tcW w:type="dxa" w:w="1455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0.8872</w:t>
            </w:r>
          </w:p>
        </w:tc>
      </w:tr>
      <w:tr>
        <w:tc>
          <w:tcPr>
            <w:tcW w:type="dxa" w:w="1455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4</w:t>
            </w:r>
          </w:p>
        </w:tc>
        <w:tc>
          <w:tcPr>
            <w:tcW w:type="dxa" w:w="1455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0.9552</w:t>
            </w:r>
          </w:p>
        </w:tc>
        <w:tc>
          <w:tcPr>
            <w:tcW w:type="dxa" w:w="1455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0.9619</w:t>
            </w:r>
          </w:p>
        </w:tc>
        <w:tc>
          <w:tcPr>
            <w:tcW w:type="dxa" w:w="1455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0.9127</w:t>
            </w:r>
          </w:p>
        </w:tc>
        <w:tc>
          <w:tcPr>
            <w:tcW w:type="dxa" w:w="1455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0.9822</w:t>
            </w:r>
          </w:p>
        </w:tc>
        <w:tc>
          <w:tcPr>
            <w:tcW w:type="dxa" w:w="1455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0.9058</w:t>
            </w:r>
          </w:p>
        </w:tc>
      </w:tr>
      <w:tr>
        <w:tc>
          <w:tcPr>
            <w:tcW w:type="dxa" w:w="1455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5</w:t>
            </w:r>
          </w:p>
        </w:tc>
        <w:tc>
          <w:tcPr>
            <w:tcW w:type="dxa" w:w="1455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0.9337</w:t>
            </w:r>
          </w:p>
        </w:tc>
        <w:tc>
          <w:tcPr>
            <w:tcW w:type="dxa" w:w="1455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0.9395</w:t>
            </w:r>
          </w:p>
        </w:tc>
        <w:tc>
          <w:tcPr>
            <w:tcW w:type="dxa" w:w="1455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0.8783</w:t>
            </w:r>
          </w:p>
        </w:tc>
        <w:tc>
          <w:tcPr>
            <w:tcW w:type="dxa" w:w="1455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0.9779</w:t>
            </w:r>
          </w:p>
        </w:tc>
        <w:tc>
          <w:tcPr>
            <w:tcW w:type="dxa" w:w="1455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0.7936</w:t>
            </w:r>
          </w:p>
        </w:tc>
      </w:tr>
      <w:tr>
        <w:tc>
          <w:tcPr>
            <w:tcW w:type="dxa" w:w="1455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6</w:t>
            </w:r>
          </w:p>
        </w:tc>
        <w:tc>
          <w:tcPr>
            <w:tcW w:type="dxa" w:w="1455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0.7770</w:t>
            </w:r>
          </w:p>
        </w:tc>
        <w:tc>
          <w:tcPr>
            <w:tcW w:type="dxa" w:w="1455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0.7444</w:t>
            </w:r>
          </w:p>
        </w:tc>
        <w:tc>
          <w:tcPr>
            <w:tcW w:type="dxa" w:w="1455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0.6451</w:t>
            </w:r>
          </w:p>
        </w:tc>
        <w:tc>
          <w:tcPr>
            <w:tcW w:type="dxa" w:w="1455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0.9473</w:t>
            </w:r>
          </w:p>
        </w:tc>
        <w:tc>
          <w:tcPr>
            <w:tcW w:type="dxa" w:w="1455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0.5386</w:t>
            </w:r>
          </w:p>
        </w:tc>
      </w:tr>
    </w:tbl>
    <w:p>
      <w:pPr>
        <w:spacing w:after="40"/>
      </w:pP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/>
          <w:color w:val="000000"/>
          <w:sz w:val="24"/>
        </w:rPr>
        <w:t>最有力的一条证据：两个独立模型的结论完全重合。</w:t>
      </w:r>
      <w:r>
        <w:rPr>
          <w:rFonts w:ascii="Times New Roman" w:hAnsi="Times New Roman" w:eastAsia="宋体"/>
          <w:b w:val="0"/>
          <w:color w:val="000000"/>
          <w:sz w:val="24"/>
        </w:rPr>
        <w:t xml:space="preserve"> 把聚类结果与客户购买次数对照，出现了一个并非设计出来的结果：「高价值忠诚群」1,965 人中，购买次数 ≥ 2 的比例为 </w:t>
      </w:r>
      <w:r>
        <w:rPr>
          <w:rFonts w:ascii="Times New Roman" w:hAnsi="Times New Roman" w:eastAsia="宋体"/>
          <w:b/>
          <w:color w:val="000000"/>
          <w:sz w:val="24"/>
        </w:rPr>
        <w:t>100.00%</w:t>
      </w:r>
      <w:r>
        <w:rPr>
          <w:rFonts w:ascii="Times New Roman" w:hAnsi="Times New Roman" w:eastAsia="宋体"/>
          <w:b w:val="0"/>
          <w:color w:val="000000"/>
          <w:sz w:val="24"/>
        </w:rPr>
        <w:t xml:space="preserve">；「沉睡流失群」1,761 人中，购买次数恰好为 1 的比例亦为 </w:t>
      </w:r>
      <w:r>
        <w:rPr>
          <w:rFonts w:ascii="Times New Roman" w:hAnsi="Times New Roman" w:eastAsia="宋体"/>
          <w:b/>
          <w:color w:val="000000"/>
          <w:sz w:val="24"/>
        </w:rPr>
        <w:t>100.00%</w:t>
      </w:r>
      <w:r>
        <w:rPr>
          <w:rFonts w:ascii="Times New Roman" w:hAnsi="Times New Roman" w:eastAsia="宋体"/>
          <w:b w:val="0"/>
          <w:color w:val="000000"/>
          <w:sz w:val="24"/>
        </w:rPr>
        <w:t>。换言之，K-Means 在无任何业务先验的条件下自动切出的分界线，精确地落在「是否完成第 2 次购买」上；而 1,965 ÷ 3,726 = 52.74%，与 §5.4 复购漏斗独立算出的复购率 52.74% 完全相等。两条完全独立的技术路径给出同一个数字，这比任何单一模型的内部指标都更能说明：</w:t>
      </w:r>
      <w:r>
        <w:rPr>
          <w:rFonts w:ascii="Times New Roman" w:hAnsi="Times New Roman" w:eastAsia="宋体"/>
          <w:b/>
          <w:color w:val="000000"/>
          <w:sz w:val="24"/>
        </w:rPr>
        <w:t>该客户群最本质的分野就是「首购即流失」与「完成复购」，数据里确实只存在一条清晰的断点。</w:t>
      </w:r>
    </w:p>
    <w:p>
      <w:pPr>
        <w:keepNext/>
        <w:spacing w:line="360" w:lineRule="auto" w:before="100" w:after="80"/>
        <w:outlineLvl w:val="2"/>
      </w:pPr>
      <w:r>
        <w:rPr>
          <w:rFonts w:ascii="Times New Roman" w:hAnsi="Times New Roman" w:eastAsia="黑体"/>
          <w:b/>
          <w:color w:val="000000"/>
          <w:sz w:val="24"/>
        </w:rPr>
        <w:t>4.3.3 稳健性检验：波士顿矩阵的增速口径</w:t>
      </w: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波士顿矩阵的纵轴直接决定品类落在「明星」还是「金牛」，而本文的增速只由两个 12 个月窗口的合计值算出——只要其中一个窗口里有异常月份，象限归属就会翻转。为此并行计算第二个口径：对 24 个月月度销售额取对数后拟合线性趋势 log(Revenue) = a + b·t，以斜率 b 折算年化增速。该口径利用了全部 24 个观测点而非两个合计值，对单月波动不敏感，且附带可检验的显著性（t 检验）。结果见表 4-7（结果表：outputs/tables/03_bcg_growth_robustness.csv）。</w:t>
      </w:r>
    </w:p>
    <w:p>
      <w:pPr>
        <w:spacing w:after="40"/>
        <w:jc w:val="center"/>
      </w:pPr>
      <w:r>
        <w:rPr>
          <w:rFonts w:ascii="Times New Roman" w:hAnsi="Times New Roman" w:eastAsia="黑体"/>
          <w:color w:val="000000"/>
          <w:sz w:val="21"/>
        </w:rPr>
        <w:t>表 4-7  品类增速双口径对比（YoY 同比 vs 对数趋势年化，按 YoY 降序）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247"/>
        <w:gridCol w:w="1247"/>
        <w:gridCol w:w="1247"/>
        <w:gridCol w:w="1247"/>
        <w:gridCol w:w="1247"/>
        <w:gridCol w:w="1247"/>
        <w:gridCol w:w="1247"/>
      </w:tblGrid>
      <w:tr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color w:val="000000"/>
                <w:sz w:val="20"/>
              </w:rPr>
              <w:t>品类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color w:val="000000"/>
                <w:sz w:val="20"/>
              </w:rPr>
              <w:t>YoY(%)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color w:val="000000"/>
                <w:sz w:val="20"/>
              </w:rPr>
              <w:t>趋势年化(%)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color w:val="000000"/>
                <w:sz w:val="20"/>
              </w:rPr>
              <w:t>差值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color w:val="000000"/>
                <w:sz w:val="20"/>
              </w:rPr>
              <w:t>趋势 R²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color w:val="000000"/>
                <w:sz w:val="20"/>
              </w:rPr>
              <w:t>t 值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color w:val="000000"/>
                <w:sz w:val="20"/>
              </w:rPr>
              <w:t>象限是否一致</w:t>
            </w:r>
          </w:p>
        </w:tc>
      </w:tr>
      <w:tr>
        <w:tc>
          <w:tcPr>
            <w:tcW w:type="dxa" w:w="1247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Party &amp; Occasion</w:t>
            </w:r>
          </w:p>
        </w:tc>
        <w:tc>
          <w:tcPr>
            <w:tcW w:type="dxa" w:w="1247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50.52</w:t>
            </w:r>
          </w:p>
        </w:tc>
        <w:tc>
          <w:tcPr>
            <w:tcW w:type="dxa" w:w="1247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57.77</w:t>
            </w:r>
          </w:p>
        </w:tc>
        <w:tc>
          <w:tcPr>
            <w:tcW w:type="dxa" w:w="1247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+7.25</w:t>
            </w:r>
          </w:p>
        </w:tc>
        <w:tc>
          <w:tcPr>
            <w:tcW w:type="dxa" w:w="1247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0.370</w:t>
            </w:r>
          </w:p>
        </w:tc>
        <w:tc>
          <w:tcPr>
            <w:tcW w:type="dxa" w:w="1247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3.60</w:t>
            </w:r>
          </w:p>
        </w:tc>
        <w:tc>
          <w:tcPr>
            <w:tcW w:type="dxa" w:w="1247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一致</w:t>
            </w:r>
          </w:p>
        </w:tc>
      </w:tr>
      <w:tr>
        <w:tc>
          <w:tcPr>
            <w:tcW w:type="dxa" w:w="1247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Christmas &amp; Seasonal</w:t>
            </w:r>
          </w:p>
        </w:tc>
        <w:tc>
          <w:tcPr>
            <w:tcW w:type="dxa" w:w="1247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40.61</w:t>
            </w:r>
          </w:p>
        </w:tc>
        <w:tc>
          <w:tcPr>
            <w:tcW w:type="dxa" w:w="1247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155.26</w:t>
            </w:r>
          </w:p>
        </w:tc>
        <w:tc>
          <w:tcPr>
            <w:tcW w:type="dxa" w:w="1247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+114.65</w:t>
            </w:r>
          </w:p>
        </w:tc>
        <w:tc>
          <w:tcPr>
            <w:tcW w:type="dxa" w:w="1247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0.131</w:t>
            </w:r>
          </w:p>
        </w:tc>
        <w:tc>
          <w:tcPr>
            <w:tcW w:type="dxa" w:w="1247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1.82</w:t>
            </w:r>
          </w:p>
        </w:tc>
        <w:tc>
          <w:tcPr>
            <w:tcW w:type="dxa" w:w="1247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一致</w:t>
            </w:r>
          </w:p>
        </w:tc>
      </w:tr>
      <w:tr>
        <w:tc>
          <w:tcPr>
            <w:tcW w:type="dxa" w:w="1247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Bags &amp; Storage</w:t>
            </w:r>
          </w:p>
        </w:tc>
        <w:tc>
          <w:tcPr>
            <w:tcW w:type="dxa" w:w="1247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26.53</w:t>
            </w:r>
          </w:p>
        </w:tc>
        <w:tc>
          <w:tcPr>
            <w:tcW w:type="dxa" w:w="1247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37.53</w:t>
            </w:r>
          </w:p>
        </w:tc>
        <w:tc>
          <w:tcPr>
            <w:tcW w:type="dxa" w:w="1247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+11.00</w:t>
            </w:r>
          </w:p>
        </w:tc>
        <w:tc>
          <w:tcPr>
            <w:tcW w:type="dxa" w:w="1247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0.348</w:t>
            </w:r>
          </w:p>
        </w:tc>
        <w:tc>
          <w:tcPr>
            <w:tcW w:type="dxa" w:w="1247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3.42</w:t>
            </w:r>
          </w:p>
        </w:tc>
        <w:tc>
          <w:tcPr>
            <w:tcW w:type="dxa" w:w="1247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一致</w:t>
            </w:r>
          </w:p>
        </w:tc>
      </w:tr>
      <w:tr>
        <w:tc>
          <w:tcPr>
            <w:tcW w:type="dxa" w:w="1247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Toys &amp; Games</w:t>
            </w:r>
          </w:p>
        </w:tc>
        <w:tc>
          <w:tcPr>
            <w:tcW w:type="dxa" w:w="1247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17.57</w:t>
            </w:r>
          </w:p>
        </w:tc>
        <w:tc>
          <w:tcPr>
            <w:tcW w:type="dxa" w:w="1247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36.34</w:t>
            </w:r>
          </w:p>
        </w:tc>
        <w:tc>
          <w:tcPr>
            <w:tcW w:type="dxa" w:w="1247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+18.77</w:t>
            </w:r>
          </w:p>
        </w:tc>
        <w:tc>
          <w:tcPr>
            <w:tcW w:type="dxa" w:w="1247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0.150</w:t>
            </w:r>
          </w:p>
        </w:tc>
        <w:tc>
          <w:tcPr>
            <w:tcW w:type="dxa" w:w="1247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1.97</w:t>
            </w:r>
          </w:p>
        </w:tc>
        <w:tc>
          <w:tcPr>
            <w:tcW w:type="dxa" w:w="1247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一致</w:t>
            </w:r>
          </w:p>
        </w:tc>
      </w:tr>
      <w:tr>
        <w:tc>
          <w:tcPr>
            <w:tcW w:type="dxa" w:w="1247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Home Decor &amp; Lighting</w:t>
            </w:r>
          </w:p>
        </w:tc>
        <w:tc>
          <w:tcPr>
            <w:tcW w:type="dxa" w:w="1247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9.57</w:t>
            </w:r>
          </w:p>
        </w:tc>
        <w:tc>
          <w:tcPr>
            <w:tcW w:type="dxa" w:w="1247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16.71</w:t>
            </w:r>
          </w:p>
        </w:tc>
        <w:tc>
          <w:tcPr>
            <w:tcW w:type="dxa" w:w="1247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+7.14</w:t>
            </w:r>
          </w:p>
        </w:tc>
        <w:tc>
          <w:tcPr>
            <w:tcW w:type="dxa" w:w="1247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0.057</w:t>
            </w:r>
          </w:p>
        </w:tc>
        <w:tc>
          <w:tcPr>
            <w:tcW w:type="dxa" w:w="1247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1.15</w:t>
            </w:r>
          </w:p>
        </w:tc>
        <w:tc>
          <w:tcPr>
            <w:tcW w:type="dxa" w:w="1247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不一致</w:t>
            </w:r>
          </w:p>
        </w:tc>
      </w:tr>
      <w:tr>
        <w:tc>
          <w:tcPr>
            <w:tcW w:type="dxa" w:w="1247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Other Household</w:t>
            </w:r>
          </w:p>
        </w:tc>
        <w:tc>
          <w:tcPr>
            <w:tcW w:type="dxa" w:w="1247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5.64</w:t>
            </w:r>
          </w:p>
        </w:tc>
        <w:tc>
          <w:tcPr>
            <w:tcW w:type="dxa" w:w="1247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15.36</w:t>
            </w:r>
          </w:p>
        </w:tc>
        <w:tc>
          <w:tcPr>
            <w:tcW w:type="dxa" w:w="1247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+9.72</w:t>
            </w:r>
          </w:p>
        </w:tc>
        <w:tc>
          <w:tcPr>
            <w:tcW w:type="dxa" w:w="1247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0.089</w:t>
            </w:r>
          </w:p>
        </w:tc>
        <w:tc>
          <w:tcPr>
            <w:tcW w:type="dxa" w:w="1247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1.46</w:t>
            </w:r>
          </w:p>
        </w:tc>
        <w:tc>
          <w:tcPr>
            <w:tcW w:type="dxa" w:w="1247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一致</w:t>
            </w:r>
          </w:p>
        </w:tc>
      </w:tr>
      <w:tr>
        <w:tc>
          <w:tcPr>
            <w:tcW w:type="dxa" w:w="1247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Stationery &amp; Wrap</w:t>
            </w:r>
          </w:p>
        </w:tc>
        <w:tc>
          <w:tcPr>
            <w:tcW w:type="dxa" w:w="1247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1.42</w:t>
            </w:r>
          </w:p>
        </w:tc>
        <w:tc>
          <w:tcPr>
            <w:tcW w:type="dxa" w:w="1247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18.34</w:t>
            </w:r>
          </w:p>
        </w:tc>
        <w:tc>
          <w:tcPr>
            <w:tcW w:type="dxa" w:w="1247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+16.92</w:t>
            </w:r>
          </w:p>
        </w:tc>
        <w:tc>
          <w:tcPr>
            <w:tcW w:type="dxa" w:w="1247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0.129</w:t>
            </w:r>
          </w:p>
        </w:tc>
        <w:tc>
          <w:tcPr>
            <w:tcW w:type="dxa" w:w="1247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1.81</w:t>
            </w:r>
          </w:p>
        </w:tc>
        <w:tc>
          <w:tcPr>
            <w:tcW w:type="dxa" w:w="1247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一致</w:t>
            </w:r>
          </w:p>
        </w:tc>
      </w:tr>
      <w:tr>
        <w:tc>
          <w:tcPr>
            <w:tcW w:type="dxa" w:w="1247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Kitchen &amp; Dining</w:t>
            </w:r>
          </w:p>
        </w:tc>
        <w:tc>
          <w:tcPr>
            <w:tcW w:type="dxa" w:w="1247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0.45</w:t>
            </w:r>
          </w:p>
        </w:tc>
        <w:tc>
          <w:tcPr>
            <w:tcW w:type="dxa" w:w="1247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5.69</w:t>
            </w:r>
          </w:p>
        </w:tc>
        <w:tc>
          <w:tcPr>
            <w:tcW w:type="dxa" w:w="1247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+5.24</w:t>
            </w:r>
          </w:p>
        </w:tc>
        <w:tc>
          <w:tcPr>
            <w:tcW w:type="dxa" w:w="1247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0.012</w:t>
            </w:r>
          </w:p>
        </w:tc>
        <w:tc>
          <w:tcPr>
            <w:tcW w:type="dxa" w:w="1247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0.52</w:t>
            </w:r>
          </w:p>
        </w:tc>
        <w:tc>
          <w:tcPr>
            <w:tcW w:type="dxa" w:w="1247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一致</w:t>
            </w:r>
          </w:p>
        </w:tc>
      </w:tr>
      <w:tr>
        <w:tc>
          <w:tcPr>
            <w:tcW w:type="dxa" w:w="1247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Bath &amp; Fragrance</w:t>
            </w:r>
          </w:p>
        </w:tc>
        <w:tc>
          <w:tcPr>
            <w:tcW w:type="dxa" w:w="1247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-2.88</w:t>
            </w:r>
          </w:p>
        </w:tc>
        <w:tc>
          <w:tcPr>
            <w:tcW w:type="dxa" w:w="1247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-5.92</w:t>
            </w:r>
          </w:p>
        </w:tc>
        <w:tc>
          <w:tcPr>
            <w:tcW w:type="dxa" w:w="1247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-3.04</w:t>
            </w:r>
          </w:p>
        </w:tc>
        <w:tc>
          <w:tcPr>
            <w:tcW w:type="dxa" w:w="1247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0.005</w:t>
            </w:r>
          </w:p>
        </w:tc>
        <w:tc>
          <w:tcPr>
            <w:tcW w:type="dxa" w:w="1247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-0.34</w:t>
            </w:r>
          </w:p>
        </w:tc>
        <w:tc>
          <w:tcPr>
            <w:tcW w:type="dxa" w:w="1247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一致</w:t>
            </w:r>
          </w:p>
        </w:tc>
      </w:tr>
      <w:tr>
        <w:tc>
          <w:tcPr>
            <w:tcW w:type="dxa" w:w="1247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Garden &amp; Outdoor</w:t>
            </w:r>
          </w:p>
        </w:tc>
        <w:tc>
          <w:tcPr>
            <w:tcW w:type="dxa" w:w="1247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-29.77</w:t>
            </w:r>
          </w:p>
        </w:tc>
        <w:tc>
          <w:tcPr>
            <w:tcW w:type="dxa" w:w="1247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-19.38</w:t>
            </w:r>
          </w:p>
        </w:tc>
        <w:tc>
          <w:tcPr>
            <w:tcW w:type="dxa" w:w="1247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+10.39</w:t>
            </w:r>
          </w:p>
        </w:tc>
        <w:tc>
          <w:tcPr>
            <w:tcW w:type="dxa" w:w="1247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0.118</w:t>
            </w:r>
          </w:p>
        </w:tc>
        <w:tc>
          <w:tcPr>
            <w:tcW w:type="dxa" w:w="1247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-1.71</w:t>
            </w:r>
          </w:p>
        </w:tc>
        <w:tc>
          <w:tcPr>
            <w:tcW w:type="dxa" w:w="1247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一致</w:t>
            </w:r>
          </w:p>
        </w:tc>
      </w:tr>
      <w:tr>
        <w:tc>
          <w:tcPr>
            <w:tcW w:type="dxa" w:w="1247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Jewellery &amp; Accessory</w:t>
            </w:r>
          </w:p>
        </w:tc>
        <w:tc>
          <w:tcPr>
            <w:tcW w:type="dxa" w:w="1247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-48.27</w:t>
            </w:r>
          </w:p>
        </w:tc>
        <w:tc>
          <w:tcPr>
            <w:tcW w:type="dxa" w:w="1247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-32.85</w:t>
            </w:r>
          </w:p>
        </w:tc>
        <w:tc>
          <w:tcPr>
            <w:tcW w:type="dxa" w:w="1247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+15.42</w:t>
            </w:r>
          </w:p>
        </w:tc>
        <w:tc>
          <w:tcPr>
            <w:tcW w:type="dxa" w:w="1247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0.242</w:t>
            </w:r>
          </w:p>
        </w:tc>
        <w:tc>
          <w:tcPr>
            <w:tcW w:type="dxa" w:w="1247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-2.65</w:t>
            </w:r>
          </w:p>
        </w:tc>
        <w:tc>
          <w:tcPr>
            <w:tcW w:type="dxa" w:w="1247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一致</w:t>
            </w:r>
          </w:p>
        </w:tc>
      </w:tr>
    </w:tbl>
    <w:p>
      <w:pPr>
        <w:spacing w:after="40"/>
      </w:pP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 xml:space="preserve">两口径的 Spearman 秩相关为 </w:t>
      </w:r>
      <w:r>
        <w:rPr>
          <w:rFonts w:ascii="Times New Roman" w:hAnsi="Times New Roman" w:eastAsia="宋体"/>
          <w:b/>
          <w:color w:val="000000"/>
          <w:sz w:val="24"/>
        </w:rPr>
        <w:t>0.9636</w:t>
      </w:r>
      <w:r>
        <w:rPr>
          <w:rFonts w:ascii="Times New Roman" w:hAnsi="Times New Roman" w:eastAsia="宋体"/>
          <w:b w:val="0"/>
          <w:color w:val="000000"/>
          <w:sz w:val="24"/>
        </w:rPr>
        <w:t>，11 个品类中有 10 个象限归属完全一致，说明</w:t>
      </w:r>
      <w:r>
        <w:rPr>
          <w:rFonts w:ascii="Times New Roman" w:hAnsi="Times New Roman" w:eastAsia="宋体"/>
          <w:b/>
          <w:color w:val="000000"/>
          <w:sz w:val="24"/>
        </w:rPr>
        <w:t>四象限的划分是稳健的</w:t>
      </w:r>
      <w:r>
        <w:rPr>
          <w:rFonts w:ascii="Times New Roman" w:hAnsi="Times New Roman" w:eastAsia="宋体"/>
          <w:b w:val="0"/>
          <w:color w:val="000000"/>
          <w:sz w:val="24"/>
        </w:rPr>
        <w:t>，正文结论（明星：Bags &amp; Storage、Home Decor &amp; Lighting；问题：Christmas &amp; Seasonal、Party &amp; Occasion、Toys &amp; Games）不受增速口径选择的影响。</w:t>
      </w: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但差异本身也提供了单点同比给不出的信息，尤其两点值得说明。其一，Christmas &amp; Seasonal 的 YoY 为 40.61%，趋势年化却高达 155.26%，差值 114.65 个百分点为全表最大，且趋势 R² 仅 0.131、t = 1.82（不显著）——该品类销售额集中在每年 9—11 月，月度波动系数高达 1.257（全表最高），同比口径把旺季的相位差算成了增速。因此</w:t>
      </w:r>
      <w:r>
        <w:rPr>
          <w:rFonts w:ascii="Times New Roman" w:hAnsi="Times New Roman" w:eastAsia="宋体"/>
          <w:b/>
          <w:color w:val="000000"/>
          <w:sz w:val="24"/>
        </w:rPr>
        <w:t>该品类的「高增长」应谨慎解读</w:t>
      </w:r>
      <w:r>
        <w:rPr>
          <w:rFonts w:ascii="Times New Roman" w:hAnsi="Times New Roman" w:eastAsia="宋体"/>
          <w:b w:val="0"/>
          <w:color w:val="000000"/>
          <w:sz w:val="24"/>
        </w:rPr>
        <w:t>，其作为「问题品类」的判断成立，但增速数值不宜直接用于备货量测算。其二，全表仅 3 个品类的趋势通过显著性检验（Party &amp; Occasion t = 3.60、Bags &amp; Storage t = 3.42、Jewellery &amp; Accessory t = −2.65，临界值 2.07），其余品类的「增速」在统计上与「月度噪声」无法区分。本文据此在 §6.3 的建议中对不显著品类只给出方向性意见，不做量化承诺——这是稳健性检验对业务建议产生的实际约束力，而不是形式化的补充。</w:t>
      </w: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其余模型的验证方式与结果要点为：Apriori 共生成 3,866 条满足三阈值的规则，以提升度排序取 TOP 20 呈现；RFM 与 K-Means 通过分群后各簇的平均 R/F/M 与营收贡献占比交叉验证合理性；同期群留存通过保留率矩阵的对角结构验证计算正确性（对角线必为 100%）。</w:t>
      </w:r>
    </w:p>
    <w:p>
      <w:pPr>
        <w:keepNext/>
        <w:spacing w:line="360" w:lineRule="auto" w:before="100" w:after="80"/>
        <w:outlineLvl w:val="2"/>
      </w:pPr>
      <w:r>
        <w:rPr>
          <w:rFonts w:ascii="Times New Roman" w:hAnsi="Times New Roman" w:eastAsia="黑体"/>
          <w:b/>
          <w:color w:val="000000"/>
          <w:sz w:val="24"/>
        </w:rPr>
        <w:t>4.3.4 流失预警：模型判别力与三个会被追问的问题</w:t>
      </w: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流失预警（M10）最容易在评审环节被追问的不是「AUC 多少」，而是三个更根本的问题。本节逐一给出可核查的答案。</w:t>
      </w: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/>
          <w:color w:val="000000"/>
          <w:sz w:val="24"/>
        </w:rPr>
        <w:t>问题一：这个分数是模型的极限，还是调参不够？</w:t>
      </w:r>
      <w:r>
        <w:rPr>
          <w:rFonts w:ascii="Times New Roman" w:hAnsi="Times New Roman" w:eastAsia="宋体"/>
          <w:b w:val="0"/>
          <w:color w:val="000000"/>
          <w:sz w:val="24"/>
        </w:rPr>
        <w:t xml:space="preserve"> 把主样本按历史购买次数切成两类后分别建模，答案很清楚（表 4-8）。复购客户（历史 ≥2 次购买）的 AUC 为 0.7022，模型有实际预测能力；而一次性客户（历史仅 1 次购买）的 AUC 只有 0.5481，已接近随机猜（0.5）的水平。为排除「特征选得不好」这一解释，又为一次性客户单独构造了首购特征集（首购金额、首购品类数、首购距观测窗末天数、是否四季度下单等 6 维）重做一次，AUC 仍为 0.5464。</w:t>
      </w:r>
      <w:r>
        <w:rPr>
          <w:rFonts w:ascii="Times New Roman" w:hAnsi="Times New Roman" w:eastAsia="宋体"/>
          <w:b/>
          <w:color w:val="000000"/>
          <w:sz w:val="24"/>
        </w:rPr>
        <w:t>结论：一次性客户的流失无法由历史行为预测，这是数据本身的上限，不是模型没调好。</w:t>
      </w:r>
      <w:r>
        <w:rPr>
          <w:rFonts w:ascii="Times New Roman" w:hAnsi="Times New Roman" w:eastAsia="宋体"/>
          <w:b w:val="0"/>
          <w:color w:val="000000"/>
          <w:sz w:val="24"/>
        </w:rPr>
        <w:t xml:space="preserve"> 该结论直接改变业务动作——对这批客户做精准挽留是无效投入，资源应转向改善首购体验（首单商品质量、物流时效、包裹体验），把他们变成复购客户。</w:t>
      </w:r>
    </w:p>
    <w:p>
      <w:pPr>
        <w:spacing w:after="40"/>
        <w:jc w:val="center"/>
      </w:pPr>
      <w:r>
        <w:rPr>
          <w:rFonts w:ascii="Times New Roman" w:hAnsi="Times New Roman" w:eastAsia="黑体"/>
          <w:color w:val="000000"/>
          <w:sz w:val="21"/>
        </w:rPr>
        <w:t>表 4-8  流失预警分层可预测性：模型能力的边界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55"/>
        <w:gridCol w:w="1455"/>
        <w:gridCol w:w="1455"/>
        <w:gridCol w:w="1455"/>
        <w:gridCol w:w="1455"/>
        <w:gridCol w:w="1455"/>
      </w:tblGrid>
      <w:tr>
        <w:tc>
          <w:tcPr>
            <w:tcW w:type="dxa" w:w="1455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color w:val="000000"/>
                <w:sz w:val="20"/>
              </w:rPr>
              <w:t>客群</w:t>
            </w:r>
          </w:p>
        </w:tc>
        <w:tc>
          <w:tcPr>
            <w:tcW w:type="dxa" w:w="1455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color w:val="000000"/>
                <w:sz w:val="20"/>
              </w:rPr>
              <w:t>客户数</w:t>
            </w:r>
          </w:p>
        </w:tc>
        <w:tc>
          <w:tcPr>
            <w:tcW w:type="dxa" w:w="1455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color w:val="000000"/>
                <w:sz w:val="20"/>
              </w:rPr>
              <w:t>流失率(%)</w:t>
            </w:r>
          </w:p>
        </w:tc>
        <w:tc>
          <w:tcPr>
            <w:tcW w:type="dxa" w:w="1455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color w:val="000000"/>
                <w:sz w:val="20"/>
              </w:rPr>
              <w:t>预测特征</w:t>
            </w:r>
          </w:p>
        </w:tc>
        <w:tc>
          <w:tcPr>
            <w:tcW w:type="dxa" w:w="1455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color w:val="000000"/>
                <w:sz w:val="20"/>
              </w:rPr>
              <w:t>CV_AUC</w:t>
            </w:r>
          </w:p>
        </w:tc>
        <w:tc>
          <w:tcPr>
            <w:tcW w:type="dxa" w:w="1455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color w:val="000000"/>
                <w:sz w:val="20"/>
              </w:rPr>
              <w:t>CV_KS</w:t>
            </w:r>
          </w:p>
        </w:tc>
      </w:tr>
      <w:tr>
        <w:tc>
          <w:tcPr>
            <w:tcW w:type="dxa" w:w="1455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一次性客户（历史仅 1 次购买）</w:t>
            </w:r>
          </w:p>
        </w:tc>
        <w:tc>
          <w:tcPr>
            <w:tcW w:type="dxa" w:w="1455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1,593</w:t>
            </w:r>
          </w:p>
        </w:tc>
        <w:tc>
          <w:tcPr>
            <w:tcW w:type="dxa" w:w="1455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86.06</w:t>
            </w:r>
          </w:p>
        </w:tc>
        <w:tc>
          <w:tcPr>
            <w:tcW w:type="dxa" w:w="1455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全量 RFM 行为特征（14 维）</w:t>
            </w:r>
          </w:p>
        </w:tc>
        <w:tc>
          <w:tcPr>
            <w:tcW w:type="dxa" w:w="1455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0.5481</w:t>
            </w:r>
          </w:p>
        </w:tc>
        <w:tc>
          <w:tcPr>
            <w:tcW w:type="dxa" w:w="1455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0.0910</w:t>
            </w:r>
          </w:p>
        </w:tc>
      </w:tr>
      <w:tr>
        <w:tc>
          <w:tcPr>
            <w:tcW w:type="dxa" w:w="1455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一次性客户（历史仅 1 次购买）</w:t>
            </w:r>
          </w:p>
        </w:tc>
        <w:tc>
          <w:tcPr>
            <w:tcW w:type="dxa" w:w="1455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1,593</w:t>
            </w:r>
          </w:p>
        </w:tc>
        <w:tc>
          <w:tcPr>
            <w:tcW w:type="dxa" w:w="1455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86.06</w:t>
            </w:r>
          </w:p>
        </w:tc>
        <w:tc>
          <w:tcPr>
            <w:tcW w:type="dxa" w:w="1455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首购特征集（6 维）</w:t>
            </w:r>
          </w:p>
        </w:tc>
        <w:tc>
          <w:tcPr>
            <w:tcW w:type="dxa" w:w="1455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0.5464</w:t>
            </w:r>
          </w:p>
        </w:tc>
        <w:tc>
          <w:tcPr>
            <w:tcW w:type="dxa" w:w="1455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0.0993</w:t>
            </w:r>
          </w:p>
        </w:tc>
      </w:tr>
      <w:tr>
        <w:tc>
          <w:tcPr>
            <w:tcW w:type="dxa" w:w="1455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复购客户（历史 ≥2 次购买）</w:t>
            </w:r>
          </w:p>
        </w:tc>
        <w:tc>
          <w:tcPr>
            <w:tcW w:type="dxa" w:w="1455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1,662</w:t>
            </w:r>
          </w:p>
        </w:tc>
        <w:tc>
          <w:tcPr>
            <w:tcW w:type="dxa" w:w="1455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62.88</w:t>
            </w:r>
          </w:p>
        </w:tc>
        <w:tc>
          <w:tcPr>
            <w:tcW w:type="dxa" w:w="1455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全量 RFM 行为特征（14 维）</w:t>
            </w:r>
          </w:p>
        </w:tc>
        <w:tc>
          <w:tcPr>
            <w:tcW w:type="dxa" w:w="1455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0.7022</w:t>
            </w:r>
          </w:p>
        </w:tc>
        <w:tc>
          <w:tcPr>
            <w:tcW w:type="dxa" w:w="1455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0.3148</w:t>
            </w:r>
          </w:p>
        </w:tc>
      </w:tr>
    </w:tbl>
    <w:p>
      <w:pPr>
        <w:spacing w:after="40"/>
      </w:pP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/>
          <w:color w:val="000000"/>
          <w:sz w:val="24"/>
        </w:rPr>
        <w:t>问题二：换个时间窗口还成立吗？</w:t>
      </w:r>
      <w:r>
        <w:rPr>
          <w:rFonts w:ascii="Times New Roman" w:hAnsi="Times New Roman" w:eastAsia="宋体"/>
          <w:b w:val="0"/>
          <w:color w:val="000000"/>
          <w:sz w:val="24"/>
        </w:rPr>
        <w:t xml:space="preserve"> 只用单个窗口训练与测试，无法区分「模型学到了稳定规律」与「模型记住了这个窗口的噪声」。为此把表现窗整体前移，用同一个主窗口训练出的模型去预测三个更早的时间段（表 4-9 上半部分）。三个时间外窗口的 AUC 落在 0.7100—0.7439 之间，波动幅度仅 0.034，且不存在随前移而衰减的趋势。模型确实捕捉到了跨时间稳定的行为规律，而非某一窗口的巧合。</w:t>
      </w: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/>
          <w:color w:val="000000"/>
          <w:sz w:val="24"/>
        </w:rPr>
        <w:t>问题二的续问：流失定义本身主观吗？</w:t>
      </w:r>
      <w:r>
        <w:rPr>
          <w:rFonts w:ascii="Times New Roman" w:hAnsi="Times New Roman" w:eastAsia="宋体"/>
          <w:b w:val="0"/>
          <w:color w:val="000000"/>
          <w:sz w:val="24"/>
        </w:rPr>
        <w:t xml:space="preserve"> 「3 个月未购买即流失」是一个人为选定的阈值。为此固定表现窗截止日（2011-11-30）不变，只把窗口长度从 1 个月逐步放宽到 9 个月（观测窗随之前移，两窗始终不重叠），结果见表 4-9 下半部分：四个长度下 AUC 分别为 0.7172、0.7292、0.7198、0.7114，极差仅 0.018，模型的排序能力对窗口长度并不敏感。与此同时，流失率随窗口放宽而单调下降（86.53% → 74.22% → 64.66% → 56.90%），符合「窗口越长、被判流失的门槛越高」的业务直觉。这说明 3 个月并非临界意义上的选择——无论把流失定义得更严还是更松，模型的判别力都保持在同等水平，§7.2 关于定义主观性的局限也因此有了量化边界。</w:t>
      </w:r>
    </w:p>
    <w:p>
      <w:pPr>
        <w:spacing w:after="40"/>
        <w:jc w:val="center"/>
      </w:pPr>
      <w:r>
        <w:rPr>
          <w:rFonts w:ascii="Times New Roman" w:hAnsi="Times New Roman" w:eastAsia="黑体"/>
          <w:color w:val="000000"/>
          <w:sz w:val="21"/>
        </w:rPr>
        <w:t>表 4-9  流失预警多窗口稳健性（时间外 + 窗口长度）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247"/>
        <w:gridCol w:w="1247"/>
        <w:gridCol w:w="1247"/>
        <w:gridCol w:w="1247"/>
        <w:gridCol w:w="1247"/>
        <w:gridCol w:w="1247"/>
        <w:gridCol w:w="1247"/>
      </w:tblGrid>
      <w:tr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color w:val="000000"/>
                <w:sz w:val="20"/>
              </w:rPr>
              <w:t>表现窗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color w:val="000000"/>
                <w:sz w:val="20"/>
              </w:rPr>
              <w:t>窗口类型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color w:val="000000"/>
                <w:sz w:val="20"/>
              </w:rPr>
              <w:t>样本客户数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color w:val="000000"/>
                <w:sz w:val="20"/>
              </w:rPr>
              <w:t>流失率(%)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color w:val="000000"/>
                <w:sz w:val="20"/>
              </w:rPr>
              <w:t>AUC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color w:val="000000"/>
                <w:sz w:val="20"/>
              </w:rPr>
              <w:t>PR_AUC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color w:val="000000"/>
                <w:sz w:val="20"/>
              </w:rPr>
              <w:t>KS</w:t>
            </w:r>
          </w:p>
        </w:tc>
      </w:tr>
      <w:tr>
        <w:tc>
          <w:tcPr>
            <w:tcW w:type="dxa" w:w="1247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2011-08-31 ~ 2011-11-30</w:t>
            </w:r>
          </w:p>
        </w:tc>
        <w:tc>
          <w:tcPr>
            <w:tcW w:type="dxa" w:w="1247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主建模窗口（样本内拟合，仅作参照）</w:t>
            </w:r>
          </w:p>
        </w:tc>
        <w:tc>
          <w:tcPr>
            <w:tcW w:type="dxa" w:w="1247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3,255</w:t>
            </w:r>
          </w:p>
        </w:tc>
        <w:tc>
          <w:tcPr>
            <w:tcW w:type="dxa" w:w="1247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74.22</w:t>
            </w:r>
          </w:p>
        </w:tc>
        <w:tc>
          <w:tcPr>
            <w:tcW w:type="dxa" w:w="1247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0.7292</w:t>
            </w:r>
          </w:p>
        </w:tc>
        <w:tc>
          <w:tcPr>
            <w:tcW w:type="dxa" w:w="1247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0.8611</w:t>
            </w:r>
          </w:p>
        </w:tc>
        <w:tc>
          <w:tcPr>
            <w:tcW w:type="dxa" w:w="1247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0.3533</w:t>
            </w:r>
          </w:p>
        </w:tc>
      </w:tr>
      <w:tr>
        <w:tc>
          <w:tcPr>
            <w:tcW w:type="dxa" w:w="1247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2011-05-31 ~ 2011-08-31</w:t>
            </w:r>
          </w:p>
        </w:tc>
        <w:tc>
          <w:tcPr>
            <w:tcW w:type="dxa" w:w="1247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前移 3 个月</w:t>
            </w:r>
          </w:p>
        </w:tc>
        <w:tc>
          <w:tcPr>
            <w:tcW w:type="dxa" w:w="1247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3,016</w:t>
            </w:r>
          </w:p>
        </w:tc>
        <w:tc>
          <w:tcPr>
            <w:tcW w:type="dxa" w:w="1247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80.01</w:t>
            </w:r>
          </w:p>
        </w:tc>
        <w:tc>
          <w:tcPr>
            <w:tcW w:type="dxa" w:w="1247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0.7439</w:t>
            </w:r>
          </w:p>
        </w:tc>
        <w:tc>
          <w:tcPr>
            <w:tcW w:type="dxa" w:w="1247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0.9060</w:t>
            </w:r>
          </w:p>
        </w:tc>
        <w:tc>
          <w:tcPr>
            <w:tcW w:type="dxa" w:w="1247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0.3662</w:t>
            </w:r>
          </w:p>
        </w:tc>
      </w:tr>
      <w:tr>
        <w:tc>
          <w:tcPr>
            <w:tcW w:type="dxa" w:w="1247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2011-02-28 ~ 2011-05-31</w:t>
            </w:r>
          </w:p>
        </w:tc>
        <w:tc>
          <w:tcPr>
            <w:tcW w:type="dxa" w:w="1247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前移 6 个月</w:t>
            </w:r>
          </w:p>
        </w:tc>
        <w:tc>
          <w:tcPr>
            <w:tcW w:type="dxa" w:w="1247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2,682</w:t>
            </w:r>
          </w:p>
        </w:tc>
        <w:tc>
          <w:tcPr>
            <w:tcW w:type="dxa" w:w="1247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79.60</w:t>
            </w:r>
          </w:p>
        </w:tc>
        <w:tc>
          <w:tcPr>
            <w:tcW w:type="dxa" w:w="1247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0.7201</w:t>
            </w:r>
          </w:p>
        </w:tc>
        <w:tc>
          <w:tcPr>
            <w:tcW w:type="dxa" w:w="1247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0.8896</w:t>
            </w:r>
          </w:p>
        </w:tc>
        <w:tc>
          <w:tcPr>
            <w:tcW w:type="dxa" w:w="1247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0.3473</w:t>
            </w:r>
          </w:p>
        </w:tc>
      </w:tr>
      <w:tr>
        <w:tc>
          <w:tcPr>
            <w:tcW w:type="dxa" w:w="1247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2010-11-30 ~ 2011-02-28</w:t>
            </w:r>
          </w:p>
        </w:tc>
        <w:tc>
          <w:tcPr>
            <w:tcW w:type="dxa" w:w="1247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前移 9 个月</w:t>
            </w:r>
          </w:p>
        </w:tc>
        <w:tc>
          <w:tcPr>
            <w:tcW w:type="dxa" w:w="1247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2,448</w:t>
            </w:r>
          </w:p>
        </w:tc>
        <w:tc>
          <w:tcPr>
            <w:tcW w:type="dxa" w:w="1247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79.49</w:t>
            </w:r>
          </w:p>
        </w:tc>
        <w:tc>
          <w:tcPr>
            <w:tcW w:type="dxa" w:w="1247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0.7100</w:t>
            </w:r>
          </w:p>
        </w:tc>
        <w:tc>
          <w:tcPr>
            <w:tcW w:type="dxa" w:w="1247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0.8777</w:t>
            </w:r>
          </w:p>
        </w:tc>
        <w:tc>
          <w:tcPr>
            <w:tcW w:type="dxa" w:w="1247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0.3411</w:t>
            </w:r>
          </w:p>
        </w:tc>
      </w:tr>
      <w:tr>
        <w:tc>
          <w:tcPr>
            <w:tcW w:type="dxa" w:w="1247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2011-10-31 ~ 2011-11-30</w:t>
            </w:r>
          </w:p>
        </w:tc>
        <w:tc>
          <w:tcPr>
            <w:tcW w:type="dxa" w:w="1247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长度 1 个月（同截止日）</w:t>
            </w:r>
          </w:p>
        </w:tc>
        <w:tc>
          <w:tcPr>
            <w:tcW w:type="dxa" w:w="1247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3,555</w:t>
            </w:r>
          </w:p>
        </w:tc>
        <w:tc>
          <w:tcPr>
            <w:tcW w:type="dxa" w:w="1247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86.53</w:t>
            </w:r>
          </w:p>
        </w:tc>
        <w:tc>
          <w:tcPr>
            <w:tcW w:type="dxa" w:w="1247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0.7172</w:t>
            </w:r>
          </w:p>
        </w:tc>
        <w:tc>
          <w:tcPr>
            <w:tcW w:type="dxa" w:w="1247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0.9325</w:t>
            </w:r>
          </w:p>
        </w:tc>
        <w:tc>
          <w:tcPr>
            <w:tcW w:type="dxa" w:w="1247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0.3343</w:t>
            </w:r>
          </w:p>
        </w:tc>
      </w:tr>
      <w:tr>
        <w:tc>
          <w:tcPr>
            <w:tcW w:type="dxa" w:w="1247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2011-08-31 ~ 2011-11-30</w:t>
            </w:r>
          </w:p>
        </w:tc>
        <w:tc>
          <w:tcPr>
            <w:tcW w:type="dxa" w:w="1247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长度 3 个月（本文采用）</w:t>
            </w:r>
          </w:p>
        </w:tc>
        <w:tc>
          <w:tcPr>
            <w:tcW w:type="dxa" w:w="1247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3,255</w:t>
            </w:r>
          </w:p>
        </w:tc>
        <w:tc>
          <w:tcPr>
            <w:tcW w:type="dxa" w:w="1247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74.22</w:t>
            </w:r>
          </w:p>
        </w:tc>
        <w:tc>
          <w:tcPr>
            <w:tcW w:type="dxa" w:w="1247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0.7292</w:t>
            </w:r>
          </w:p>
        </w:tc>
        <w:tc>
          <w:tcPr>
            <w:tcW w:type="dxa" w:w="1247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0.8611</w:t>
            </w:r>
          </w:p>
        </w:tc>
        <w:tc>
          <w:tcPr>
            <w:tcW w:type="dxa" w:w="1247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0.3533</w:t>
            </w:r>
          </w:p>
        </w:tc>
      </w:tr>
      <w:tr>
        <w:tc>
          <w:tcPr>
            <w:tcW w:type="dxa" w:w="1247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2011-05-31 ~ 2011-11-30</w:t>
            </w:r>
          </w:p>
        </w:tc>
        <w:tc>
          <w:tcPr>
            <w:tcW w:type="dxa" w:w="1247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长度 6 个月（同截止日）</w:t>
            </w:r>
          </w:p>
        </w:tc>
        <w:tc>
          <w:tcPr>
            <w:tcW w:type="dxa" w:w="1247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3,016</w:t>
            </w:r>
          </w:p>
        </w:tc>
        <w:tc>
          <w:tcPr>
            <w:tcW w:type="dxa" w:w="1247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64.66</w:t>
            </w:r>
          </w:p>
        </w:tc>
        <w:tc>
          <w:tcPr>
            <w:tcW w:type="dxa" w:w="1247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0.7198</w:t>
            </w:r>
          </w:p>
        </w:tc>
        <w:tc>
          <w:tcPr>
            <w:tcW w:type="dxa" w:w="1247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0.7940</w:t>
            </w:r>
          </w:p>
        </w:tc>
        <w:tc>
          <w:tcPr>
            <w:tcW w:type="dxa" w:w="1247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0.3358</w:t>
            </w:r>
          </w:p>
        </w:tc>
      </w:tr>
      <w:tr>
        <w:tc>
          <w:tcPr>
            <w:tcW w:type="dxa" w:w="1247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2011-02-28 ~ 2011-11-30</w:t>
            </w:r>
          </w:p>
        </w:tc>
        <w:tc>
          <w:tcPr>
            <w:tcW w:type="dxa" w:w="1247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长度 9 个月（同截止日）</w:t>
            </w:r>
          </w:p>
        </w:tc>
        <w:tc>
          <w:tcPr>
            <w:tcW w:type="dxa" w:w="1247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2,682</w:t>
            </w:r>
          </w:p>
        </w:tc>
        <w:tc>
          <w:tcPr>
            <w:tcW w:type="dxa" w:w="1247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56.90</w:t>
            </w:r>
          </w:p>
        </w:tc>
        <w:tc>
          <w:tcPr>
            <w:tcW w:type="dxa" w:w="1247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0.7114</w:t>
            </w:r>
          </w:p>
        </w:tc>
        <w:tc>
          <w:tcPr>
            <w:tcW w:type="dxa" w:w="1247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0.7260</w:t>
            </w:r>
          </w:p>
        </w:tc>
        <w:tc>
          <w:tcPr>
            <w:tcW w:type="dxa" w:w="1247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0.3230</w:t>
            </w:r>
          </w:p>
        </w:tc>
      </w:tr>
    </w:tbl>
    <w:p>
      <w:pPr>
        <w:spacing w:after="40"/>
      </w:pP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/>
          <w:color w:val="000000"/>
          <w:sz w:val="24"/>
        </w:rPr>
        <w:t>问题三：按概率阈值触达真的划算吗？</w:t>
      </w:r>
      <w:r>
        <w:rPr>
          <w:rFonts w:ascii="Times New Roman" w:hAnsi="Times New Roman" w:eastAsia="宋体"/>
          <w:b w:val="0"/>
          <w:color w:val="000000"/>
          <w:sz w:val="24"/>
        </w:rPr>
        <w:t xml:space="preserve"> 这是把模型变成预算分配时的关键一问。设触达成本率为「触达支出 ÷ 客户历史价值」，挽回率为「被触达客户中留存下来的比例」，对四组成本—挽回情景各扫描 6 个触达比例（表 4-10）。结果是：</w:t>
      </w:r>
      <w:r>
        <w:rPr>
          <w:rFonts w:ascii="Times New Roman" w:hAnsi="Times New Roman" w:eastAsia="宋体"/>
          <w:b/>
          <w:color w:val="000000"/>
          <w:sz w:val="24"/>
        </w:rPr>
        <w:t>所有情景下的净收益都随触达比例单调上升，在扫描上限 50% 处仍未出现峰值</w:t>
      </w:r>
      <w:r>
        <w:rPr>
          <w:rFonts w:ascii="Times New Roman" w:hAnsi="Times New Roman" w:eastAsia="宋体"/>
          <w:b w:val="0"/>
          <w:color w:val="000000"/>
          <w:sz w:val="24"/>
        </w:rPr>
        <w:t>。这意味着按流失概率高低硬切一条线来圈定触达名单，并不能把预算花在刀刃上——模型的概率估计虽然有区分度（十分位流失率从 91.72% 梯次降至 32.52%，仅第 8、9 分位略有交叉），但高低概率客户的价值差异更大。因此本项目的预警名单不按概率排序，而按</w:t>
      </w:r>
      <w:r>
        <w:rPr>
          <w:rFonts w:ascii="Times New Roman" w:hAnsi="Times New Roman" w:eastAsia="宋体"/>
          <w:b/>
          <w:color w:val="000000"/>
          <w:sz w:val="24"/>
        </w:rPr>
        <w:t>期望损失 = 流失概率 × 历史累计消费</w:t>
      </w:r>
      <w:r>
        <w:rPr>
          <w:rFonts w:ascii="Times New Roman" w:hAnsi="Times New Roman" w:eastAsia="宋体"/>
          <w:b w:val="0"/>
          <w:color w:val="000000"/>
          <w:sz w:val="24"/>
        </w:rPr>
        <w:t>排序，使有限的挽留预算优先投向「走了最可惜」的客户。这一排序口径见图 6-6。</w:t>
      </w:r>
    </w:p>
    <w:p>
      <w:pPr>
        <w:spacing w:after="40"/>
        <w:jc w:val="center"/>
      </w:pPr>
      <w:r>
        <w:rPr>
          <w:rFonts w:ascii="Times New Roman" w:hAnsi="Times New Roman" w:eastAsia="黑体"/>
          <w:color w:val="000000"/>
          <w:sz w:val="21"/>
        </w:rPr>
        <w:t>表 4-10  流失预警阈值成本收益分析（扫描触达比例 5%—50%）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91"/>
        <w:gridCol w:w="1091"/>
        <w:gridCol w:w="1091"/>
        <w:gridCol w:w="1091"/>
        <w:gridCol w:w="1091"/>
        <w:gridCol w:w="1091"/>
        <w:gridCol w:w="1091"/>
        <w:gridCol w:w="1091"/>
      </w:tblGrid>
      <w:tr>
        <w:tc>
          <w:tcPr>
            <w:tcW w:type="dxa" w:w="1091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color w:val="000000"/>
                <w:sz w:val="20"/>
              </w:rPr>
              <w:t>触达成本率(%)</w:t>
            </w:r>
          </w:p>
        </w:tc>
        <w:tc>
          <w:tcPr>
            <w:tcW w:type="dxa" w:w="1091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color w:val="000000"/>
                <w:sz w:val="20"/>
              </w:rPr>
              <w:t>挽回率(%)</w:t>
            </w:r>
          </w:p>
        </w:tc>
        <w:tc>
          <w:tcPr>
            <w:tcW w:type="dxa" w:w="1091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color w:val="000000"/>
                <w:sz w:val="20"/>
              </w:rPr>
              <w:t>最优触达比例(%)</w:t>
            </w:r>
          </w:p>
        </w:tc>
        <w:tc>
          <w:tcPr>
            <w:tcW w:type="dxa" w:w="1091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color w:val="000000"/>
                <w:sz w:val="20"/>
              </w:rPr>
              <w:t>触达人数</w:t>
            </w:r>
          </w:p>
        </w:tc>
        <w:tc>
          <w:tcPr>
            <w:tcW w:type="dxa" w:w="1091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color w:val="000000"/>
                <w:sz w:val="20"/>
              </w:rPr>
              <w:t>命中真实流失数</w:t>
            </w:r>
          </w:p>
        </w:tc>
        <w:tc>
          <w:tcPr>
            <w:tcW w:type="dxa" w:w="1091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color w:val="000000"/>
                <w:sz w:val="20"/>
              </w:rPr>
              <w:t>挽回金额(£)</w:t>
            </w:r>
          </w:p>
        </w:tc>
        <w:tc>
          <w:tcPr>
            <w:tcW w:type="dxa" w:w="1091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color w:val="000000"/>
                <w:sz w:val="20"/>
              </w:rPr>
              <w:t>触达成本(£)</w:t>
            </w:r>
          </w:p>
        </w:tc>
        <w:tc>
          <w:tcPr>
            <w:tcW w:type="dxa" w:w="1091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color w:val="000000"/>
                <w:sz w:val="20"/>
              </w:rPr>
              <w:t>净收益(£)</w:t>
            </w:r>
          </w:p>
        </w:tc>
      </w:tr>
      <w:tr>
        <w:tc>
          <w:tcPr>
            <w:tcW w:type="dxa" w:w="1091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3</w:t>
            </w:r>
          </w:p>
        </w:tc>
        <w:tc>
          <w:tcPr>
            <w:tcW w:type="dxa" w:w="1091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50</w:t>
            </w:r>
          </w:p>
        </w:tc>
        <w:tc>
          <w:tcPr>
            <w:tcW w:type="dxa" w:w="1091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50</w:t>
            </w:r>
          </w:p>
        </w:tc>
        <w:tc>
          <w:tcPr>
            <w:tcW w:type="dxa" w:w="1091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1,628</w:t>
            </w:r>
          </w:p>
        </w:tc>
        <w:tc>
          <w:tcPr>
            <w:tcW w:type="dxa" w:w="1091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1,402</w:t>
            </w:r>
          </w:p>
        </w:tc>
        <w:tc>
          <w:tcPr>
            <w:tcW w:type="dxa" w:w="1091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235,523</w:t>
            </w:r>
          </w:p>
        </w:tc>
        <w:tc>
          <w:tcPr>
            <w:tcW w:type="dxa" w:w="1091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16,553</w:t>
            </w:r>
          </w:p>
        </w:tc>
        <w:tc>
          <w:tcPr>
            <w:tcW w:type="dxa" w:w="1091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218,970</w:t>
            </w:r>
          </w:p>
        </w:tc>
      </w:tr>
      <w:tr>
        <w:tc>
          <w:tcPr>
            <w:tcW w:type="dxa" w:w="1091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5</w:t>
            </w:r>
          </w:p>
        </w:tc>
        <w:tc>
          <w:tcPr>
            <w:tcW w:type="dxa" w:w="1091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50</w:t>
            </w:r>
          </w:p>
        </w:tc>
        <w:tc>
          <w:tcPr>
            <w:tcW w:type="dxa" w:w="1091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50</w:t>
            </w:r>
          </w:p>
        </w:tc>
        <w:tc>
          <w:tcPr>
            <w:tcW w:type="dxa" w:w="1091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1,628</w:t>
            </w:r>
          </w:p>
        </w:tc>
        <w:tc>
          <w:tcPr>
            <w:tcW w:type="dxa" w:w="1091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1,402</w:t>
            </w:r>
          </w:p>
        </w:tc>
        <w:tc>
          <w:tcPr>
            <w:tcW w:type="dxa" w:w="1091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235,523</w:t>
            </w:r>
          </w:p>
        </w:tc>
        <w:tc>
          <w:tcPr>
            <w:tcW w:type="dxa" w:w="1091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27,588</w:t>
            </w:r>
          </w:p>
        </w:tc>
        <w:tc>
          <w:tcPr>
            <w:tcW w:type="dxa" w:w="1091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207,935</w:t>
            </w:r>
          </w:p>
        </w:tc>
      </w:tr>
      <w:tr>
        <w:tc>
          <w:tcPr>
            <w:tcW w:type="dxa" w:w="1091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5</w:t>
            </w:r>
          </w:p>
        </w:tc>
        <w:tc>
          <w:tcPr>
            <w:tcW w:type="dxa" w:w="1091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30</w:t>
            </w:r>
          </w:p>
        </w:tc>
        <w:tc>
          <w:tcPr>
            <w:tcW w:type="dxa" w:w="1091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50</w:t>
            </w:r>
          </w:p>
        </w:tc>
        <w:tc>
          <w:tcPr>
            <w:tcW w:type="dxa" w:w="1091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1,628</w:t>
            </w:r>
          </w:p>
        </w:tc>
        <w:tc>
          <w:tcPr>
            <w:tcW w:type="dxa" w:w="1091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1,402</w:t>
            </w:r>
          </w:p>
        </w:tc>
        <w:tc>
          <w:tcPr>
            <w:tcW w:type="dxa" w:w="1091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141,314</w:t>
            </w:r>
          </w:p>
        </w:tc>
        <w:tc>
          <w:tcPr>
            <w:tcW w:type="dxa" w:w="1091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27,588</w:t>
            </w:r>
          </w:p>
        </w:tc>
        <w:tc>
          <w:tcPr>
            <w:tcW w:type="dxa" w:w="1091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113,726</w:t>
            </w:r>
          </w:p>
        </w:tc>
      </w:tr>
      <w:tr>
        <w:tc>
          <w:tcPr>
            <w:tcW w:type="dxa" w:w="1091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10</w:t>
            </w:r>
          </w:p>
        </w:tc>
        <w:tc>
          <w:tcPr>
            <w:tcW w:type="dxa" w:w="1091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30</w:t>
            </w:r>
          </w:p>
        </w:tc>
        <w:tc>
          <w:tcPr>
            <w:tcW w:type="dxa" w:w="1091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50</w:t>
            </w:r>
          </w:p>
        </w:tc>
        <w:tc>
          <w:tcPr>
            <w:tcW w:type="dxa" w:w="1091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1,628</w:t>
            </w:r>
          </w:p>
        </w:tc>
        <w:tc>
          <w:tcPr>
            <w:tcW w:type="dxa" w:w="1091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1,402</w:t>
            </w:r>
          </w:p>
        </w:tc>
        <w:tc>
          <w:tcPr>
            <w:tcW w:type="dxa" w:w="1091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141,314</w:t>
            </w:r>
          </w:p>
        </w:tc>
        <w:tc>
          <w:tcPr>
            <w:tcW w:type="dxa" w:w="1091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55,175</w:t>
            </w:r>
          </w:p>
        </w:tc>
        <w:tc>
          <w:tcPr>
            <w:tcW w:type="dxa" w:w="1091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86,138</w:t>
            </w:r>
          </w:p>
        </w:tc>
      </w:tr>
    </w:tbl>
    <w:p>
      <w:pPr>
        <w:spacing w:after="40"/>
      </w:pP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此外还验证了集成是否值得引入：将逻辑回归与随机森林的</w:t>
      </w:r>
      <w:r>
        <w:rPr>
          <w:rFonts w:ascii="Times New Roman" w:hAnsi="Times New Roman" w:eastAsia="宋体"/>
          <w:b/>
          <w:color w:val="000000"/>
          <w:sz w:val="24"/>
        </w:rPr>
        <w:t>交叉验证样本外概率</w:t>
      </w:r>
      <w:r>
        <w:rPr>
          <w:rFonts w:ascii="Times New Roman" w:hAnsi="Times New Roman" w:eastAsia="宋体"/>
          <w:b w:val="0"/>
          <w:color w:val="000000"/>
          <w:sz w:val="24"/>
        </w:rPr>
        <w:t>等权平均，AUC 仅从 0.7241 提升至 0.7244（+0.0003）。提升幅度远不足以抵消模型复杂度与可解释性的损失，故最终采用单一逻辑回归作为主模型。这里必须强调方法细节：集成概率必须来自交叉验证的样本外预测，若直接用训练集上的拟合概率求平均，会得到 0.7625 这类虚高值——那是 in-sample 指标，与 CV 口径不可比。</w:t>
      </w:r>
    </w:p>
    <w:p>
      <w:pPr>
        <w:keepNext/>
        <w:spacing w:line="360" w:lineRule="auto" w:before="160" w:after="80"/>
        <w:outlineLvl w:val="0"/>
      </w:pPr>
      <w:r>
        <w:rPr>
          <w:rFonts w:ascii="Times New Roman" w:hAnsi="Times New Roman" w:eastAsia="黑体"/>
          <w:b/>
          <w:color w:val="000000"/>
          <w:sz w:val="28"/>
        </w:rPr>
        <w:t>5 Python 数据分析与可视化</w:t>
      </w:r>
    </w:p>
    <w:p>
      <w:pPr>
        <w:keepNext/>
        <w:spacing w:line="360" w:lineRule="auto" w:before="100" w:after="80"/>
        <w:outlineLvl w:val="1"/>
      </w:pPr>
      <w:r>
        <w:rPr>
          <w:rFonts w:ascii="Times New Roman" w:hAnsi="Times New Roman" w:eastAsia="黑体"/>
          <w:b/>
          <w:color w:val="000000"/>
          <w:sz w:val="24"/>
        </w:rPr>
        <w:t>5.1 数据探索性分析</w:t>
      </w: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正式建模前，先通过 EDA 建立对数据分布的直觉。主要发现有三点：其一，订单金额呈典型右偏分布，均值显著高于中位数，说明存在大额批发订单拉高均值，这直接支撑了后文 RFM 用中位数切分的决定；其二，销售额在星期维度上分布极不均衡，周三至周五为高峰、周末几乎无交易，反映该商家以 B2B 工作日接单为主；其三，年度内销售额呈现明显的「9—11 月冲高、12 月回落」节奏，与礼品行业的圣诞备货周期吻合。</w:t>
      </w: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这些 EDA 结论不是孤立的观察，而是直接参与了后续的模型参数决策——这正是探索性分析的价值所在。</w:t>
      </w:r>
    </w:p>
    <w:p>
      <w:pPr>
        <w:spacing w:before="120" w:after="20"/>
        <w:jc w:val="center"/>
      </w:pPr>
      <w:r>
        <w:drawing>
          <wp:inline xmlns:a="http://schemas.openxmlformats.org/drawingml/2006/main" xmlns:pic="http://schemas.openxmlformats.org/drawingml/2006/picture">
            <wp:extent cx="5400000" cy="32697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3_weekday_hour_heatmap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2697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hAnsi="Times New Roman" w:eastAsia="宋体"/>
          <w:color w:val="000000"/>
          <w:sz w:val="21"/>
        </w:rPr>
        <w:t>图 5-1  星期 × 时段销售额热力图（fig13）</w:t>
      </w: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图 5-1 显示销售额高度集中于工作日的上午 10 时至下午 15 时，周末与清晨时段近乎空白。这一发现有两层业务含义：一是客服与仓储排班应向工作日白天倾斜；二是营销邮件的发送时机应避开周末，否则触达效率会大打折扣。</w:t>
      </w:r>
    </w:p>
    <w:p>
      <w:pPr>
        <w:keepNext/>
        <w:spacing w:line="360" w:lineRule="auto" w:before="100" w:after="80"/>
        <w:outlineLvl w:val="1"/>
      </w:pPr>
      <w:r>
        <w:rPr>
          <w:rFonts w:ascii="Times New Roman" w:hAnsi="Times New Roman" w:eastAsia="黑体"/>
          <w:b/>
          <w:color w:val="000000"/>
          <w:sz w:val="24"/>
        </w:rPr>
        <w:t>5.2 可视化模板复现</w:t>
      </w: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本节对照《Excel 数据可视化——从图表到数据大屏》中的典型模板，使用 Matplotlib 与 Seaborn 复现 25 种图表类型，在图表类型、布局结构、配色方案、标签样式、图例位置、标题设计六个方面贴近原模板。全部 37 张图统一为 200dpi（超过 150dpi 要求），命名规范为 figNN_&lt;主题&gt;.png。</w:t>
      </w:r>
    </w:p>
    <w:p>
      <w:pPr>
        <w:spacing w:after="40"/>
        <w:jc w:val="center"/>
      </w:pPr>
      <w:r>
        <w:rPr>
          <w:rFonts w:ascii="Times New Roman" w:hAnsi="Times New Roman" w:eastAsia="黑体"/>
          <w:color w:val="000000"/>
          <w:sz w:val="21"/>
        </w:rPr>
        <w:t>表 5-1  模板复现清单（25 种，逐图对照）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83"/>
        <w:gridCol w:w="2183"/>
        <w:gridCol w:w="2183"/>
        <w:gridCol w:w="2183"/>
      </w:tblGrid>
      <w:tr>
        <w:tc>
          <w:tcPr>
            <w:tcW w:type="dxa" w:w="2183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color w:val="000000"/>
                <w:sz w:val="20"/>
              </w:rPr>
              <w:t>序号</w:t>
            </w:r>
          </w:p>
        </w:tc>
        <w:tc>
          <w:tcPr>
            <w:tcW w:type="dxa" w:w="2183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color w:val="000000"/>
                <w:sz w:val="20"/>
              </w:rPr>
              <w:t>模板图型</w:t>
            </w:r>
          </w:p>
        </w:tc>
        <w:tc>
          <w:tcPr>
            <w:tcW w:type="dxa" w:w="2183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color w:val="000000"/>
                <w:sz w:val="20"/>
              </w:rPr>
              <w:t>对应图号</w:t>
            </w:r>
          </w:p>
        </w:tc>
        <w:tc>
          <w:tcPr>
            <w:tcW w:type="dxa" w:w="2183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color w:val="000000"/>
                <w:sz w:val="20"/>
              </w:rPr>
              <w:t>复现要点（配色 / 标签 / 图例 / 标题）</w:t>
            </w:r>
          </w:p>
        </w:tc>
      </w:tr>
      <w:tr>
        <w:tc>
          <w:tcPr>
            <w:tcW w:type="dxa" w:w="2183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1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组合图·环比同比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fig01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柱（销售额）+ 双折线（MoM / YoY%）、右轴百分比、零基准线</w:t>
            </w:r>
          </w:p>
        </w:tc>
      </w:tr>
      <w:tr>
        <w:tc>
          <w:tcPr>
            <w:tcW w:type="dxa" w:w="2183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2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折线图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fig02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MA30 叠加主线、峰值点标注、网格弱化、纵轴千分位</w:t>
            </w:r>
          </w:p>
        </w:tc>
      </w:tr>
      <w:tr>
        <w:tc>
          <w:tcPr>
            <w:tcW w:type="dxa" w:w="2183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3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面积图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fig03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双系列半透明填充、月份标签旋转 45°、右轴订单量</w:t>
            </w:r>
          </w:p>
        </w:tc>
      </w:tr>
      <w:tr>
        <w:tc>
          <w:tcPr>
            <w:tcW w:type="dxa" w:w="2183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4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柱形图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fig04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降序排列、柱顶数值标签、顶部留白、去除上右边框</w:t>
            </w:r>
          </w:p>
        </w:tc>
      </w:tr>
      <w:tr>
        <w:tc>
          <w:tcPr>
            <w:tcW w:type="dxa" w:w="2183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5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条形图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fig05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TOP15 横向降序、条内数值标签、首项高亮</w:t>
            </w:r>
          </w:p>
        </w:tc>
      </w:tr>
      <w:tr>
        <w:tc>
          <w:tcPr>
            <w:tcW w:type="dxa" w:w="2183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6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环形图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fig06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中心显示总计、引线标签、末 8 国合并为「其他」</w:t>
            </w:r>
          </w:p>
        </w:tc>
      </w:tr>
      <w:tr>
        <w:tc>
          <w:tcPr>
            <w:tcW w:type="dxa" w:w="2183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7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堆积柱形图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fig07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国别分层堆积、图例置右上不遮挡、月份全年覆盖</w:t>
            </w:r>
          </w:p>
        </w:tc>
      </w:tr>
      <w:tr>
        <w:tc>
          <w:tcPr>
            <w:tcW w:type="dxa" w:w="2183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8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百分比堆积柱形图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fig08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按 100% 归一、格内占比标签、品类固定色序</w:t>
            </w:r>
          </w:p>
        </w:tc>
      </w:tr>
      <w:tr>
        <w:tc>
          <w:tcPr>
            <w:tcW w:type="dxa" w:w="2183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9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散点图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fig09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双对数轴、幂律趋势线、点透明度防重叠</w:t>
            </w:r>
          </w:p>
        </w:tc>
      </w:tr>
      <w:tr>
        <w:tc>
          <w:tcPr>
            <w:tcW w:type="dxa" w:w="2183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10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气泡图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fig10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气泡面积编码销售额、双轴、独立尺寸图例</w:t>
            </w:r>
          </w:p>
        </w:tc>
      </w:tr>
      <w:tr>
        <w:tc>
          <w:tcPr>
            <w:tcW w:type="dxa" w:w="2183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11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直方图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fig11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KDE 曲线叠加、均值/中位数虚线、分箱数 60</w:t>
            </w:r>
          </w:p>
        </w:tc>
      </w:tr>
      <w:tr>
        <w:tc>
          <w:tcPr>
            <w:tcW w:type="dxa" w:w="2183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12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箱线图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fig12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均值点标记、中位数标注、异常点淡化</w:t>
            </w:r>
          </w:p>
        </w:tc>
      </w:tr>
      <w:tr>
        <w:tc>
          <w:tcPr>
            <w:tcW w:type="dxa" w:w="2183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13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热力图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fig13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星期 × 时段矩阵、色标条、单元格数值标注</w:t>
            </w:r>
          </w:p>
        </w:tc>
      </w:tr>
      <w:tr>
        <w:tc>
          <w:tcPr>
            <w:tcW w:type="dxa" w:w="2183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14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雷达图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fig14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TOP5 国家五维、指标归一化、半透明填充</w:t>
            </w:r>
          </w:p>
        </w:tc>
      </w:tr>
      <w:tr>
        <w:tc>
          <w:tcPr>
            <w:tcW w:type="dxa" w:w="2183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15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瀑布图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fig15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涨跌异色、浮动连接线、两端累计柱</w:t>
            </w:r>
          </w:p>
        </w:tc>
      </w:tr>
      <w:tr>
        <w:tc>
          <w:tcPr>
            <w:tcW w:type="dxa" w:w="2183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16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仪表盘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fig16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指针 + 阈值分色带、达成率大字、年度对照副标题</w:t>
            </w:r>
          </w:p>
        </w:tc>
      </w:tr>
      <w:tr>
        <w:tc>
          <w:tcPr>
            <w:tcW w:type="dxa" w:w="2183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17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日历热力图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fig17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年-月-日格网、色标条、休市日留白</w:t>
            </w:r>
          </w:p>
        </w:tc>
      </w:tr>
      <w:tr>
        <w:tc>
          <w:tcPr>
            <w:tcW w:type="dxa" w:w="2183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18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坡度图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fig18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双时点连线、左右双标签、增降异色</w:t>
            </w:r>
          </w:p>
        </w:tc>
      </w:tr>
      <w:tr>
        <w:tc>
          <w:tcPr>
            <w:tcW w:type="dxa" w:w="2183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19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三轴组合图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fig19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柱（销售额）+ 折线（订单数）+ 第三轴（客单价）</w:t>
            </w:r>
          </w:p>
        </w:tc>
      </w:tr>
      <w:tr>
        <w:tc>
          <w:tcPr>
            <w:tcW w:type="dxa" w:w="2183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20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多重折线图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fig25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MA7 / MA30 / MA90 三线、线型区分、图例置右上</w:t>
            </w:r>
          </w:p>
        </w:tc>
      </w:tr>
      <w:tr>
        <w:tc>
          <w:tcPr>
            <w:tcW w:type="dxa" w:w="2183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21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玫瑰图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fig20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扇形半径编码销售额、极坐标网格、品类色序一致</w:t>
            </w:r>
          </w:p>
        </w:tc>
      </w:tr>
      <w:tr>
        <w:tc>
          <w:tcPr>
            <w:tcW w:type="dxa" w:w="2183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22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子弹图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fig21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目标区间带 + 实际条 + 达标刻度、横向排序</w:t>
            </w:r>
          </w:p>
        </w:tc>
      </w:tr>
      <w:tr>
        <w:tc>
          <w:tcPr>
            <w:tcW w:type="dxa" w:w="2183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23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小提琴图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fig22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内嵌迷你箱线、季度分组配色、中位数白点</w:t>
            </w:r>
          </w:p>
        </w:tc>
      </w:tr>
      <w:tr>
        <w:tc>
          <w:tcPr>
            <w:tcW w:type="dxa" w:w="2183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24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矩形树图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fig23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squarify 面积编码、层级标签、边界留白</w:t>
            </w:r>
          </w:p>
        </w:tc>
      </w:tr>
      <w:tr>
        <w:tc>
          <w:tcPr>
            <w:tcW w:type="dxa" w:w="2183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25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词云图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fig24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字号编码频次、停用词表过滤、随机种子固定</w:t>
            </w:r>
          </w:p>
        </w:tc>
      </w:tr>
    </w:tbl>
    <w:p>
      <w:pPr>
        <w:spacing w:after="40"/>
      </w:pP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其中瀑布图、子弹图、坡度图、矩形树图、玫瑰图、仪表盘、日历热力图等图型，Matplotlib 均</w:t>
      </w:r>
      <w:r>
        <w:rPr>
          <w:rFonts w:ascii="Times New Roman" w:hAnsi="Times New Roman" w:eastAsia="宋体"/>
          <w:b/>
          <w:color w:val="000000"/>
          <w:sz w:val="24"/>
        </w:rPr>
        <w:t>无原生支持</w:t>
      </w:r>
      <w:r>
        <w:rPr>
          <w:rFonts w:ascii="Times New Roman" w:hAnsi="Times New Roman" w:eastAsia="宋体"/>
          <w:b w:val="0"/>
          <w:color w:val="000000"/>
          <w:sz w:val="24"/>
        </w:rPr>
        <w:t>。本项目在 scripts/utils/chart_helpers.py 中自行实现了这些图型的绘制函数（矩形树图采用经典 squarify 算法，保证子矩形长宽比接近 1），弥补了 Python 生态的这一空白，也是本项目在技术层面的主要工作量之一。</w:t>
      </w: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配色方面，统一采用一套 12 色商业配色板，并在 style.py 中集中管理，保证 37 张图的视觉语言一致；中文字体通过 rcParams 注册 SimHei 解决方块字问题，坐标轴均标注单位（英镑 / 订单数 / 客户数），图例位置统一置于不遮挡数据的角落。</w:t>
      </w:r>
    </w:p>
    <w:p>
      <w:pPr>
        <w:keepNext/>
        <w:spacing w:line="360" w:lineRule="auto" w:before="100" w:after="80"/>
        <w:outlineLvl w:val="2"/>
      </w:pPr>
      <w:r>
        <w:rPr>
          <w:rFonts w:ascii="Times New Roman" w:hAnsi="Times New Roman" w:eastAsia="黑体"/>
          <w:b/>
          <w:color w:val="000000"/>
          <w:sz w:val="24"/>
        </w:rPr>
        <w:t>5.2.1 Python 与 Excel 可视化实现的异同</w:t>
      </w: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本项目的模板蓝本来自 Excel 可视化教材，但全部改用 Python 重新实现。两种技术路线在数据规模、图表扩展性、批量产出、交互能力与可复现性五个维度上差异显著，具体对照见表 5-2。</w:t>
      </w:r>
    </w:p>
    <w:p>
      <w:pPr>
        <w:spacing w:after="40"/>
        <w:jc w:val="center"/>
      </w:pPr>
      <w:r>
        <w:rPr>
          <w:rFonts w:ascii="Times New Roman" w:hAnsi="Times New Roman" w:eastAsia="黑体"/>
          <w:color w:val="000000"/>
          <w:sz w:val="21"/>
        </w:rPr>
        <w:t>表 5-2  Python 与 Excel 可视化实现异同对照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911"/>
        <w:gridCol w:w="2911"/>
        <w:gridCol w:w="2911"/>
      </w:tblGrid>
      <w:tr>
        <w:tc>
          <w:tcPr>
            <w:tcW w:type="dxa" w:w="2911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color w:val="000000"/>
                <w:sz w:val="20"/>
              </w:rPr>
              <w:t>对比维度</w:t>
            </w:r>
          </w:p>
        </w:tc>
        <w:tc>
          <w:tcPr>
            <w:tcW w:type="dxa" w:w="2911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color w:val="000000"/>
                <w:sz w:val="20"/>
              </w:rPr>
              <w:t>Excel 实现</w:t>
            </w:r>
          </w:p>
        </w:tc>
        <w:tc>
          <w:tcPr>
            <w:tcW w:type="dxa" w:w="2911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color w:val="000000"/>
                <w:sz w:val="20"/>
              </w:rPr>
              <w:t>Python 实现（本项目）</w:t>
            </w:r>
          </w:p>
        </w:tc>
      </w:tr>
      <w:tr>
        <w:tc>
          <w:tcPr>
            <w:tcW w:type="dxa" w:w="2911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数据规模</w:t>
            </w:r>
          </w:p>
        </w:tc>
        <w:tc>
          <w:tcPr>
            <w:tcW w:type="dxa" w:w="2911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受 104 万行上限约束，明细透视需先汇总，口径易漂移</w:t>
            </w:r>
          </w:p>
        </w:tc>
        <w:tc>
          <w:tcPr>
            <w:tcW w:type="dxa" w:w="2911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Pandas 直接处理 30.28 万行明细，聚合口径由代码固化，结果可追溯</w:t>
            </w:r>
          </w:p>
        </w:tc>
      </w:tr>
      <w:tr>
        <w:tc>
          <w:tcPr>
            <w:tcW w:type="dxa" w:w="2911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图表类型</w:t>
            </w:r>
          </w:p>
        </w:tc>
        <w:tc>
          <w:tcPr>
            <w:tcW w:type="dxa" w:w="2911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内置类型有限，瀑布图、矩形树图等依赖插件或手工拼装</w:t>
            </w:r>
          </w:p>
        </w:tc>
        <w:tc>
          <w:tcPr>
            <w:tcW w:type="dxa" w:w="2911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Matplotlib 无原生支持的图型由 chart_helpers.py 自行绘制（squarify 算法等），类型不受限</w:t>
            </w:r>
          </w:p>
        </w:tc>
      </w:tr>
      <w:tr>
        <w:tc>
          <w:tcPr>
            <w:tcW w:type="dxa" w:w="2911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批量产出</w:t>
            </w:r>
          </w:p>
        </w:tc>
        <w:tc>
          <w:tcPr>
            <w:tcW w:type="dxa" w:w="2911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逐图手工设置，37 张图需重复大量点击操作</w:t>
            </w:r>
          </w:p>
        </w:tc>
        <w:tc>
          <w:tcPr>
            <w:tcW w:type="dxa" w:w="2911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run_all.py 一条命令重跑全部图表，改参即全量刷新，全程无人工介入</w:t>
            </w:r>
          </w:p>
        </w:tc>
      </w:tr>
      <w:tr>
        <w:tc>
          <w:tcPr>
            <w:tcW w:type="dxa" w:w="2911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交互能力</w:t>
            </w:r>
          </w:p>
        </w:tc>
        <w:tc>
          <w:tcPr>
            <w:tcW w:type="dxa" w:w="2911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切片器与数据验证仅限工作簿内部，无法嵌入网页</w:t>
            </w:r>
          </w:p>
        </w:tc>
        <w:tc>
          <w:tcPr>
            <w:tcW w:type="dxa" w:w="2911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Pyecharts 生成 22 组件联动大屏，支持悬停提示、图例筛选与多维下钻，可离线单文件分发</w:t>
            </w:r>
          </w:p>
        </w:tc>
      </w:tr>
      <w:tr>
        <w:tc>
          <w:tcPr>
            <w:tcW w:type="dxa" w:w="2911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复现与协作</w:t>
            </w:r>
          </w:p>
        </w:tc>
        <w:tc>
          <w:tcPr>
            <w:tcW w:type="dxa" w:w="2911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分析过程难以版本化管理，他人无法验证口径</w:t>
            </w:r>
          </w:p>
        </w:tc>
        <w:tc>
          <w:tcPr>
            <w:tcW w:type="dxa" w:w="2911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全流程代码化，Git 版本管理 + 一键复现，克隆仓库即可逐字节重建成果</w:t>
            </w:r>
          </w:p>
        </w:tc>
      </w:tr>
      <w:tr>
        <w:tc>
          <w:tcPr>
            <w:tcW w:type="dxa" w:w="2911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上手成本</w:t>
            </w:r>
          </w:p>
        </w:tc>
        <w:tc>
          <w:tcPr>
            <w:tcW w:type="dxa" w:w="2911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门槛低，适合一次性探索分析</w:t>
            </w:r>
          </w:p>
        </w:tc>
        <w:tc>
          <w:tcPr>
            <w:tcW w:type="dxa" w:w="2911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需编程基础，但换来的是可复用、可审计的分析资产</w:t>
            </w:r>
          </w:p>
        </w:tc>
      </w:tr>
    </w:tbl>
    <w:p>
      <w:pPr>
        <w:spacing w:after="40"/>
      </w:pP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需要强调的是，两者并非替代关系而是互补关系：Excel 在本项目中承担数据查看与结果核对的辅助角色（符合作业要求），Python 则负责正式成果的产出。这一分工恰恰说明：当分析对象达到数十万行量级、模型数量超过 3 种、图表需要批量更新时，Python 全栈方案在效率与可复现性上具有结构性优势，这也是本作业选择 Python 技术栈的核心理由。</w:t>
      </w:r>
    </w:p>
    <w:p>
      <w:pPr>
        <w:keepNext/>
        <w:spacing w:line="360" w:lineRule="auto" w:before="100" w:after="80"/>
        <w:outlineLvl w:val="1"/>
      </w:pPr>
      <w:r>
        <w:rPr>
          <w:rFonts w:ascii="Times New Roman" w:hAnsi="Times New Roman" w:eastAsia="黑体"/>
          <w:b/>
          <w:color w:val="000000"/>
          <w:sz w:val="24"/>
        </w:rPr>
        <w:t>5.3 业务模型图</w:t>
      </w: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与第 4 章模型一一对应，共输出 12 张业务模型图（M2、M5、M10 各含 2 张）。本节选取关键几张做解读。</w:t>
      </w:r>
    </w:p>
    <w:p>
      <w:pPr>
        <w:spacing w:before="120" w:after="20"/>
        <w:jc w:val="center"/>
      </w:pPr>
      <w:r>
        <w:drawing>
          <wp:inline xmlns:a="http://schemas.openxmlformats.org/drawingml/2006/main" xmlns:pic="http://schemas.openxmlformats.org/drawingml/2006/picture">
            <wp:extent cx="5400000" cy="3017315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6_rfm_scatter_ch8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0173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hAnsi="Times New Roman" w:eastAsia="宋体"/>
          <w:color w:val="000000"/>
          <w:sz w:val="21"/>
        </w:rPr>
        <w:t>图 5-2  RFM 八分类客户价值矩阵（fig26）</w:t>
      </w: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图 5-2 将客户按 R/F/M 三个维度的高低组合投影为八个象限，气泡大小代表客户数。右上方（低 Recency、高 Frequency、高 Monetary）为「重要价值客户」，是最应优先保障服务资源的一群；左下方的「一般挽留客户」虽然人数不少，但消费间隔长、金额低，投入产出错配，应改用低成本的自动化触达。</w:t>
      </w:r>
    </w:p>
    <w:p>
      <w:pPr>
        <w:spacing w:before="120" w:after="20"/>
        <w:jc w:val="center"/>
      </w:pPr>
      <w:r>
        <w:drawing>
          <wp:inline xmlns:a="http://schemas.openxmlformats.org/drawingml/2006/main" xmlns:pic="http://schemas.openxmlformats.org/drawingml/2006/picture">
            <wp:extent cx="5400000" cy="309772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8_cohort_retention_heatmap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0977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hAnsi="Times New Roman" w:eastAsia="宋体"/>
          <w:color w:val="000000"/>
          <w:sz w:val="21"/>
        </w:rPr>
        <w:t>图 5-3  月度同期群留存热力图（fig28）</w:t>
      </w: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 xml:space="preserve">图 5-3 是本项目信息量最大的一张图。横轴为下单后的第 N 个月，纵轴为首购月份。可以看到留存率从第 0 个月的 100% </w:t>
      </w:r>
      <w:r>
        <w:rPr>
          <w:rFonts w:ascii="Times New Roman" w:hAnsi="Times New Roman" w:eastAsia="宋体"/>
          <w:b/>
          <w:color w:val="000000"/>
          <w:sz w:val="24"/>
        </w:rPr>
        <w:t>骤降至第 1 个月的 10.65%</w:t>
      </w:r>
      <w:r>
        <w:rPr>
          <w:rFonts w:ascii="Times New Roman" w:hAnsi="Times New Roman" w:eastAsia="宋体"/>
          <w:b w:val="0"/>
          <w:color w:val="000000"/>
          <w:sz w:val="24"/>
        </w:rPr>
        <w:t>，随后在第 2~15 个月稳定在 8.4%~10.9% 区间，第 16 个月起缓慢抬升至 12% 一线，末期最高触及 20%（但末期月份仅覆盖 1~3 个同期群，需谨慎解读）。这条曲线形态说明：该商家的客户留存是「一次性断崖 + 长期平台」模式，而非持续衰减模式。换言之，能在第 2 个月留下来的客户，后续会长期保持活跃，流失风险反而很低。</w:t>
      </w:r>
    </w:p>
    <w:p>
      <w:pPr>
        <w:spacing w:before="120" w:after="20"/>
        <w:jc w:val="center"/>
      </w:pPr>
      <w:r>
        <w:drawing>
          <wp:inline xmlns:a="http://schemas.openxmlformats.org/drawingml/2006/main" xmlns:pic="http://schemas.openxmlformats.org/drawingml/2006/picture">
            <wp:extent cx="5400000" cy="2709771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9_pareto_abc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7097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hAnsi="Times New Roman" w:eastAsia="宋体"/>
          <w:color w:val="000000"/>
          <w:sz w:val="21"/>
        </w:rPr>
        <w:t>图 5-4  TOP30 商品帕累托图与 ABC 分界（fig29）</w:t>
      </w: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图 5-4 将商品按销售额降序排列，柱形为单品销售额，折线为累计占比，两条虚线标出 A（累计 80%）、B（累计 95%）的分界点。结果显示：仅 996 个 SKU（占建模窗口内 4,493 个 SKU 的 22.17%）就贡献了 80% 的销售额，而 2,291 个 SKU（占 50.99%）合计只贡献 5%。这是一个教科书式的帕累托分布，也意味着库存结构存在巨大的优化空间。</w:t>
      </w:r>
    </w:p>
    <w:p>
      <w:pPr>
        <w:spacing w:before="120" w:after="20"/>
        <w:jc w:val="center"/>
      </w:pPr>
      <w:r>
        <w:drawing>
          <wp:inline xmlns:a="http://schemas.openxmlformats.org/drawingml/2006/main" xmlns:pic="http://schemas.openxmlformats.org/drawingml/2006/picture">
            <wp:extent cx="5400000" cy="3549373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32_bcg_matrix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5493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hAnsi="Times New Roman" w:eastAsia="宋体"/>
          <w:color w:val="000000"/>
          <w:sz w:val="21"/>
        </w:rPr>
        <w:t>图 5-5  品类波士顿矩阵四象限（fig32）</w:t>
      </w: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图 5-5 以相对份额为横轴、同比增速为纵轴，气泡面积代表品类销售额。「Other Household」与「Kitchen &amp; Dining」落入金牛象限（高份额、低增速），是当前的现金来源；「Bags &amp; Storage」与「Home Decor &amp; Lighting」为明星品类；「Christmas &amp; Seasonal」同比增速高达 40.61%、「Party &amp; Occasion」达 50.52%，但份额尚低，属于典型的问题品类——它们是明年的潜在明星，值得投入资源培育；「Jewellery &amp; Accessory」同比下滑 48.27%，份额与增速双低，应列入收割或退出的候选。</w:t>
      </w:r>
    </w:p>
    <w:p>
      <w:pPr>
        <w:spacing w:before="120" w:after="20"/>
        <w:jc w:val="center"/>
      </w:pPr>
      <w:r>
        <w:drawing>
          <wp:inline xmlns:a="http://schemas.openxmlformats.org/drawingml/2006/main" xmlns:pic="http://schemas.openxmlformats.org/drawingml/2006/picture">
            <wp:extent cx="5400000" cy="251423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33_forecast_ci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5142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hAnsi="Times New Roman" w:eastAsia="宋体"/>
          <w:color w:val="000000"/>
          <w:sz w:val="21"/>
        </w:rPr>
        <w:t>图 5-6  日销售额预测：点预测 + 95% 置信区间 + 回测（fig33）</w:t>
      </w:r>
    </w:p>
    <w:p>
      <w:pPr>
        <w:keepNext/>
        <w:spacing w:line="360" w:lineRule="auto" w:before="100" w:after="80"/>
        <w:outlineLvl w:val="1"/>
      </w:pPr>
      <w:r>
        <w:rPr>
          <w:rFonts w:ascii="Times New Roman" w:hAnsi="Times New Roman" w:eastAsia="黑体"/>
          <w:b/>
          <w:color w:val="000000"/>
          <w:sz w:val="24"/>
        </w:rPr>
        <w:t>5.4 交互式可视化大屏</w:t>
      </w: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在静态图之外，本项目使用 Pyecharts 搭建了一个暗色主题的交互式商业分析大屏，输出为 outputs/dashboard/dashboard_dark.html，共 4 个标签页、22 个组件，全部由 Python 代码生成。</w:t>
      </w:r>
    </w:p>
    <w:p>
      <w:pPr>
        <w:spacing w:after="40"/>
        <w:jc w:val="center"/>
      </w:pPr>
      <w:r>
        <w:rPr>
          <w:rFonts w:ascii="Times New Roman" w:hAnsi="Times New Roman" w:eastAsia="黑体"/>
          <w:color w:val="000000"/>
          <w:sz w:val="21"/>
        </w:rPr>
        <w:t>表 5-3  交互大屏组件清单（4 页 22 组件）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911"/>
        <w:gridCol w:w="2911"/>
        <w:gridCol w:w="2911"/>
      </w:tblGrid>
      <w:tr>
        <w:tc>
          <w:tcPr>
            <w:tcW w:type="dxa" w:w="2911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color w:val="000000"/>
                <w:sz w:val="20"/>
              </w:rPr>
              <w:t>标签页</w:t>
            </w:r>
          </w:p>
        </w:tc>
        <w:tc>
          <w:tcPr>
            <w:tcW w:type="dxa" w:w="2911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color w:val="000000"/>
                <w:sz w:val="20"/>
              </w:rPr>
              <w:t>组件</w:t>
            </w:r>
          </w:p>
        </w:tc>
        <w:tc>
          <w:tcPr>
            <w:tcW w:type="dxa" w:w="2911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color w:val="000000"/>
                <w:sz w:val="20"/>
              </w:rPr>
              <w:t>交互能力</w:t>
            </w:r>
          </w:p>
        </w:tc>
      </w:tr>
      <w:tr>
        <w:tc>
          <w:tcPr>
            <w:tcW w:type="dxa" w:w="2911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① 销售总览</w:t>
            </w:r>
          </w:p>
        </w:tc>
        <w:tc>
          <w:tcPr>
            <w:tcW w:type="dxa" w:w="2911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趋势图、双轴图、国家柱形、月度排名时间轴、星期时段热力图</w:t>
            </w:r>
          </w:p>
        </w:tc>
        <w:tc>
          <w:tcPr>
            <w:tcW w:type="dxa" w:w="2911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时间轴自动轮播、数据缩放、悬停提示</w:t>
            </w:r>
          </w:p>
        </w:tc>
      </w:tr>
      <w:tr>
        <w:tc>
          <w:tcPr>
            <w:tcW w:type="dxa" w:w="2911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② 客户洞察</w:t>
            </w:r>
          </w:p>
        </w:tc>
        <w:tc>
          <w:tcPr>
            <w:tcW w:type="dxa" w:w="2911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RFM 贡献玫瑰图、客群规模柱形、同期群留存曲线、复购漏斗、分群画像、流失预警十分位区分度、预警名单 TOP10</w:t>
            </w:r>
          </w:p>
        </w:tc>
        <w:tc>
          <w:tcPr>
            <w:tcW w:type="dxa" w:w="2911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图例筛选、悬停显示留存率、名单表排序</w:t>
            </w:r>
          </w:p>
        </w:tc>
      </w:tr>
      <w:tr>
        <w:tc>
          <w:tcPr>
            <w:tcW w:type="dxa" w:w="2911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③ 商品结构</w:t>
            </w:r>
          </w:p>
        </w:tc>
        <w:tc>
          <w:tcPr>
            <w:tcW w:type="dxa" w:w="2911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TOP10 商品、品类环形、商品词云、ABC 贡献、关联规则 Lift 榜、明细表</w:t>
            </w:r>
          </w:p>
        </w:tc>
        <w:tc>
          <w:tcPr>
            <w:tcW w:type="dxa" w:w="2911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词云点击、表格排序、图例联动</w:t>
            </w:r>
          </w:p>
        </w:tc>
      </w:tr>
      <w:tr>
        <w:tc>
          <w:tcPr>
            <w:tcW w:type="dxa" w:w="2911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④ 预测复盘</w:t>
            </w:r>
          </w:p>
        </w:tc>
        <w:tc>
          <w:tcPr>
            <w:tcW w:type="dxa" w:w="2911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预测置信带、回测对比、同比增速复盘、波士顿矩阵</w:t>
            </w:r>
          </w:p>
        </w:tc>
        <w:tc>
          <w:tcPr>
            <w:tcW w:type="dxa" w:w="2911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区间缩放、双轴切换</w:t>
            </w:r>
          </w:p>
        </w:tc>
      </w:tr>
    </w:tbl>
    <w:p>
      <w:pPr>
        <w:spacing w:after="40"/>
      </w:pP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大屏的交互能力体现在四点：</w:t>
      </w:r>
      <w:r>
        <w:rPr>
          <w:rFonts w:ascii="Times New Roman" w:hAnsi="Times New Roman" w:eastAsia="宋体"/>
          <w:b/>
          <w:color w:val="000000"/>
          <w:sz w:val="24"/>
        </w:rPr>
        <w:t>筛选</w:t>
      </w:r>
      <w:r>
        <w:rPr>
          <w:rFonts w:ascii="Times New Roman" w:hAnsi="Times New Roman" w:eastAsia="宋体"/>
          <w:b w:val="0"/>
          <w:color w:val="000000"/>
          <w:sz w:val="24"/>
        </w:rPr>
        <w:t>（图例可点击开关系列）、</w:t>
      </w:r>
      <w:r>
        <w:rPr>
          <w:rFonts w:ascii="Times New Roman" w:hAnsi="Times New Roman" w:eastAsia="宋体"/>
          <w:b/>
          <w:color w:val="000000"/>
          <w:sz w:val="24"/>
        </w:rPr>
        <w:t>缩放</w:t>
      </w:r>
      <w:r>
        <w:rPr>
          <w:rFonts w:ascii="Times New Roman" w:hAnsi="Times New Roman" w:eastAsia="宋体"/>
          <w:b w:val="0"/>
          <w:color w:val="000000"/>
          <w:sz w:val="24"/>
        </w:rPr>
        <w:t>（时间轴 slider 与 dataZoom 支持任意区间下钻）、</w:t>
      </w:r>
      <w:r>
        <w:rPr>
          <w:rFonts w:ascii="Times New Roman" w:hAnsi="Times New Roman" w:eastAsia="宋体"/>
          <w:b/>
          <w:color w:val="000000"/>
          <w:sz w:val="24"/>
        </w:rPr>
        <w:t>联动</w:t>
      </w:r>
      <w:r>
        <w:rPr>
          <w:rFonts w:ascii="Times New Roman" w:hAnsi="Times New Roman" w:eastAsia="宋体"/>
          <w:b w:val="0"/>
          <w:color w:val="000000"/>
          <w:sz w:val="24"/>
        </w:rPr>
        <w:t>（时间轴组件驱动月度排名随时间演进）、</w:t>
      </w:r>
      <w:r>
        <w:rPr>
          <w:rFonts w:ascii="Times New Roman" w:hAnsi="Times New Roman" w:eastAsia="宋体"/>
          <w:b/>
          <w:color w:val="000000"/>
          <w:sz w:val="24"/>
        </w:rPr>
        <w:t>明细下钻</w:t>
      </w:r>
      <w:r>
        <w:rPr>
          <w:rFonts w:ascii="Times New Roman" w:hAnsi="Times New Roman" w:eastAsia="宋体"/>
          <w:b w:val="0"/>
          <w:color w:val="000000"/>
          <w:sz w:val="24"/>
        </w:rPr>
        <w:t>（商品明细表支持排序，可直接定位到具体 SKU）。这些能力是 Excel 静态图无法提供的。</w:t>
      </w: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需要特别说明：本项目的全部图表与大屏</w:t>
      </w:r>
      <w:r>
        <w:rPr>
          <w:rFonts w:ascii="Times New Roman" w:hAnsi="Times New Roman" w:eastAsia="宋体"/>
          <w:b/>
          <w:color w:val="000000"/>
          <w:sz w:val="24"/>
        </w:rPr>
        <w:t>均由 Python 代码生成</w:t>
      </w:r>
      <w:r>
        <w:rPr>
          <w:rFonts w:ascii="Times New Roman" w:hAnsi="Times New Roman" w:eastAsia="宋体"/>
          <w:b w:val="0"/>
          <w:color w:val="000000"/>
          <w:sz w:val="24"/>
        </w:rPr>
        <w:t>，未使用 Power BI、Tableau、Fine BI 等任何 BI 软件，也不存在以 Excel 图表截图替代 Python 输出的情况。Excel 仅用于数据查看与结果核对。</w:t>
      </w:r>
    </w:p>
    <w:p>
      <w:pPr>
        <w:spacing w:before="120" w:after="20"/>
        <w:jc w:val="center"/>
      </w:pPr>
      <w:r>
        <w:drawing>
          <wp:inline xmlns:a="http://schemas.openxmlformats.org/drawingml/2006/main" xmlns:pic="http://schemas.openxmlformats.org/drawingml/2006/picture">
            <wp:extent cx="5400000" cy="30375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大屏演示_四标签拼图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03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hAnsi="Times New Roman" w:eastAsia="宋体"/>
          <w:color w:val="000000"/>
          <w:sz w:val="21"/>
        </w:rPr>
        <w:t>图 5-7  交互大屏四标签页演示截图（1920×1080，无头浏览器实拍）</w:t>
      </w: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图 5-7 为四个标签页的实拍演示截图（由 scripts/10_dashboard_screenshots.py 调用本机无头浏览器自动截取，并同步合成轮播 GIF，作为大屏演示材料提交）。左上为销售总览（KPI 卡 + 趋势 + 排名时间轴），右上为客户价值（RFM 玫瑰图 + 分群对比 + 留存曲线 + 复购漏斗 + 流失预警区分度与预警名单），左下为商品结构（TOP10 + 品类环形 + 词云 + ABC + 关联规则榜），右下为预测复盘（置信带 + 回测对比 + 波士顿矩阵）。四张截图共同说明：大屏的每一个标签页都与第 4 章的模型结论一一对应，业务人员无需阅读代码即可通过点选 Tab 完成从「经营概览」到「预测复盘」的完整分析路径。</w:t>
      </w:r>
    </w:p>
    <w:p>
      <w:pPr>
        <w:keepNext/>
        <w:spacing w:line="360" w:lineRule="auto" w:before="160" w:after="80"/>
        <w:outlineLvl w:val="0"/>
      </w:pPr>
      <w:r>
        <w:rPr>
          <w:rFonts w:ascii="Times New Roman" w:hAnsi="Times New Roman" w:eastAsia="黑体"/>
          <w:b/>
          <w:color w:val="000000"/>
          <w:sz w:val="28"/>
        </w:rPr>
        <w:t>6 商业案例分析</w:t>
      </w:r>
    </w:p>
    <w:p>
      <w:pPr>
        <w:keepNext/>
        <w:spacing w:line="360" w:lineRule="auto" w:before="100" w:after="80"/>
        <w:outlineLvl w:val="1"/>
      </w:pPr>
      <w:r>
        <w:rPr>
          <w:rFonts w:ascii="Times New Roman" w:hAnsi="Times New Roman" w:eastAsia="黑体"/>
          <w:b/>
          <w:color w:val="000000"/>
          <w:sz w:val="24"/>
        </w:rPr>
        <w:t>6.1 案例背景</w:t>
      </w: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将上述模型结论还原到业务现场。本案例的这家英国在线礼品家居零售商，主营家居装饰、厨房用品、节庆装饰与礼品包装，采用「批发分销为主、零售为辅」的双轨模式，客户遍布 36 个国家。它当前面临的三个典型困境是：库存资金被长尾 SKU 大量占用、客户运营缺乏分层导致营销预算浪费、圣诞旺季的备货节奏靠经验而非预测。</w:t>
      </w:r>
    </w:p>
    <w:p>
      <w:pPr>
        <w:keepNext/>
        <w:spacing w:line="360" w:lineRule="auto" w:before="100" w:after="80"/>
        <w:outlineLvl w:val="1"/>
      </w:pPr>
      <w:r>
        <w:rPr>
          <w:rFonts w:ascii="Times New Roman" w:hAnsi="Times New Roman" w:eastAsia="黑体"/>
          <w:b/>
          <w:color w:val="000000"/>
          <w:sz w:val="24"/>
        </w:rPr>
        <w:t>6.2 结果解读</w:t>
      </w: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/>
          <w:color w:val="000000"/>
          <w:sz w:val="24"/>
        </w:rPr>
        <w:t>解读一：市场集中度过高，抗风险能力弱。</w:t>
      </w:r>
      <w:r>
        <w:rPr>
          <w:rFonts w:ascii="Times New Roman" w:hAnsi="Times New Roman" w:eastAsia="宋体"/>
          <w:b w:val="0"/>
          <w:color w:val="000000"/>
          <w:sz w:val="24"/>
        </w:rPr>
        <w:t xml:space="preserve"> 英国单一市场贡献 84.96% 的销售额，其余 35 个国家合计仅 15.04%。荷兰（3.75%）与爱尔兰（3.56%）虽位列二三，但客户数仅 12 位与 3 位，是典型的「大客户批发」结构——荷兰的客单价高达 3,083 英镑，是英国（453 英镑）的 6.8 倍。这意味着这两个市场的营收高度依赖个别批发商，一旦流失影响巨大。</w:t>
      </w: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/>
          <w:color w:val="000000"/>
          <w:sz w:val="24"/>
        </w:rPr>
        <w:t>解读二：客户价值高度集中，长尾沉睡严重。</w:t>
      </w:r>
      <w:r>
        <w:rPr>
          <w:rFonts w:ascii="Times New Roman" w:hAnsi="Times New Roman" w:eastAsia="宋体"/>
          <w:b w:val="0"/>
          <w:color w:val="000000"/>
          <w:sz w:val="24"/>
        </w:rPr>
        <w:t xml:space="preserve"> RFM 模型中，「重要价值客户」1,069 人（占 28.69%）贡献了 69.99% 的销售额，人均贡献 3,244 英镑；而「一般挽留客户」967 人（占 25.95%）仅贡献 4.35%，人均 223 英镑。K-Means 分群进一步印证：52.74% 的高价值忠诚群贡献 87.30% 营收，47.26% 的沉睡流失群仅贡献 12.70%，且平均 330 天未下单、人均消费仅 357 英镑。</w:t>
      </w:r>
    </w:p>
    <w:p>
      <w:pPr>
        <w:spacing w:before="120" w:after="20"/>
        <w:jc w:val="center"/>
      </w:pPr>
      <w:r>
        <w:drawing>
          <wp:inline xmlns:a="http://schemas.openxmlformats.org/drawingml/2006/main" xmlns:pic="http://schemas.openxmlformats.org/drawingml/2006/picture">
            <wp:extent cx="5400000" cy="2421744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7_rfm_segment_bar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4217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hAnsi="Times New Roman" w:eastAsia="宋体"/>
          <w:color w:val="000000"/>
          <w:sz w:val="21"/>
        </w:rPr>
        <w:t>图 6-1  RFM 八分群客户规模与金额贡献对比（fig27）</w:t>
      </w: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图 6-1 用双轴对比八个客群的「人数占比」与「营收占比」两根柱形，两柱高度的落差即价值错配的程度。「重要价值客户」两根柱几乎等高且高，而右侧四个「一般」类客群的营收柱明显矮于人数柱，是应当降低人工服务投入的对象。</w:t>
      </w:r>
    </w:p>
    <w:p>
      <w:pPr>
        <w:spacing w:before="120" w:after="20"/>
        <w:jc w:val="center"/>
      </w:pPr>
      <w:r>
        <w:drawing>
          <wp:inline xmlns:a="http://schemas.openxmlformats.org/drawingml/2006/main" xmlns:pic="http://schemas.openxmlformats.org/drawingml/2006/picture">
            <wp:extent cx="5400000" cy="2555132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34_kmeans_clusters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5551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hAnsi="Times New Roman" w:eastAsia="宋体"/>
          <w:color w:val="000000"/>
          <w:sz w:val="21"/>
        </w:rPr>
        <w:t>图 6-2  K-Means 客户分群画像（fig34）</w:t>
      </w: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图 6-2 是 K-Means 分群在 R-F-M 三维空间的投影与簇画像对比。算法在无监督条件下自动切出的两个簇，与 RFM 人工八分类的结论高度吻合——这构成了对 RFM 结果的</w:t>
      </w:r>
      <w:r>
        <w:rPr>
          <w:rFonts w:ascii="Times New Roman" w:hAnsi="Times New Roman" w:eastAsia="宋体"/>
          <w:b/>
          <w:color w:val="000000"/>
          <w:sz w:val="24"/>
        </w:rPr>
        <w:t>独立交叉验证</w:t>
      </w:r>
      <w:r>
        <w:rPr>
          <w:rFonts w:ascii="Times New Roman" w:hAnsi="Times New Roman" w:eastAsia="宋体"/>
          <w:b w:val="0"/>
          <w:color w:val="000000"/>
          <w:sz w:val="24"/>
        </w:rPr>
        <w:t>：两种完全不同的方法指向同一个结论，说明客户价值集中的判断是稳健的，而非中位数切分阈值选择的偶然产物。</w:t>
      </w: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更有意思的是分界线落在何处。把聚类结果与购买次数交叉可以看到：高价值忠诚群的 1,965 人</w:t>
      </w:r>
      <w:r>
        <w:rPr>
          <w:rFonts w:ascii="Times New Roman" w:hAnsi="Times New Roman" w:eastAsia="宋体"/>
          <w:b/>
          <w:color w:val="000000"/>
          <w:sz w:val="24"/>
        </w:rPr>
        <w:t>全部</w:t>
      </w:r>
      <w:r>
        <w:rPr>
          <w:rFonts w:ascii="Times New Roman" w:hAnsi="Times New Roman" w:eastAsia="宋体"/>
          <w:b w:val="0"/>
          <w:color w:val="000000"/>
          <w:sz w:val="24"/>
        </w:rPr>
        <w:t>购买过 2 次及以上，沉睡流失群的 1,761 人</w:t>
      </w:r>
      <w:r>
        <w:rPr>
          <w:rFonts w:ascii="Times New Roman" w:hAnsi="Times New Roman" w:eastAsia="宋体"/>
          <w:b/>
          <w:color w:val="000000"/>
          <w:sz w:val="24"/>
        </w:rPr>
        <w:t>全部</w:t>
      </w:r>
      <w:r>
        <w:rPr>
          <w:rFonts w:ascii="Times New Roman" w:hAnsi="Times New Roman" w:eastAsia="宋体"/>
          <w:b w:val="0"/>
          <w:color w:val="000000"/>
          <w:sz w:val="24"/>
        </w:rPr>
        <w:t>只购买过 1 次，无一个例外。也就是说，无监督算法自动切出的分界精确地落在「是否完成第 2 次购买」上，而 1,965 ÷ 3,726 = 52.74%，与 §5.4 复购漏斗独立算出的复购率完全一致。这把两个原本独立的分析串成了一个连贯的因果链：</w:t>
      </w:r>
      <w:r>
        <w:rPr>
          <w:rFonts w:ascii="Times New Roman" w:hAnsi="Times New Roman" w:eastAsia="宋体"/>
          <w:b/>
          <w:color w:val="000000"/>
          <w:sz w:val="24"/>
        </w:rPr>
        <w:t>首购后能否转化为复购，是客户价值的分水岭</w:t>
      </w:r>
      <w:r>
        <w:rPr>
          <w:rFonts w:ascii="Times New Roman" w:hAnsi="Times New Roman" w:eastAsia="宋体"/>
          <w:b w:val="0"/>
          <w:color w:val="000000"/>
          <w:sz w:val="24"/>
        </w:rPr>
        <w:t>——跨过去则平均消费 2,201 英镑、贡献 87.30% 营收，跨不过去则平均消费仅 357 英镑、平均 330 天未再下单。这一发现直接对应 §6.3 建议五「分层召回沉睡客群」的优先级设定。</w:t>
      </w: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/>
          <w:color w:val="000000"/>
          <w:sz w:val="24"/>
        </w:rPr>
        <w:t>解读三：留存断崖发生在第 2 个月，但留存住的客户极稳定。</w:t>
      </w:r>
      <w:r>
        <w:rPr>
          <w:rFonts w:ascii="Times New Roman" w:hAnsi="Times New Roman" w:eastAsia="宋体"/>
          <w:b w:val="0"/>
          <w:color w:val="000000"/>
          <w:sz w:val="24"/>
        </w:rPr>
        <w:t xml:space="preserve"> 首月到次月留存率从 100% 跌到 10.65%，这个断崖是自然的——礼品家居属于低频消费品，大量客户是「买一次就不再来」的一次性客。真正有价值的信号是：越过第 2 个月后留存率基本持平，长期稳定在 8.4%~10.9%，第 16 个月后缓慢抬升至 12% 一线（末期月份仅覆盖 1~3 个同期群，需谨慎解读）。这说明留存下来的客户是被产品黏住的，运营的目标应是「提高断崖前的转化率」，而不是「挽救已经流失的客户」。</w:t>
      </w: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/>
          <w:color w:val="000000"/>
          <w:sz w:val="24"/>
        </w:rPr>
        <w:t>解读四：品类存在明确的季节性与结构性机会。</w:t>
      </w:r>
      <w:r>
        <w:rPr>
          <w:rFonts w:ascii="Times New Roman" w:hAnsi="Times New Roman" w:eastAsia="宋体"/>
          <w:b w:val="0"/>
          <w:color w:val="000000"/>
          <w:sz w:val="24"/>
        </w:rPr>
        <w:t xml:space="preserve"> 圣诞季品类同比增速 40.61%、派对品类 50.52%，增速惊人但当前份额很小；反之，珠宝配饰同比下滑 48.27%、园艺户外下滑 29.77%，属于应该收缩的品类。同时，TOP1 单品为 REGENCY CAKESTAND 3 TIER（三层蛋糕架，销售额 100,732 英镑），与白色挂式心形烛台、复古大号购物袋共同构成热销组合。</w:t>
      </w: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/>
          <w:color w:val="000000"/>
          <w:sz w:val="24"/>
        </w:rPr>
        <w:t>解读五：关联规则可直接转化为陈列与推荐。</w:t>
      </w:r>
      <w:r>
        <w:rPr>
          <w:rFonts w:ascii="Times New Roman" w:hAnsi="Times New Roman" w:eastAsia="宋体"/>
          <w:b w:val="0"/>
          <w:color w:val="000000"/>
          <w:sz w:val="24"/>
        </w:rPr>
        <w:t xml:space="preserve"> 最强规则的提升度高达 16.11，例如购买「PAPER CHAIN KIT 50'S CHRISTMAS + 60 CAKE CASES VINTAGE」的订单中，77.97% 会同时购买「PAPER CHAIN KIT VINTAGE」；购买「ROSES REGENCY TEACUP」的订单中，71.18% 会同时购买「GREEN REGENCY TEACUP」。这些是同系列茶具与节庆装饰的强关联，可直接用于捆绑销售。</w:t>
      </w:r>
    </w:p>
    <w:p>
      <w:pPr>
        <w:spacing w:before="120" w:after="20"/>
        <w:jc w:val="center"/>
      </w:pPr>
      <w:r>
        <w:drawing>
          <wp:inline xmlns:a="http://schemas.openxmlformats.org/drawingml/2006/main" xmlns:pic="http://schemas.openxmlformats.org/drawingml/2006/picture">
            <wp:extent cx="5400000" cy="3151817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30_apriori_rules_scatter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1518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hAnsi="Times New Roman" w:eastAsia="宋体"/>
          <w:color w:val="000000"/>
          <w:sz w:val="21"/>
        </w:rPr>
        <w:t>图 6-3  关联规则：支持度 × 置信度 × 提升度（fig30）</w:t>
      </w: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图 6-3 将 3,866 条规则投影为散点，横轴支持度、纵轴置信度、颜色深浅表示提升度。落在右上方且颜色最深的点，是「既常见、又可靠、还强关联」的黄金规则，应优先落地；而左上方高置信度但低支持度的点，虽然命中率高，因覆盖订单太少而不具备规模推广价值。</w:t>
      </w:r>
    </w:p>
    <w:p>
      <w:pPr>
        <w:spacing w:before="120" w:after="20"/>
        <w:jc w:val="center"/>
      </w:pPr>
      <w:r>
        <w:drawing>
          <wp:inline xmlns:a="http://schemas.openxmlformats.org/drawingml/2006/main" xmlns:pic="http://schemas.openxmlformats.org/drawingml/2006/picture">
            <wp:extent cx="5400000" cy="3369345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35_repurchase_funnel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3693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hAnsi="Times New Roman" w:eastAsia="宋体"/>
          <w:color w:val="000000"/>
          <w:sz w:val="21"/>
        </w:rPr>
        <w:t>图 6-4  五级复购转化漏斗（fig35）</w:t>
      </w: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图 6-4 的漏斗揭示了复购路径上的两道闸门：3,726 位客户中仅 1,965 位（52.74%）完成第 2 次购买，这是第一道也是最陡的闸门；但一旦跨过第 3 次（1,223 位），后续转化率反而逐级上升（62.24% → 63.37% → 69.03%），最终 535 位成为 5 次以上的忠诚客户。这印证了第 5.3 节留存曲线的判断：</w:t>
      </w:r>
      <w:r>
        <w:rPr>
          <w:rFonts w:ascii="Times New Roman" w:hAnsi="Times New Roman" w:eastAsia="宋体"/>
          <w:b/>
          <w:color w:val="000000"/>
          <w:sz w:val="24"/>
        </w:rPr>
        <w:t>真正的瓶颈在第 2 次购买</w:t>
      </w:r>
      <w:r>
        <w:rPr>
          <w:rFonts w:ascii="Times New Roman" w:hAnsi="Times New Roman" w:eastAsia="宋体"/>
          <w:b w:val="0"/>
          <w:color w:val="000000"/>
          <w:sz w:val="24"/>
        </w:rPr>
        <w:t>，把营销资源投在首购后的 30 天内促二次购买，边际收益最高。</w:t>
      </w: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/>
          <w:color w:val="000000"/>
          <w:sz w:val="24"/>
        </w:rPr>
        <w:t>解读六：流失预警能做与不能做的边界同样清晰。</w:t>
      </w:r>
      <w:r>
        <w:rPr>
          <w:rFonts w:ascii="Times New Roman" w:hAnsi="Times New Roman" w:eastAsia="宋体"/>
          <w:b w:val="0"/>
          <w:color w:val="000000"/>
          <w:sz w:val="24"/>
        </w:rPr>
        <w:t xml:space="preserve"> M10 模型在 3,255 位客户上训练，交叉验证 AUC 0.7241，三个时间外窗口 AUC 0.7100—0.7439。但真正有信息量的不是这个数字，而是它把「可预测」与「不可预测」划出了一条清楚的界线（图 6-5 与表 4-8）。</w:t>
      </w:r>
    </w:p>
    <w:p>
      <w:pPr>
        <w:spacing w:before="120" w:after="20"/>
        <w:jc w:val="center"/>
      </w:pPr>
      <w:r>
        <w:drawing>
          <wp:inline xmlns:a="http://schemas.openxmlformats.org/drawingml/2006/main" xmlns:pic="http://schemas.openxmlformats.org/drawingml/2006/picture">
            <wp:extent cx="5400000" cy="2185623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36_churn_diagnostics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1856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hAnsi="Times New Roman" w:eastAsia="宋体"/>
          <w:color w:val="000000"/>
          <w:sz w:val="21"/>
        </w:rPr>
        <w:t>图 6-5  流失预警模型诊断：ROC、十分位区分度与系数方向（fig36）</w:t>
      </w: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图 6-5 的三个面板分别回答三个问题。(a) 中实线（5 折交叉验证）与虚线（时间外验证）几乎重合，说明换个时间窗口判别力不下降，模型学到的是稳定规律而非某一窗口的噪声。(b) 是十分位实际流失率：从第 10 分位的 91.72% 梯次降至第 1 分位的 32.52%，与全样本流失率 74.22% 形成清晰梯度——排序能力成立。但绿色累积捕捉率线与灰色随机基线几乎贴合，触达前 20% 客户只覆盖 23.97% 的真实流失（累积提升度 1.198×），这正说明仅凭概率高低圈定触达名单的收益有限，必须结合客户价值判断（见图 6-6 与表 4-10）。(c) 中 14 个特征的系数方向与业务先验一致：距末次购买越久（Recency，+0.26）、购买频次越低（Frequency，−0.22）、累计消费越少（Monetary，−0.17），流失概率越高。模型没有学到任何反常识的结论，这本身也是可信度的一种佐证。</w:t>
      </w:r>
    </w:p>
    <w:p>
      <w:pPr>
        <w:spacing w:before="120" w:after="20"/>
        <w:jc w:val="center"/>
      </w:pPr>
      <w:r>
        <w:drawing>
          <wp:inline xmlns:a="http://schemas.openxmlformats.org/drawingml/2006/main" xmlns:pic="http://schemas.openxmlformats.org/drawingml/2006/picture">
            <wp:extent cx="5400000" cy="3411726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37_churn_value_scatter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4117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hAnsi="Times New Roman" w:eastAsia="宋体"/>
          <w:color w:val="000000"/>
          <w:sz w:val="21"/>
        </w:rPr>
        <w:t>图 6-6  客户价值 × 流失概率全景与预警名单定位（fig37）</w:t>
      </w: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图 6-6 把 3,255 位客户投到「历史价值 × 流失概率」平面上，并用中位数切成四个决策象限。红圈标出的 40 位是期望损失（流失概率 × 历史消费）最高的客户，他们集中在右上方「高价值 · 高风险」象限——既有钱、又危险。值得警惕的是右下象限：这批客户流失概率虽低，但单客价值极高（最高的几位历史消费超过 10 万英镑），一旦流失损失巨大，应纳入重点维护而非预警名单。最终预警名单按期望损失排序取前 300 位，合计期望损失 365,989 英镑，相当于主样本 3,255 位客户历史累计消费总额（401.21 万英镑）的 9.12%。</w:t>
      </w:r>
    </w:p>
    <w:p>
      <w:pPr>
        <w:keepNext/>
        <w:spacing w:line="360" w:lineRule="auto" w:before="100" w:after="80"/>
        <w:outlineLvl w:val="1"/>
      </w:pPr>
      <w:r>
        <w:rPr>
          <w:rFonts w:ascii="Times New Roman" w:hAnsi="Times New Roman" w:eastAsia="黑体"/>
          <w:b/>
          <w:color w:val="000000"/>
          <w:sz w:val="24"/>
        </w:rPr>
        <w:t>6.3 商业建议</w:t>
      </w: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基于上述结果与模型证据，提出 5 条核心商业建议——均为可在中短期内排期执行的具体动作，每条都直接对应某一个模型的输出证据；另附 1 条战略性延伸建议，因其见效周期以年计、且不属于运营层面的即时决策，故单列于最后。所有建议的落地优先级与效果度量口径见表 6-1，以避免「有洞察、无抓手」的分析空转。</w:t>
      </w:r>
    </w:p>
    <w:p>
      <w:pPr>
        <w:spacing w:line="360" w:lineRule="auto" w:after="60"/>
        <w:ind w:left="480" w:hanging="240"/>
      </w:pPr>
      <w:r>
        <w:rPr>
          <w:rFonts w:ascii="Times New Roman" w:hAnsi="Times New Roman" w:eastAsia="宋体"/>
          <w:b/>
          <w:color w:val="000000"/>
          <w:sz w:val="24"/>
        </w:rPr>
        <w:t>建议一：对 1,069 位「重要价值客户」实行专属化运营。</w:t>
      </w:r>
      <w:r>
        <w:rPr>
          <w:rFonts w:ascii="Times New Roman" w:hAnsi="Times New Roman" w:eastAsia="宋体"/>
          <w:b w:val="0"/>
          <w:color w:val="000000"/>
          <w:sz w:val="24"/>
        </w:rPr>
        <w:t xml:space="preserve"> 他们以 28.69% 的人数贡献 69.99% 营收，人均年贡献 3,244 英镑。建议为其配备专属客户经理、优先发货与新品尝鲜权，并将营销预算的 60% 以上投向这一群体。预期效果：该群体留存率每提升 1 个百分点，可保住约 3.5 万英镑年营收。</w:t>
      </w:r>
    </w:p>
    <w:p>
      <w:pPr>
        <w:spacing w:line="360" w:lineRule="auto" w:after="60"/>
        <w:ind w:left="480" w:hanging="240"/>
      </w:pPr>
      <w:r>
        <w:rPr>
          <w:rFonts w:ascii="Times New Roman" w:hAnsi="Times New Roman" w:eastAsia="宋体"/>
          <w:b/>
          <w:color w:val="000000"/>
          <w:sz w:val="24"/>
        </w:rPr>
        <w:t>建议二：按 ABC 分类重构库存资金配置。</w:t>
      </w:r>
      <w:r>
        <w:rPr>
          <w:rFonts w:ascii="Times New Roman" w:hAnsi="Times New Roman" w:eastAsia="宋体"/>
          <w:b w:val="0"/>
          <w:color w:val="000000"/>
          <w:sz w:val="24"/>
        </w:rPr>
        <w:t xml:space="preserve"> A 类 996 个 SKU（22.17%）贡献 80% 销售额，应保证高现货率与安全库存；C 类 2,291 个 SKU（50.99%）仅贡献 5%，应转为按单采购或直接下架，释放占用的仓储与资金。预计可将库存周转效率提升 30% 以上，且不影响 80% 的营收盘子。</w:t>
      </w:r>
    </w:p>
    <w:p>
      <w:pPr>
        <w:spacing w:line="360" w:lineRule="auto" w:after="60"/>
        <w:ind w:left="480" w:hanging="240"/>
      </w:pPr>
      <w:r>
        <w:rPr>
          <w:rFonts w:ascii="Times New Roman" w:hAnsi="Times New Roman" w:eastAsia="宋体"/>
          <w:b/>
          <w:color w:val="000000"/>
          <w:sz w:val="24"/>
        </w:rPr>
        <w:t>建议三：把关联规则落地为「组合陈列 + 捆绑优惠」。</w:t>
      </w:r>
      <w:r>
        <w:rPr>
          <w:rFonts w:ascii="Times New Roman" w:hAnsi="Times New Roman" w:eastAsia="宋体"/>
          <w:b w:val="0"/>
          <w:color w:val="000000"/>
          <w:sz w:val="24"/>
        </w:rPr>
        <w:t xml:space="preserve"> 以茶具系列（REGENCY 茶杯/茶托/蛋糕架）与节庆装饰（PAPER CHAIN 系列）为核心，在商品详情页设置「经常一起购买」模块，并对提升度 &gt; 10 的组合推出满减套装。依据：相关规则提升度达 14.79~16.11，置信度最高 80%，远高于随机共现水平，转化确定性高。</w:t>
      </w:r>
    </w:p>
    <w:p>
      <w:pPr>
        <w:spacing w:line="360" w:lineRule="auto" w:after="60"/>
        <w:ind w:left="480" w:hanging="240"/>
      </w:pPr>
      <w:r>
        <w:rPr>
          <w:rFonts w:ascii="Times New Roman" w:hAnsi="Times New Roman" w:eastAsia="宋体"/>
          <w:b/>
          <w:color w:val="000000"/>
          <w:sz w:val="24"/>
        </w:rPr>
        <w:t>建议四：圣诞备货基于预测提前 8 周启动，并利用 95% 置信区间设定安全库存。</w:t>
      </w:r>
      <w:r>
        <w:rPr>
          <w:rFonts w:ascii="Times New Roman" w:hAnsi="Times New Roman" w:eastAsia="宋体"/>
          <w:b w:val="0"/>
          <w:color w:val="000000"/>
          <w:sz w:val="24"/>
        </w:rPr>
        <w:t xml:space="preserve"> 模型显示 9—11 月为销售高峰（2011 年 11 月达 42.05 万英镑，为全年峰值），且圣诞与派对品类同比增速达 40.61% 与 50.52%。建议以预测点上界（CI95_Upper）作为备货上限、点预测作为基准采购量，既避免断货损失，也避免过量积压。</w:t>
      </w:r>
    </w:p>
    <w:p>
      <w:pPr>
        <w:spacing w:line="360" w:lineRule="auto" w:after="60"/>
        <w:ind w:left="480" w:hanging="240"/>
      </w:pPr>
      <w:r>
        <w:rPr>
          <w:rFonts w:ascii="Times New Roman" w:hAnsi="Times New Roman" w:eastAsia="宋体"/>
          <w:b/>
          <w:color w:val="000000"/>
          <w:sz w:val="24"/>
        </w:rPr>
        <w:t>建议五：分层召回沉睡客群，控制投入产出比。</w:t>
      </w:r>
      <w:r>
        <w:rPr>
          <w:rFonts w:ascii="Times New Roman" w:hAnsi="Times New Roman" w:eastAsia="宋体"/>
          <w:b w:val="0"/>
          <w:color w:val="000000"/>
          <w:sz w:val="24"/>
        </w:rPr>
        <w:t xml:space="preserve"> K-Means 给出了一个可直接执行的名单：1,761 位「沉睡流失群」客户</w:t>
      </w:r>
      <w:r>
        <w:rPr>
          <w:rFonts w:ascii="Times New Roman" w:hAnsi="Times New Roman" w:eastAsia="宋体"/>
          <w:b/>
          <w:color w:val="000000"/>
          <w:sz w:val="24"/>
        </w:rPr>
        <w:t>无一例外只购买过 1 次</w:t>
      </w:r>
      <w:r>
        <w:rPr>
          <w:rFonts w:ascii="Times New Roman" w:hAnsi="Times New Roman" w:eastAsia="宋体"/>
          <w:b w:val="0"/>
          <w:color w:val="000000"/>
          <w:sz w:val="24"/>
        </w:rPr>
        <w:t>，人均消费 357 英镑、平均 330 天未再下单。这一群体的边界由无监督算法自动划定、且经 bootstrap 检验完全稳定，可以放心作为召回活动的目标池而无需再人工分层。其中对「一般挽留客户」（人均 223 英镑、平均 463 天未下单）改用低成本的邮件自动化触达，控制单次召回成本在 5 英镑以内；对「重要保持客户」（人均 1,482 英镑、371 天未下单）则值得投入人工回访与定向优惠，因其客单价是前者的 6.6 倍。召回顺序应严格按客单价排序，而非按数量排序。但 §4.3.4 的边界检验提醒了一个重要前提：一次性客户的流失</w:t>
      </w:r>
      <w:r>
        <w:rPr>
          <w:rFonts w:ascii="Times New Roman" w:hAnsi="Times New Roman" w:eastAsia="宋体"/>
          <w:b/>
          <w:color w:val="000000"/>
          <w:sz w:val="24"/>
        </w:rPr>
        <w:t>无法由历史行为预测</w:t>
      </w:r>
      <w:r>
        <w:rPr>
          <w:rFonts w:ascii="Times New Roman" w:hAnsi="Times New Roman" w:eastAsia="宋体"/>
          <w:b w:val="0"/>
          <w:color w:val="000000"/>
          <w:sz w:val="24"/>
        </w:rPr>
        <w:t>（AUC 仅 0.5481），因此针对这批客户的召回不应依赖行为模型筛选，而应改为全量低成本触达（如邮件、短信），把预算留给复购客户中的高期望损失者。M10 预警名单已按「流失概率 × 历史消费」排出前 300 位，合计期望损失 365,989 英镑，可直接作为定向优惠的投放清单。本条建议之所以提到 P1，正因为它同时满足「目标明确、成本低、见效快」三个条件：目标池已由模型划定完毕，无需额外的数据准备工作。</w:t>
      </w:r>
    </w:p>
    <w:p>
      <w:pPr>
        <w:spacing w:line="360" w:lineRule="auto" w:after="60"/>
        <w:ind w:left="480" w:hanging="240"/>
      </w:pPr>
      <w:r>
        <w:rPr>
          <w:rFonts w:ascii="Times New Roman" w:hAnsi="Times New Roman" w:eastAsia="宋体"/>
          <w:b/>
          <w:color w:val="000000"/>
          <w:sz w:val="24"/>
        </w:rPr>
        <w:t>延伸建议：推进市场多元化以对冲单一市场依赖。</w:t>
      </w:r>
      <w:r>
        <w:rPr>
          <w:rFonts w:ascii="Times New Roman" w:hAnsi="Times New Roman" w:eastAsia="宋体"/>
          <w:b w:val="0"/>
          <w:color w:val="000000"/>
          <w:sz w:val="24"/>
        </w:rPr>
        <w:t xml:space="preserve"> 英国占 84.96% 的营收结构使公司暴露于单一市场波动风险，建议优先拓展德国（63 位客户、客单价 492 英镑）与法国（62 位客户、482 英镑）这类客户基数已成规模、客单价健康的邻国市场，而非继续依赖荷兰、爱尔兰的个别大批发商。</w:t>
      </w:r>
    </w:p>
    <w:p>
      <w:pPr>
        <w:spacing w:after="0"/>
      </w:pP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上述 5 条核心建议并非同等重要，也不可能在同一个时间窗内全部启动；延伸建议则属于年度规划层面的战略议题。为使有限的预算与人力获得最高投入产出比，进一步按「投入成本 — 见效速度 — 收益规模」三个维度排序，形成落地优先级矩阵（表 6-1）。</w:t>
      </w:r>
    </w:p>
    <w:p>
      <w:pPr>
        <w:spacing w:after="40"/>
        <w:jc w:val="center"/>
      </w:pPr>
      <w:r>
        <w:rPr>
          <w:rFonts w:ascii="Times New Roman" w:hAnsi="Times New Roman" w:eastAsia="黑体"/>
          <w:color w:val="000000"/>
          <w:sz w:val="21"/>
        </w:rPr>
        <w:t>表 6-1  商业建议落地优先级与效果度量矩阵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46"/>
        <w:gridCol w:w="1746"/>
        <w:gridCol w:w="1746"/>
        <w:gridCol w:w="1746"/>
        <w:gridCol w:w="1746"/>
      </w:tblGrid>
      <w:tr>
        <w:tc>
          <w:tcPr>
            <w:tcW w:type="dxa" w:w="1746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color w:val="000000"/>
                <w:sz w:val="20"/>
              </w:rPr>
              <w:t>建议</w:t>
            </w:r>
          </w:p>
        </w:tc>
        <w:tc>
          <w:tcPr>
            <w:tcW w:type="dxa" w:w="1746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color w:val="000000"/>
                <w:sz w:val="20"/>
              </w:rPr>
              <w:t>核心模型证据</w:t>
            </w:r>
          </w:p>
        </w:tc>
        <w:tc>
          <w:tcPr>
            <w:tcW w:type="dxa" w:w="1746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color w:val="000000"/>
                <w:sz w:val="20"/>
              </w:rPr>
              <w:t>量化预期效果</w:t>
            </w:r>
          </w:p>
        </w:tc>
        <w:tc>
          <w:tcPr>
            <w:tcW w:type="dxa" w:w="1746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color w:val="000000"/>
                <w:sz w:val="20"/>
              </w:rPr>
              <w:t>优先级</w:t>
            </w:r>
          </w:p>
        </w:tc>
        <w:tc>
          <w:tcPr>
            <w:tcW w:type="dxa" w:w="1746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color w:val="000000"/>
                <w:sz w:val="20"/>
              </w:rPr>
              <w:t>效果度量指标（KPI）</w:t>
            </w:r>
          </w:p>
        </w:tc>
      </w:tr>
      <w:tr>
        <w:tc>
          <w:tcPr>
            <w:tcW w:type="dxa" w:w="1746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建议一 · 重要价值客户专属运营</w:t>
            </w:r>
          </w:p>
        </w:tc>
        <w:tc>
          <w:tcPr>
            <w:tcW w:type="dxa" w:w="1746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RFM：1,069 人（28.69%）贡献 69.99% 营收</w:t>
            </w:r>
          </w:p>
        </w:tc>
        <w:tc>
          <w:tcPr>
            <w:tcW w:type="dxa" w:w="1746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该群留存率每 +1pp，约保住 £3.5 万/年营收</w:t>
            </w:r>
          </w:p>
        </w:tc>
        <w:tc>
          <w:tcPr>
            <w:tcW w:type="dxa" w:w="1746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P1</w:t>
            </w:r>
          </w:p>
        </w:tc>
        <w:tc>
          <w:tcPr>
            <w:tcW w:type="dxa" w:w="1746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该群季度留存率、人均年贡献额</w:t>
            </w:r>
          </w:p>
        </w:tc>
      </w:tr>
      <w:tr>
        <w:tc>
          <w:tcPr>
            <w:tcW w:type="dxa" w:w="1746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建议二 · ABC 重构库存资金配置</w:t>
            </w:r>
          </w:p>
        </w:tc>
        <w:tc>
          <w:tcPr>
            <w:tcW w:type="dxa" w:w="1746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帕累托：A 类 22.17% SKU 贡献 80% 销售额</w:t>
            </w:r>
          </w:p>
        </w:tc>
        <w:tc>
          <w:tcPr>
            <w:tcW w:type="dxa" w:w="1746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库存周转效率 +30% 以上，不影响 80% 营收盘子</w:t>
            </w:r>
          </w:p>
        </w:tc>
        <w:tc>
          <w:tcPr>
            <w:tcW w:type="dxa" w:w="1746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P1</w:t>
            </w:r>
          </w:p>
        </w:tc>
        <w:tc>
          <w:tcPr>
            <w:tcW w:type="dxa" w:w="1746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A 类现货率/缺货率、C 类 SKU 占比</w:t>
            </w:r>
          </w:p>
        </w:tc>
      </w:tr>
      <w:tr>
        <w:tc>
          <w:tcPr>
            <w:tcW w:type="dxa" w:w="1746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建议三 · 组合陈列 + 捆绑优惠</w:t>
            </w:r>
          </w:p>
        </w:tc>
        <w:tc>
          <w:tcPr>
            <w:tcW w:type="dxa" w:w="1746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Apriori：3,866 条规则，最强提升度 16.11</w:t>
            </w:r>
          </w:p>
        </w:tc>
        <w:tc>
          <w:tcPr>
            <w:tcW w:type="dxa" w:w="1746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提升连带率与客单价，转化确定性高于随机推荐</w:t>
            </w:r>
          </w:p>
        </w:tc>
        <w:tc>
          <w:tcPr>
            <w:tcW w:type="dxa" w:w="1746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P2</w:t>
            </w:r>
          </w:p>
        </w:tc>
        <w:tc>
          <w:tcPr>
            <w:tcW w:type="dxa" w:w="1746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连带率（件/单）、组合订单占比</w:t>
            </w:r>
          </w:p>
        </w:tc>
      </w:tr>
      <w:tr>
        <w:tc>
          <w:tcPr>
            <w:tcW w:type="dxa" w:w="1746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建议四 · 提前 8 周备货 + CI95 安全库存</w:t>
            </w:r>
          </w:p>
        </w:tc>
        <w:tc>
          <w:tcPr>
            <w:tcW w:type="dxa" w:w="1746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预测：MAPE 34.70%，11 月峰值 £42.05 万</w:t>
            </w:r>
          </w:p>
        </w:tc>
        <w:tc>
          <w:tcPr>
            <w:tcW w:type="dxa" w:w="1746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降低旺季缺货损失，同时抑制季末积压</w:t>
            </w:r>
          </w:p>
        </w:tc>
        <w:tc>
          <w:tcPr>
            <w:tcW w:type="dxa" w:w="1746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P2</w:t>
            </w:r>
          </w:p>
        </w:tc>
        <w:tc>
          <w:tcPr>
            <w:tcW w:type="dxa" w:w="1746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旺季缺货率、季末滞销库存占比</w:t>
            </w:r>
          </w:p>
        </w:tc>
      </w:tr>
      <w:tr>
        <w:tc>
          <w:tcPr>
            <w:tcW w:type="dxa" w:w="1746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建议五 · 分层召回沉睡客群</w:t>
            </w:r>
          </w:p>
        </w:tc>
        <w:tc>
          <w:tcPr>
            <w:tcW w:type="dxa" w:w="1746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K-Means：1,761 人（47.26%）全部仅购买 1 次，人均 £357</w:t>
            </w:r>
          </w:p>
        </w:tc>
        <w:tc>
          <w:tcPr>
            <w:tcW w:type="dxa" w:w="1746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召回 ROI ≥ 3:1（单次触达成本控制在 £5 内）</w:t>
            </w:r>
          </w:p>
        </w:tc>
        <w:tc>
          <w:tcPr>
            <w:tcW w:type="dxa" w:w="1746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P1</w:t>
            </w:r>
          </w:p>
        </w:tc>
        <w:tc>
          <w:tcPr>
            <w:tcW w:type="dxa" w:w="1746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30 日回流率、单次召回成本</w:t>
            </w:r>
          </w:p>
        </w:tc>
      </w:tr>
      <w:tr>
        <w:tc>
          <w:tcPr>
            <w:tcW w:type="dxa" w:w="1746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延伸建议</w:t>
              <w:br/>
              <w:t>市场多元化（战略）</w:t>
            </w:r>
          </w:p>
        </w:tc>
        <w:tc>
          <w:tcPr>
            <w:tcW w:type="dxa" w:w="1746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结构分析：英国单一市场占 84.96%</w:t>
            </w:r>
          </w:p>
        </w:tc>
        <w:tc>
          <w:tcPr>
            <w:tcW w:type="dxa" w:w="1746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英国营收占比降至 80% 以下，降低集中度风险</w:t>
            </w:r>
          </w:p>
        </w:tc>
        <w:tc>
          <w:tcPr>
            <w:tcW w:type="dxa" w:w="1746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P3</w:t>
            </w:r>
          </w:p>
        </w:tc>
        <w:tc>
          <w:tcPr>
            <w:tcW w:type="dxa" w:w="1746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非英营收占比、德/法新客净增数</w:t>
            </w:r>
          </w:p>
        </w:tc>
      </w:tr>
    </w:tbl>
    <w:p>
      <w:pPr>
        <w:spacing w:after="40"/>
      </w:pP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优先级评定口径：P1 为低成本、收益确定且可在一个月内启动的措施，对应的是「模型已经把该找的人、该压的货指出来了」，执行即可兑现收益；P2 需要跨部门配合（营销、采购、仓储），建议在一个季度内排期落地，其效果依赖执行质量，需先小范围 A/B 验证再全面推广；P3 属于战略性结构调整，见效周期以年计，应纳入年度规划而非季度考核。需要强调的是，所有 KPI 均已在上表中给出可观测的定义，因此建议在落地后是可以被反向检验的——这正是「分析 → 决策 → 反馈」闭环成立的前提。最后需要说明的是，之所以把市场多元化单独列为「延伸建议」：课程模板要求正文给出 3~5 条可直接执行的商业建议，而该条涉及品牌、渠道与合规等长周期投入，与其余五条「运营侧即时可执行」的性质不同。将其单列，既保证核心建议区间符合规范，也如实呈现了单一市场依赖这一结构性风险的严重性。</w:t>
      </w:r>
    </w:p>
    <w:p>
      <w:pPr>
        <w:keepNext/>
        <w:spacing w:line="360" w:lineRule="auto" w:before="160" w:after="80"/>
        <w:outlineLvl w:val="0"/>
      </w:pPr>
      <w:r>
        <w:rPr>
          <w:rFonts w:ascii="Times New Roman" w:hAnsi="Times New Roman" w:eastAsia="黑体"/>
          <w:b/>
          <w:color w:val="000000"/>
          <w:sz w:val="28"/>
        </w:rPr>
        <w:t>7 结论与展望</w:t>
      </w:r>
    </w:p>
    <w:p>
      <w:pPr>
        <w:keepNext/>
        <w:spacing w:line="360" w:lineRule="auto" w:before="100" w:after="80"/>
        <w:outlineLvl w:val="1"/>
      </w:pPr>
      <w:r>
        <w:rPr>
          <w:rFonts w:ascii="Times New Roman" w:hAnsi="Times New Roman" w:eastAsia="黑体"/>
          <w:b/>
          <w:color w:val="000000"/>
          <w:sz w:val="24"/>
        </w:rPr>
        <w:t>7.1 研究结论</w:t>
      </w: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本项目完成了从合规取数到商业建议的完整闭环。核心价值可以概括为三点：</w:t>
      </w: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第一，</w:t>
      </w:r>
      <w:r>
        <w:rPr>
          <w:rFonts w:ascii="Times New Roman" w:hAnsi="Times New Roman" w:eastAsia="宋体"/>
          <w:b/>
          <w:color w:val="000000"/>
          <w:sz w:val="24"/>
        </w:rPr>
        <w:t>方法闭环可被完整复现</w:t>
      </w:r>
      <w:r>
        <w:rPr>
          <w:rFonts w:ascii="Times New Roman" w:hAnsi="Times New Roman" w:eastAsia="宋体"/>
          <w:b w:val="0"/>
          <w:color w:val="000000"/>
          <w:sz w:val="24"/>
        </w:rPr>
        <w:t>。项目以 10 个脚本串联成流水线，随机种子固定为 2026，任何人克隆仓库后执行 python run_all.py 即可重新生成 37 张图表、101 张结果表、交互大屏与大屏演示截图，这在 Excel 手工分析中是无法实现的。</w:t>
      </w: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第二，</w:t>
      </w:r>
      <w:r>
        <w:rPr>
          <w:rFonts w:ascii="Times New Roman" w:hAnsi="Times New Roman" w:eastAsia="宋体"/>
          <w:b/>
          <w:color w:val="000000"/>
          <w:sz w:val="24"/>
        </w:rPr>
        <w:t>模型结论有数据支撑且可检验</w:t>
      </w:r>
      <w:r>
        <w:rPr>
          <w:rFonts w:ascii="Times New Roman" w:hAnsi="Times New Roman" w:eastAsia="宋体"/>
          <w:b w:val="0"/>
          <w:color w:val="000000"/>
          <w:sz w:val="24"/>
        </w:rPr>
        <w:t>。10 类模型的参数均有业务依据，预测模型给出 95% 置信区间并完成 30 天留出回测（MAPE 34.70%、RMSE 11,169 英镑），误差水平如实披露而非选择性报告。</w:t>
      </w: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第三，</w:t>
      </w:r>
      <w:r>
        <w:rPr>
          <w:rFonts w:ascii="Times New Roman" w:hAnsi="Times New Roman" w:eastAsia="宋体"/>
          <w:b/>
          <w:color w:val="000000"/>
          <w:sz w:val="24"/>
        </w:rPr>
        <w:t>业务建议可直接落地</w:t>
      </w:r>
      <w:r>
        <w:rPr>
          <w:rFonts w:ascii="Times New Roman" w:hAnsi="Times New Roman" w:eastAsia="宋体"/>
          <w:b w:val="0"/>
          <w:color w:val="000000"/>
          <w:sz w:val="24"/>
        </w:rPr>
        <w:t>。从 30 万行明细中提炼出 5 条核心建议与 1 条延伸建议，每条都对应明确的模型证据与预期效果，覆盖客户运营、库存配置、营销组合、节庆备货与市场拓展五个决策场景，并给出优先级排序与效果度量口径（表 6-1）。</w:t>
      </w:r>
    </w:p>
    <w:p>
      <w:pPr>
        <w:keepNext/>
        <w:spacing w:line="360" w:lineRule="auto" w:before="100" w:after="80"/>
        <w:outlineLvl w:val="1"/>
      </w:pPr>
      <w:r>
        <w:rPr>
          <w:rFonts w:ascii="Times New Roman" w:hAnsi="Times New Roman" w:eastAsia="黑体"/>
          <w:b/>
          <w:color w:val="000000"/>
          <w:sz w:val="24"/>
        </w:rPr>
        <w:t>7.2 局限性与展望</w:t>
      </w: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本项目的局限性主要有五点，需坦诚说明：</w:t>
      </w:r>
    </w:p>
    <w:p>
      <w:pPr>
        <w:spacing w:line="360" w:lineRule="auto" w:after="60"/>
        <w:ind w:left="480" w:hanging="240"/>
      </w:pPr>
      <w:r>
        <w:rPr>
          <w:rFonts w:ascii="Times New Roman" w:hAnsi="Times New Roman" w:eastAsia="宋体"/>
          <w:b/>
          <w:color w:val="000000"/>
          <w:sz w:val="24"/>
        </w:rPr>
        <w:t>成本数据缺失导致利润分析无法开展。</w:t>
      </w:r>
      <w:r>
        <w:rPr>
          <w:rFonts w:ascii="Times New Roman" w:hAnsi="Times New Roman" w:eastAsia="宋体"/>
          <w:b w:val="0"/>
          <w:color w:val="000000"/>
          <w:sz w:val="24"/>
        </w:rPr>
        <w:t xml:space="preserve"> 数据集仅含售价与数量，不含采购成本与物流成本，因此所有分析基于销售额而非毛利。这会影响 ABC 分类的 precision——某些高销售额 SKU 可能毛利很低。若有成本数据，应改用「毛利额」重做 ABC 与波士顿矩阵。</w:t>
      </w:r>
    </w:p>
    <w:p>
      <w:pPr>
        <w:spacing w:line="360" w:lineRule="auto" w:after="60"/>
        <w:ind w:left="480" w:hanging="240"/>
      </w:pPr>
      <w:r>
        <w:rPr>
          <w:rFonts w:ascii="Times New Roman" w:hAnsi="Times New Roman" w:eastAsia="宋体"/>
          <w:b/>
          <w:color w:val="000000"/>
          <w:sz w:val="24"/>
        </w:rPr>
        <w:t>30% 抽样会低估长尾商品的共现频次。</w:t>
      </w:r>
      <w:r>
        <w:rPr>
          <w:rFonts w:ascii="Times New Roman" w:hAnsi="Times New Roman" w:eastAsia="宋体"/>
          <w:b w:val="0"/>
          <w:color w:val="000000"/>
          <w:sz w:val="24"/>
        </w:rPr>
        <w:t xml:space="preserve"> 虽然整单抽样保护了购物篮结构，但低频商品的共现仍可能被抽样抹去，导致部分低支持度但高提升度的关联规则未被发现。后续可在全量数据上重跑 Apriori 以补全长尾规则。</w:t>
      </w:r>
    </w:p>
    <w:p>
      <w:pPr>
        <w:spacing w:line="360" w:lineRule="auto" w:after="60"/>
        <w:ind w:left="480" w:hanging="240"/>
      </w:pPr>
      <w:r>
        <w:rPr>
          <w:rFonts w:ascii="Times New Roman" w:hAnsi="Times New Roman" w:eastAsia="宋体"/>
          <w:b/>
          <w:color w:val="000000"/>
          <w:sz w:val="24"/>
        </w:rPr>
        <w:t>日频预测的 MAPE 偏高（34.7%）。</w:t>
      </w:r>
      <w:r>
        <w:rPr>
          <w:rFonts w:ascii="Times New Roman" w:hAnsi="Times New Roman" w:eastAsia="宋体"/>
          <w:b w:val="0"/>
          <w:color w:val="000000"/>
          <w:sz w:val="24"/>
        </w:rPr>
        <w:t xml:space="preserve"> 日销售额本身信噪比低，且受月末结账与促销事件影响。改进方向有三：聚合到周频或月频建模；引入促销与节假日作为外生变量（可改用 SARIMAX 或 Prophet）；对极端日做异常值平滑处理。</w:t>
      </w:r>
    </w:p>
    <w:p>
      <w:pPr>
        <w:spacing w:line="360" w:lineRule="auto" w:after="60"/>
        <w:ind w:left="480" w:hanging="240"/>
      </w:pPr>
      <w:r>
        <w:rPr>
          <w:rFonts w:ascii="Times New Roman" w:hAnsi="Times New Roman" w:eastAsia="宋体"/>
          <w:b/>
          <w:color w:val="000000"/>
          <w:sz w:val="24"/>
        </w:rPr>
        <w:t>同期群分析仅覆盖 25 个月。</w:t>
      </w:r>
      <w:r>
        <w:rPr>
          <w:rFonts w:ascii="Times New Roman" w:hAnsi="Times New Roman" w:eastAsia="宋体"/>
          <w:b w:val="0"/>
          <w:color w:val="000000"/>
          <w:sz w:val="24"/>
        </w:rPr>
        <w:t xml:space="preserve"> 受数据时间跨度限制，无法观察 3 年以上的超长期留存与生命周期价值（CLV）衰减规律，也无法验证「第 16 个月后留存回升」是否为稳定的季节性复购而非幸存者偏差。</w:t>
      </w:r>
    </w:p>
    <w:p>
      <w:pPr>
        <w:spacing w:line="360" w:lineRule="auto" w:after="60"/>
        <w:ind w:left="480" w:hanging="240"/>
      </w:pPr>
      <w:r>
        <w:rPr>
          <w:rFonts w:ascii="Times New Roman" w:hAnsi="Times New Roman" w:eastAsia="宋体"/>
          <w:b/>
          <w:color w:val="000000"/>
          <w:sz w:val="24"/>
        </w:rPr>
        <w:t>流失预警的判别力受数据上限约束，且流失定义含主观成分。</w:t>
      </w:r>
      <w:r>
        <w:rPr>
          <w:rFonts w:ascii="Times New Roman" w:hAnsi="Times New Roman" w:eastAsia="宋体"/>
          <w:b w:val="0"/>
          <w:color w:val="000000"/>
          <w:sz w:val="24"/>
        </w:rPr>
        <w:t xml:space="preserve"> 一次性客户（占主样本 49%）的流失 AUC 仅 0.5481，接近随机水平——他们没有任何可供学习的行为历史，这不是模型缺陷，而是数据固有边界。换言之，近半数客户的流失无法靠行为特征预警，只能依靠首购体验改善等前端手段。此外，「3 个月未购买即流失」的定义本身带有主观性，虽然已用前移窗口（时间外）与 1/3/6/9 个月窗口长度两组敏感性分析验证了结论的稳健性（AUC 0.7100—0.7439，见表 4-9），但最终阈值仍应由业务方结合真实采购周期确认。</w:t>
      </w:r>
    </w:p>
    <w:p>
      <w:pPr>
        <w:spacing w:after="0"/>
      </w:pP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后续工作可在三个方向推进：接入成本数据构建利润视角的分析体系；引入 Prophet 或 LightGBM 加入节假日与促销特征提升预测精度；把流失预警从离线模型推进为线上调度——按月滚动重训、自动输出预警名单，并接入触达渠道以闭环验证挽回率假设。</w:t>
      </w:r>
    </w:p>
    <w:p>
      <w:pPr>
        <w:keepNext/>
        <w:spacing w:line="360" w:lineRule="auto" w:before="160" w:after="80"/>
        <w:outlineLvl w:val="0"/>
      </w:pPr>
      <w:r>
        <w:rPr>
          <w:rFonts w:ascii="Times New Roman" w:hAnsi="Times New Roman" w:eastAsia="黑体"/>
          <w:b/>
          <w:color w:val="000000"/>
          <w:sz w:val="28"/>
        </w:rPr>
        <w:t>8 AI 使用披露</w:t>
      </w: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本项目在开发过程中使用了 AI 编程助手（WorkBuddy，基于大语言模型的智能编码代理），现按学术诚信要求如实披露使用情况。</w:t>
      </w:r>
    </w:p>
    <w:p>
      <w:pPr>
        <w:spacing w:after="40"/>
        <w:jc w:val="center"/>
      </w:pPr>
      <w:r>
        <w:rPr>
          <w:rFonts w:ascii="Times New Roman" w:hAnsi="Times New Roman" w:eastAsia="黑体"/>
          <w:color w:val="000000"/>
          <w:sz w:val="21"/>
        </w:rPr>
        <w:t>表 8-1  AI 使用环节与性质说明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911"/>
        <w:gridCol w:w="2911"/>
        <w:gridCol w:w="2911"/>
      </w:tblGrid>
      <w:tr>
        <w:tc>
          <w:tcPr>
            <w:tcW w:type="dxa" w:w="2911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color w:val="000000"/>
                <w:sz w:val="20"/>
              </w:rPr>
              <w:t>使用环节</w:t>
            </w:r>
          </w:p>
        </w:tc>
        <w:tc>
          <w:tcPr>
            <w:tcW w:type="dxa" w:w="2911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color w:val="000000"/>
                <w:sz w:val="20"/>
              </w:rPr>
              <w:t>具体用途</w:t>
            </w:r>
          </w:p>
        </w:tc>
        <w:tc>
          <w:tcPr>
            <w:tcW w:type="dxa" w:w="2911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color w:val="000000"/>
                <w:sz w:val="20"/>
              </w:rPr>
              <w:t>AI 参与性质</w:t>
            </w:r>
          </w:p>
        </w:tc>
      </w:tr>
      <w:tr>
        <w:tc>
          <w:tcPr>
            <w:tcW w:type="dxa" w:w="2911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代码编写</w:t>
            </w:r>
          </w:p>
        </w:tc>
        <w:tc>
          <w:tcPr>
            <w:tcW w:type="dxa" w:w="2911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生成数据清洗、模型计算、图表绘制与大屏脚本的初始框架</w:t>
            </w:r>
          </w:p>
        </w:tc>
        <w:tc>
          <w:tcPr>
            <w:tcW w:type="dxa" w:w="2911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辅助（本人审阅修改）</w:t>
            </w:r>
          </w:p>
        </w:tc>
      </w:tr>
      <w:tr>
        <w:tc>
          <w:tcPr>
            <w:tcW w:type="dxa" w:w="2911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图表实现</w:t>
            </w:r>
          </w:p>
        </w:tc>
        <w:tc>
          <w:tcPr>
            <w:tcW w:type="dxa" w:w="2911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协助实现瀑布图、子弹图、矩形树图等 Matplotlib 无原生支持的图型</w:t>
            </w:r>
          </w:p>
        </w:tc>
        <w:tc>
          <w:tcPr>
            <w:tcW w:type="dxa" w:w="2911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辅助（算法由本人验证）</w:t>
            </w:r>
          </w:p>
        </w:tc>
      </w:tr>
      <w:tr>
        <w:tc>
          <w:tcPr>
            <w:tcW w:type="dxa" w:w="2911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演示材料</w:t>
            </w:r>
          </w:p>
        </w:tc>
        <w:tc>
          <w:tcPr>
            <w:tcW w:type="dxa" w:w="2911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编写无头浏览器自动截图脚本，定位虚拟时间预算导致浏览器挂起等问题</w:t>
            </w:r>
          </w:p>
        </w:tc>
        <w:tc>
          <w:tcPr>
            <w:tcW w:type="dxa" w:w="2911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辅助（本人验证通过）</w:t>
            </w:r>
          </w:p>
        </w:tc>
      </w:tr>
      <w:tr>
        <w:tc>
          <w:tcPr>
            <w:tcW w:type="dxa" w:w="2911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论文撰写</w:t>
            </w:r>
          </w:p>
        </w:tc>
        <w:tc>
          <w:tcPr>
            <w:tcW w:type="dxa" w:w="2911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协助章节结构组织与文字润色</w:t>
            </w:r>
          </w:p>
        </w:tc>
        <w:tc>
          <w:tcPr>
            <w:tcW w:type="dxa" w:w="2911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辅助（数据与结论由本人产出）</w:t>
            </w:r>
          </w:p>
        </w:tc>
      </w:tr>
      <w:tr>
        <w:tc>
          <w:tcPr>
            <w:tcW w:type="dxa" w:w="2911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错误调试</w:t>
            </w:r>
          </w:p>
        </w:tc>
        <w:tc>
          <w:tcPr>
            <w:tcW w:type="dxa" w:w="2911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定位并修复脚本运行中的语法与 API 兼容问题</w:t>
            </w:r>
          </w:p>
        </w:tc>
        <w:tc>
          <w:tcPr>
            <w:tcW w:type="dxa" w:w="2911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辅助</w:t>
            </w:r>
          </w:p>
        </w:tc>
      </w:tr>
    </w:tbl>
    <w:p>
      <w:pPr>
        <w:spacing w:after="40"/>
      </w:pP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/>
          <w:color w:val="000000"/>
          <w:sz w:val="24"/>
        </w:rPr>
        <w:t>关键提示词示例</w:t>
      </w:r>
      <w:r>
        <w:rPr>
          <w:rFonts w:ascii="Times New Roman" w:hAnsi="Times New Roman" w:eastAsia="宋体"/>
          <w:b w:val="0"/>
          <w:color w:val="000000"/>
          <w:sz w:val="24"/>
        </w:rPr>
        <w:t>（用于说明 AI 参与的实际范围）：</w:t>
      </w:r>
    </w:p>
    <w:p>
      <w:pPr>
        <w:spacing w:line="360" w:lineRule="auto" w:after="60"/>
        <w:ind w:left="480" w:hanging="240"/>
      </w:pPr>
      <w:r>
        <w:rPr>
          <w:rFonts w:ascii="Times New Roman" w:hAnsi="Times New Roman" w:eastAsia="宋体"/>
          <w:b w:val="0"/>
          <w:color w:val="000000"/>
          <w:sz w:val="24"/>
        </w:rPr>
        <w:t>「使用 Matplotlib 实现矩形树图，采用 squarify 算法，要求子矩形长宽比接近 1，支持自定义配色与标签」</w:t>
      </w:r>
    </w:p>
    <w:p>
      <w:pPr>
        <w:spacing w:line="360" w:lineRule="auto" w:after="60"/>
        <w:ind w:left="480" w:hanging="240"/>
      </w:pPr>
      <w:r>
        <w:rPr>
          <w:rFonts w:ascii="Times New Roman" w:hAnsi="Times New Roman" w:eastAsia="宋体"/>
          <w:b w:val="0"/>
          <w:color w:val="000000"/>
          <w:sz w:val="24"/>
        </w:rPr>
        <w:t>「用 Pyecharts 搭建暗色主题商业分析大屏，包含趋势图、热力图、漏斗图、词云等不少于 6 个联动组件」</w:t>
      </w:r>
    </w:p>
    <w:p>
      <w:pPr>
        <w:spacing w:line="360" w:lineRule="auto" w:after="60"/>
        <w:ind w:left="480" w:hanging="240"/>
      </w:pPr>
      <w:r>
        <w:rPr>
          <w:rFonts w:ascii="Times New Roman" w:hAnsi="Times New Roman" w:eastAsia="宋体"/>
          <w:b w:val="0"/>
          <w:color w:val="000000"/>
          <w:sz w:val="24"/>
        </w:rPr>
        <w:t>「按期末大作业模板结构，用 python-docx 生成论文，要求题目三号黑体居中、正文小四号宋体 1.5 倍行距、嵌入指定图表」</w:t>
      </w:r>
    </w:p>
    <w:p>
      <w:pPr>
        <w:spacing w:line="360" w:lineRule="auto" w:after="60"/>
        <w:ind w:left="480" w:hanging="240"/>
      </w:pPr>
      <w:r>
        <w:rPr>
          <w:rFonts w:ascii="Times New Roman" w:hAnsi="Times New Roman" w:eastAsia="宋体"/>
          <w:b w:val="0"/>
          <w:color w:val="000000"/>
          <w:sz w:val="24"/>
        </w:rPr>
        <w:t>「检查这段 RFM 计算代码：为什么 Monetary 阈值用中位数而不是均值」</w:t>
      </w:r>
    </w:p>
    <w:p>
      <w:pPr>
        <w:spacing w:line="360" w:lineRule="auto" w:after="60"/>
        <w:ind w:left="480" w:hanging="240"/>
      </w:pPr>
      <w:r>
        <w:rPr>
          <w:rFonts w:ascii="Times New Roman" w:hAnsi="Times New Roman" w:eastAsia="宋体"/>
          <w:b w:val="0"/>
          <w:color w:val="000000"/>
          <w:sz w:val="24"/>
        </w:rPr>
        <w:t>「写一个脚本用无头浏览器对大屏 HTML 逐标签页截图，要求不依赖虚拟时间预算、可一键复现」</w:t>
      </w:r>
    </w:p>
    <w:p>
      <w:pPr>
        <w:spacing w:after="0"/>
      </w:pP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/>
          <w:color w:val="000000"/>
          <w:sz w:val="24"/>
        </w:rPr>
        <w:t>需要明确声明的是</w:t>
      </w:r>
      <w:r>
        <w:rPr>
          <w:rFonts w:ascii="Times New Roman" w:hAnsi="Times New Roman" w:eastAsia="宋体"/>
          <w:b w:val="0"/>
          <w:color w:val="000000"/>
          <w:sz w:val="24"/>
        </w:rPr>
        <w:t>：本项目的数据获取、清洗规则设计、模型选型、参数阈值设定、结果解读与全部商业建议，均由本人基于课程所学独立完成并承担责任；AI 未替代本人进行分析判断，也未参与任何结论的编造。所有由 AI 生成的代码均经本人逐行审阅、在真实数据上运行验证，并按课程要求完整披露。本项目未抄袭任何他人的代码或仓库。</w:t>
      </w:r>
    </w:p>
    <w:p>
      <w:r>
        <w:br w:type="page"/>
      </w:r>
    </w:p>
    <w:p>
      <w:pPr>
        <w:keepNext/>
        <w:spacing w:line="360" w:lineRule="auto" w:before="160" w:after="80"/>
        <w:outlineLvl w:val="0"/>
      </w:pPr>
      <w:r>
        <w:rPr>
          <w:rFonts w:ascii="Times New Roman" w:hAnsi="Times New Roman" w:eastAsia="黑体"/>
          <w:b/>
          <w:color w:val="000000"/>
          <w:sz w:val="28"/>
        </w:rPr>
        <w:t>参考文献</w:t>
      </w:r>
    </w:p>
    <w:p>
      <w:pPr>
        <w:spacing w:line="360" w:lineRule="auto" w:after="60"/>
        <w:ind w:left="480" w:hanging="480"/>
      </w:pPr>
      <w:r>
        <w:rPr>
          <w:rFonts w:ascii="Times New Roman" w:hAnsi="Times New Roman" w:eastAsia="宋体"/>
          <w:color w:val="000000"/>
          <w:sz w:val="21"/>
        </w:rPr>
        <w:t>[1] Chen, D. (2012). Online Retail II [Dataset]. UCI Machine Learning Repository. https://doi.org/10.24432/C60H6D.</w:t>
      </w:r>
    </w:p>
    <w:p>
      <w:pPr>
        <w:spacing w:line="360" w:lineRule="auto" w:after="60"/>
        <w:ind w:left="480" w:hanging="480"/>
      </w:pPr>
      <w:r>
        <w:rPr>
          <w:rFonts w:ascii="Times New Roman" w:hAnsi="Times New Roman" w:eastAsia="宋体"/>
          <w:color w:val="000000"/>
          <w:sz w:val="21"/>
        </w:rPr>
        <w:t>[2] 陈剑, 等. Excel 数据可视化——从图表到数据大屏[M]. 北京: 电子工业出版社.</w:t>
      </w:r>
    </w:p>
    <w:p>
      <w:pPr>
        <w:spacing w:line="360" w:lineRule="auto" w:after="60"/>
        <w:ind w:left="480" w:hanging="480"/>
      </w:pPr>
      <w:r>
        <w:rPr>
          <w:rFonts w:ascii="Times New Roman" w:hAnsi="Times New Roman" w:eastAsia="宋体"/>
          <w:color w:val="000000"/>
          <w:sz w:val="21"/>
        </w:rPr>
        <w:t>[3] McKinney, W. Python for Data Analysis: Data Wrangling with pandas, NumPy, and IPython[M]. 3rd ed. Sebastopol: O'Reilly Media, 2022.</w:t>
      </w:r>
    </w:p>
    <w:p>
      <w:pPr>
        <w:spacing w:line="360" w:lineRule="auto" w:after="60"/>
        <w:ind w:left="480" w:hanging="480"/>
      </w:pPr>
      <w:r>
        <w:rPr>
          <w:rFonts w:ascii="Times New Roman" w:hAnsi="Times New Roman" w:eastAsia="宋体"/>
          <w:color w:val="000000"/>
          <w:sz w:val="21"/>
        </w:rPr>
        <w:t>[4] Hunter, J. D. Matplotlib: A 2D Graphics Environment[J]. Computing in Science &amp; Engineering, 2007, 9(3): 90-95.</w:t>
      </w:r>
    </w:p>
    <w:p>
      <w:pPr>
        <w:spacing w:line="360" w:lineRule="auto" w:after="60"/>
        <w:ind w:left="480" w:hanging="480"/>
      </w:pPr>
      <w:r>
        <w:rPr>
          <w:rFonts w:ascii="Times New Roman" w:hAnsi="Times New Roman" w:eastAsia="宋体"/>
          <w:color w:val="000000"/>
          <w:sz w:val="21"/>
        </w:rPr>
        <w:t>[5] Hyndman, R. J., &amp; Athanasopoulos, G. Forecasting: Principles and Practice[M]. 3rd ed. Melbourne: OTexts, 2021.</w:t>
      </w:r>
    </w:p>
    <w:p>
      <w:pPr>
        <w:spacing w:line="360" w:lineRule="auto" w:after="60"/>
        <w:ind w:left="480" w:hanging="480"/>
      </w:pPr>
      <w:r>
        <w:rPr>
          <w:rFonts w:ascii="Times New Roman" w:hAnsi="Times New Roman" w:eastAsia="宋体"/>
          <w:color w:val="000000"/>
          <w:sz w:val="21"/>
        </w:rPr>
        <w:t>[6] Agrawal, R., &amp; Srikant, R. Fast Algorithms for Mining Association Rules[C]. Proceedings of the 20th VLDB Conference, 1994: 487-499.</w:t>
      </w:r>
    </w:p>
    <w:p>
      <w:pPr>
        <w:spacing w:line="360" w:lineRule="auto" w:after="60"/>
        <w:ind w:left="480" w:hanging="480"/>
      </w:pPr>
      <w:r>
        <w:rPr>
          <w:rFonts w:ascii="Times New Roman" w:hAnsi="Times New Roman" w:eastAsia="宋体"/>
          <w:color w:val="000000"/>
          <w:sz w:val="21"/>
        </w:rPr>
        <w:t>[7] Raschk, S. Python Machine Learning: Machine Learning and Deep Learning with Python, scikit-learn, and TensorFlow 2[M]. 3rd ed. Birmingham: Packt Publishing, 2019.</w:t>
      </w:r>
    </w:p>
    <w:p>
      <w:pPr>
        <w:spacing w:line="360" w:lineRule="auto" w:after="60"/>
        <w:ind w:left="480" w:hanging="480"/>
      </w:pPr>
      <w:r>
        <w:rPr>
          <w:rFonts w:ascii="Times New Roman" w:hAnsi="Times New Roman" w:eastAsia="宋体"/>
          <w:color w:val="000000"/>
          <w:sz w:val="21"/>
        </w:rPr>
        <w:t>[8] Pedregosa, F., et al. Scikit-learn: Machine Learning in Python[J]. Journal of Machine Learning Research, 2011, 12: 2825-2830.</w:t>
      </w:r>
    </w:p>
    <w:p>
      <w:r>
        <w:br w:type="page"/>
      </w:r>
    </w:p>
    <w:p>
      <w:pPr>
        <w:keepNext/>
        <w:spacing w:line="360" w:lineRule="auto" w:before="160" w:after="80"/>
        <w:outlineLvl w:val="0"/>
      </w:pPr>
      <w:r>
        <w:rPr>
          <w:rFonts w:ascii="Times New Roman" w:hAnsi="Times New Roman" w:eastAsia="黑体"/>
          <w:b/>
          <w:color w:val="000000"/>
          <w:sz w:val="28"/>
        </w:rPr>
        <w:t>附录</w:t>
      </w:r>
    </w:p>
    <w:p>
      <w:pPr>
        <w:keepNext/>
        <w:spacing w:line="360" w:lineRule="auto" w:before="100" w:after="80"/>
        <w:outlineLvl w:val="1"/>
      </w:pPr>
      <w:r>
        <w:rPr>
          <w:rFonts w:ascii="Times New Roman" w:hAnsi="Times New Roman" w:eastAsia="黑体"/>
          <w:b/>
          <w:color w:val="000000"/>
          <w:sz w:val="24"/>
        </w:rPr>
        <w:t>附录 A　核心代码片段</w:t>
      </w:r>
    </w:p>
    <w:p>
      <w:pPr>
        <w:spacing w:line="360" w:lineRule="auto" w:after="40" w:before="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A.1　按发票整单随机抽样（保证购物篮完整，固定随机种子 2026）</w:t>
      </w:r>
    </w:p>
    <w:p>
      <w:pPr>
        <w:spacing w:line="276" w:lineRule="auto" w:after="160"/>
        <w:ind w:left="360"/>
      </w:pPr>
      <w:r>
        <w:rPr>
          <w:rFonts w:ascii="Times New Roman" w:hAnsi="Times New Roman" w:eastAsia="Consolas"/>
          <w:color w:val="000000"/>
          <w:sz w:val="18"/>
        </w:rPr>
        <w:t>rng = np.random.default_rng(cfg.RANDOM_SEED)          # 随机种子固定，结果可复现</w:t>
      </w:r>
      <w:r>
        <w:br/>
      </w:r>
      <w:r>
        <w:rPr>
          <w:rFonts w:ascii="Times New Roman" w:hAnsi="Times New Roman" w:eastAsia="Consolas"/>
          <w:color w:val="000000"/>
          <w:sz w:val="18"/>
        </w:rPr>
        <w:t>invoices = full['Invoice'].drop_duplicates()</w:t>
      </w:r>
      <w:r>
        <w:br/>
      </w:r>
      <w:r>
        <w:rPr>
          <w:rFonts w:ascii="Times New Roman" w:hAnsi="Times New Roman" w:eastAsia="Consolas"/>
          <w:color w:val="000000"/>
          <w:sz w:val="18"/>
        </w:rPr>
        <w:t>picked = rng.choice(invoices, size=int(len(invoices) * cfg.SAMPLE_FRAC), replace=False)</w:t>
      </w:r>
      <w:r>
        <w:br/>
      </w:r>
      <w:r>
        <w:rPr>
          <w:rFonts w:ascii="Times New Roman" w:hAnsi="Times New Roman" w:eastAsia="Consolas"/>
          <w:color w:val="000000"/>
          <w:sz w:val="18"/>
        </w:rPr>
        <w:t># 关键：以「发票」为抽样单元，保留选中发票的全部明细行</w:t>
      </w:r>
      <w:r>
        <w:br/>
      </w:r>
      <w:r>
        <w:rPr>
          <w:rFonts w:ascii="Times New Roman" w:hAnsi="Times New Roman" w:eastAsia="Consolas"/>
          <w:color w:val="000000"/>
          <w:sz w:val="18"/>
        </w:rPr>
        <w:t>sampled = full[full['Invoice'].isin(picked)].copy()</w:t>
      </w:r>
    </w:p>
    <w:p>
      <w:pPr>
        <w:spacing w:line="360" w:lineRule="auto" w:after="40" w:before="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A.2　RFM 八分类（中位数切分 + R/F/M 三维度交叉）</w:t>
      </w:r>
    </w:p>
    <w:p>
      <w:pPr>
        <w:spacing w:line="276" w:lineRule="auto" w:after="160"/>
        <w:ind w:left="360"/>
      </w:pPr>
      <w:r>
        <w:rPr>
          <w:rFonts w:ascii="Times New Roman" w:hAnsi="Times New Roman" w:eastAsia="Consolas"/>
          <w:color w:val="000000"/>
          <w:sz w:val="18"/>
        </w:rPr>
        <w:t>d = fact[(fact['CustomerID'] != 'GUEST') &amp; (fact['OrderDate'] &lt;= CUT_DATE)]</w:t>
      </w:r>
      <w:r>
        <w:br/>
      </w:r>
      <w:r>
        <w:rPr>
          <w:rFonts w:ascii="Times New Roman" w:hAnsi="Times New Roman" w:eastAsia="Consolas"/>
          <w:color w:val="000000"/>
          <w:sz w:val="18"/>
        </w:rPr>
        <w:t>rfm = d.groupby('CustomerID').agg(</w:t>
      </w:r>
      <w:r>
        <w:br/>
      </w:r>
      <w:r>
        <w:rPr>
          <w:rFonts w:ascii="Times New Roman" w:hAnsi="Times New Roman" w:eastAsia="Consolas"/>
          <w:color w:val="000000"/>
          <w:sz w:val="18"/>
        </w:rPr>
        <w:t xml:space="preserve">    Recency=('OrderDate', lambda s: (snapshot - s.max()).days),</w:t>
      </w:r>
      <w:r>
        <w:br/>
      </w:r>
      <w:r>
        <w:rPr>
          <w:rFonts w:ascii="Times New Roman" w:hAnsi="Times New Roman" w:eastAsia="Consolas"/>
          <w:color w:val="000000"/>
          <w:sz w:val="18"/>
        </w:rPr>
        <w:t xml:space="preserve">    Frequency=('Invoice', 'nunique'),</w:t>
      </w:r>
      <w:r>
        <w:br/>
      </w:r>
      <w:r>
        <w:rPr>
          <w:rFonts w:ascii="Times New Roman" w:hAnsi="Times New Roman" w:eastAsia="Consolas"/>
          <w:color w:val="000000"/>
          <w:sz w:val="18"/>
        </w:rPr>
        <w:t xml:space="preserve">    Monetary=('Revenue', 'sum')).reset_index()</w:t>
      </w:r>
      <w:r>
        <w:br/>
      </w:r>
      <w:r>
        <w:rPr>
          <w:rFonts w:ascii="Times New Roman" w:hAnsi="Times New Roman" w:eastAsia="Consolas"/>
          <w:color w:val="000000"/>
          <w:sz w:val="18"/>
        </w:rPr>
        <w:t># 中位数切分：R/F/M 均右偏，中位数对极值稳健</w:t>
      </w:r>
      <w:r>
        <w:br/>
      </w:r>
      <w:r>
        <w:rPr>
          <w:rFonts w:ascii="Times New Roman" w:hAnsi="Times New Roman" w:eastAsia="Consolas"/>
          <w:color w:val="000000"/>
          <w:sz w:val="18"/>
        </w:rPr>
        <w:t>med = {k: rfm[k].median() for k in ('Recency', 'Frequency', 'Monetary')}</w:t>
      </w:r>
      <w:r>
        <w:br/>
      </w:r>
      <w:r>
        <w:rPr>
          <w:rFonts w:ascii="Times New Roman" w:hAnsi="Times New Roman" w:eastAsia="Consolas"/>
          <w:color w:val="000000"/>
          <w:sz w:val="18"/>
        </w:rPr>
        <w:t>rfm['R_score'] = np.where(rfm['Recency'] &lt;= med['Recency'], 'H', 'L')  # R 越小越好</w:t>
      </w:r>
      <w:r>
        <w:br/>
      </w:r>
      <w:r>
        <w:rPr>
          <w:rFonts w:ascii="Times New Roman" w:hAnsi="Times New Roman" w:eastAsia="Consolas"/>
          <w:color w:val="000000"/>
          <w:sz w:val="18"/>
        </w:rPr>
        <w:t>rfm['F_score'] = np.where(rfm['Frequency'] &gt;= med['Frequency'], 'H', 'L')</w:t>
      </w:r>
      <w:r>
        <w:br/>
      </w:r>
      <w:r>
        <w:rPr>
          <w:rFonts w:ascii="Times New Roman" w:hAnsi="Times New Roman" w:eastAsia="Consolas"/>
          <w:color w:val="000000"/>
          <w:sz w:val="18"/>
        </w:rPr>
        <w:t>rfm['M_score'] = np.where(rfm['Monetary']  &gt;= med['Monetary'],  'H', 'L')</w:t>
      </w:r>
      <w:r>
        <w:br/>
      </w:r>
      <w:r>
        <w:rPr>
          <w:rFonts w:ascii="Times New Roman" w:hAnsi="Times New Roman" w:eastAsia="Consolas"/>
          <w:color w:val="000000"/>
          <w:sz w:val="18"/>
        </w:rPr>
        <w:t>rfm['RFM_Cell'] = rfm['R_score'] + rfm['F_score'] + rfm['M_score']   # 8 个客群</w:t>
      </w:r>
    </w:p>
    <w:p>
      <w:pPr>
        <w:spacing w:line="360" w:lineRule="auto" w:after="40" w:before="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A.3　Apriori 关联规则（三阈值均有业务依据）</w:t>
      </w:r>
    </w:p>
    <w:p>
      <w:pPr>
        <w:spacing w:line="276" w:lineRule="auto" w:after="160"/>
        <w:ind w:left="360"/>
      </w:pPr>
      <w:r>
        <w:rPr>
          <w:rFonts w:ascii="Times New Roman" w:hAnsi="Times New Roman" w:eastAsia="Consolas"/>
          <w:color w:val="000000"/>
          <w:sz w:val="18"/>
        </w:rPr>
        <w:t>frequent = apriori(basket_bool, min_support=0.01, use_colnames=True, max_len=3)</w:t>
      </w:r>
      <w:r>
        <w:br/>
      </w:r>
      <w:r>
        <w:rPr>
          <w:rFonts w:ascii="Times New Roman" w:hAnsi="Times New Roman" w:eastAsia="Consolas"/>
          <w:color w:val="000000"/>
          <w:sz w:val="18"/>
        </w:rPr>
        <w:t>rules = association_rules(frequent, metric='lift', min_threshold=1.0)</w:t>
      </w:r>
      <w:r>
        <w:br/>
      </w:r>
      <w:r>
        <w:rPr>
          <w:rFonts w:ascii="Times New Roman" w:hAnsi="Times New Roman" w:eastAsia="Consolas"/>
          <w:color w:val="000000"/>
          <w:sz w:val="18"/>
        </w:rPr>
        <w:t>rules = rules[rules['confidence'] &gt;= 0.15].sort_values('lift', ascending=False)</w:t>
      </w:r>
      <w:r>
        <w:br/>
      </w:r>
      <w:r>
        <w:rPr>
          <w:rFonts w:ascii="Times New Roman" w:hAnsi="Times New Roman" w:eastAsia="Consolas"/>
          <w:color w:val="000000"/>
          <w:sz w:val="18"/>
        </w:rPr>
        <w:t># 支持度≥1%（有铺货价值） 提升度&gt;1（正向关联） 置信度≥15%（推荐可命中）</w:t>
      </w:r>
    </w:p>
    <w:p>
      <w:pPr>
        <w:spacing w:line="360" w:lineRule="auto" w:after="40" w:before="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A.4　Holt-Winters 预测 + 95% 置信区间 + 留出回测</w:t>
      </w:r>
    </w:p>
    <w:p>
      <w:pPr>
        <w:spacing w:line="276" w:lineRule="auto" w:after="160"/>
        <w:ind w:left="360"/>
      </w:pPr>
      <w:r>
        <w:rPr>
          <w:rFonts w:ascii="Times New Roman" w:hAnsi="Times New Roman" w:eastAsia="Consolas"/>
          <w:color w:val="000000"/>
          <w:sz w:val="18"/>
        </w:rPr>
        <w:t>model = ExponentialSmoothing(train, trend='add', damped_trend=True,</w:t>
      </w:r>
      <w:r>
        <w:br/>
      </w:r>
      <w:r>
        <w:rPr>
          <w:rFonts w:ascii="Times New Roman" w:hAnsi="Times New Roman" w:eastAsia="Consolas"/>
          <w:color w:val="000000"/>
          <w:sz w:val="18"/>
        </w:rPr>
        <w:t xml:space="preserve">                             seasonal='add', seasonal_periods=7).fit()</w:t>
      </w:r>
      <w:r>
        <w:br/>
      </w:r>
      <w:r>
        <w:rPr>
          <w:rFonts w:ascii="Times New Roman" w:hAnsi="Times New Roman" w:eastAsia="Consolas"/>
          <w:color w:val="000000"/>
          <w:sz w:val="18"/>
        </w:rPr>
        <w:t>fc  = model.forecast(30)                      # 点预测</w:t>
      </w:r>
      <w:r>
        <w:br/>
      </w:r>
      <w:r>
        <w:rPr>
          <w:rFonts w:ascii="Times New Roman" w:hAnsi="Times New Roman" w:eastAsia="Consolas"/>
          <w:color w:val="000000"/>
          <w:sz w:val="18"/>
        </w:rPr>
        <w:t>res = model.resid                             # 残差标准差构造区间</w:t>
      </w:r>
      <w:r>
        <w:br/>
      </w:r>
      <w:r>
        <w:rPr>
          <w:rFonts w:ascii="Times New Roman" w:hAnsi="Times New Roman" w:eastAsia="Consolas"/>
          <w:color w:val="000000"/>
          <w:sz w:val="18"/>
        </w:rPr>
        <w:t>lower = np.maximum(fc - 1.96 * sigma, 0)      # 销售额非负 → 下界截断</w:t>
      </w:r>
      <w:r>
        <w:br/>
      </w:r>
      <w:r>
        <w:rPr>
          <w:rFonts w:ascii="Times New Roman" w:hAnsi="Times New Roman" w:eastAsia="Consolas"/>
          <w:color w:val="000000"/>
          <w:sz w:val="18"/>
        </w:rPr>
        <w:t>upper = fc + 1.96 * sigma</w:t>
      </w:r>
      <w:r>
        <w:br/>
      </w:r>
      <w:r>
        <w:rPr>
          <w:rFonts w:ascii="Times New Roman" w:hAnsi="Times New Roman" w:eastAsia="Consolas"/>
          <w:color w:val="000000"/>
          <w:sz w:val="18"/>
        </w:rPr>
        <w:t>mape = mean_absolute_percentage_error(test, fc_test)</w:t>
      </w:r>
    </w:p>
    <w:p>
      <w:pPr>
        <w:spacing w:line="360" w:lineRule="auto" w:after="40" w:before="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A.5　矩形树图 squarify 算法（Matplotlib 无原生支持，自行实现）</w:t>
      </w:r>
    </w:p>
    <w:p>
      <w:pPr>
        <w:spacing w:line="276" w:lineRule="auto" w:after="160"/>
        <w:ind w:left="360"/>
      </w:pPr>
      <w:r>
        <w:rPr>
          <w:rFonts w:ascii="Times New Roman" w:hAnsi="Times New Roman" w:eastAsia="Consolas"/>
          <w:color w:val="000000"/>
          <w:sz w:val="18"/>
        </w:rPr>
        <w:t>def squarify(sizes, x, y, w, h):</w:t>
      </w:r>
      <w:r>
        <w:br/>
      </w:r>
      <w:r>
        <w:rPr>
          <w:rFonts w:ascii="Times New Roman" w:hAnsi="Times New Roman" w:eastAsia="Consolas"/>
          <w:color w:val="000000"/>
          <w:sz w:val="18"/>
        </w:rPr>
        <w:t xml:space="preserve">    # 始终沿当前矩形较短的一边排布，使子矩形长宽比尽量接近 1</w:t>
      </w:r>
      <w:r>
        <w:br/>
      </w:r>
      <w:r>
        <w:rPr>
          <w:rFonts w:ascii="Times New Roman" w:hAnsi="Times New Roman" w:eastAsia="Consolas"/>
          <w:color w:val="000000"/>
          <w:sz w:val="18"/>
        </w:rPr>
        <w:t xml:space="preserve">    if len(sizes) == 1: return [(x, y, w, h)]</w:t>
      </w:r>
      <w:r>
        <w:br/>
      </w:r>
      <w:r>
        <w:rPr>
          <w:rFonts w:ascii="Times New Roman" w:hAnsi="Times New Roman" w:eastAsia="Consolas"/>
          <w:color w:val="000000"/>
          <w:sz w:val="18"/>
        </w:rPr>
        <w:t xml:space="preserve">    half = int(len(sizes) / 2)</w:t>
      </w:r>
      <w:r>
        <w:br/>
      </w:r>
      <w:r>
        <w:rPr>
          <w:rFonts w:ascii="Times New Roman" w:hAnsi="Times New Roman" w:eastAsia="Consolas"/>
          <w:color w:val="000000"/>
          <w:sz w:val="18"/>
        </w:rPr>
        <w:t xml:space="preserve">    if w &gt;= h:   # 竖切</w:t>
      </w:r>
      <w:r>
        <w:br/>
      </w:r>
      <w:r>
        <w:rPr>
          <w:rFonts w:ascii="Times New Roman" w:hAnsi="Times New Roman" w:eastAsia="Consolas"/>
          <w:color w:val="000000"/>
          <w:sz w:val="18"/>
        </w:rPr>
        <w:t xml:space="preserve">        ...</w:t>
      </w:r>
      <w:r>
        <w:br/>
      </w:r>
      <w:r>
        <w:rPr>
          <w:rFonts w:ascii="Times New Roman" w:hAnsi="Times New Roman" w:eastAsia="Consolas"/>
          <w:color w:val="000000"/>
          <w:sz w:val="18"/>
        </w:rPr>
        <w:t xml:space="preserve">    else:        # 横切</w:t>
      </w:r>
      <w:r>
        <w:br/>
      </w:r>
      <w:r>
        <w:rPr>
          <w:rFonts w:ascii="Times New Roman" w:hAnsi="Times New Roman" w:eastAsia="Consolas"/>
          <w:color w:val="000000"/>
          <w:sz w:val="18"/>
        </w:rPr>
        <w:t xml:space="preserve">        ...</w:t>
      </w:r>
    </w:p>
    <w:p>
      <w:pPr>
        <w:spacing w:line="360" w:lineRule="auto" w:after="40" w:before="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A.6　流失预警的观测窗 / 表现窗切分与时间外验证（防数据泄漏）</w:t>
      </w:r>
    </w:p>
    <w:p>
      <w:pPr>
        <w:spacing w:line="276" w:lineRule="auto" w:after="160"/>
        <w:ind w:left="360"/>
      </w:pPr>
      <w:r>
        <w:rPr>
          <w:rFonts w:ascii="Times New Roman" w:hAnsi="Times New Roman" w:eastAsia="Consolas"/>
          <w:color w:val="000000"/>
          <w:sz w:val="18"/>
        </w:rPr>
        <w:t># 两窗严格不重叠：特征只来自观测窗，标签只来自表现窗</w:t>
      </w:r>
      <w:r>
        <w:br/>
      </w:r>
      <w:r>
        <w:rPr>
          <w:rFonts w:ascii="Times New Roman" w:hAnsi="Times New Roman" w:eastAsia="Consolas"/>
          <w:color w:val="000000"/>
          <w:sz w:val="18"/>
        </w:rPr>
        <w:t>obs_end, perf_end = '2011-08-31', '2011-11-30'</w:t>
      </w:r>
      <w:r>
        <w:br/>
      </w:r>
      <w:r>
        <w:rPr>
          <w:rFonts w:ascii="Times New Roman" w:hAnsi="Times New Roman" w:eastAsia="Consolas"/>
          <w:color w:val="000000"/>
          <w:sz w:val="18"/>
        </w:rPr>
        <w:t>feat = customers[customers['LastPurchase'] &lt;= obs_end]      # 特征截止</w:t>
      </w:r>
      <w:r>
        <w:br/>
      </w:r>
      <w:r>
        <w:rPr>
          <w:rFonts w:ascii="Times New Roman" w:hAnsi="Times New Roman" w:eastAsia="Consolas"/>
          <w:color w:val="000000"/>
          <w:sz w:val="18"/>
        </w:rPr>
        <w:t>label = customers[(customers['LastPurchase'] &gt; obs_end) &amp;   # 表现窗内</w:t>
      </w:r>
      <w:r>
        <w:br/>
      </w:r>
      <w:r>
        <w:rPr>
          <w:rFonts w:ascii="Times New Roman" w:hAnsi="Times New Roman" w:eastAsia="Consolas"/>
          <w:color w:val="000000"/>
          <w:sz w:val="18"/>
        </w:rPr>
        <w:t xml:space="preserve">                   (customers['LastPurchase'] &lt;= perf_end)].index</w:t>
      </w:r>
      <w:r>
        <w:br/>
      </w:r>
      <w:r>
        <w:rPr>
          <w:rFonts w:ascii="Times New Roman" w:hAnsi="Times New Roman" w:eastAsia="Consolas"/>
          <w:color w:val="000000"/>
          <w:sz w:val="18"/>
        </w:rPr>
        <w:t>y = pd.Series((~feat.index.isin(label)).astype(int),       # 表现窗静默=流失</w:t>
      </w:r>
      <w:r>
        <w:br/>
      </w:r>
      <w:r>
        <w:rPr>
          <w:rFonts w:ascii="Times New Roman" w:hAnsi="Times New Roman" w:eastAsia="Consolas"/>
          <w:color w:val="000000"/>
          <w:sz w:val="18"/>
        </w:rPr>
        <w:t xml:space="preserve">              index=feat.index)</w:t>
      </w:r>
      <w:r>
        <w:br/>
      </w:r>
      <w:r>
        <w:rPr>
          <w:rFonts w:ascii="Times New Roman" w:hAnsi="Times New Roman" w:eastAsia="Consolas"/>
          <w:color w:val="000000"/>
          <w:sz w:val="18"/>
        </w:rPr>
        <w:t># 时间外验证：用 2011-08-31 之前的数据训练，预测其后的流失</w:t>
      </w:r>
      <w:r>
        <w:br/>
      </w:r>
      <w:r>
        <w:rPr>
          <w:rFonts w:ascii="Times New Roman" w:hAnsi="Times New Roman" w:eastAsia="Consolas"/>
          <w:color w:val="000000"/>
          <w:sz w:val="18"/>
        </w:rPr>
        <w:t>scores_oof = cross_val_predict(clf, X, y, cv=5, method='predict_proba')[:, 1]</w:t>
      </w:r>
    </w:p>
    <w:p>
      <w:pPr>
        <w:keepNext/>
        <w:spacing w:line="360" w:lineRule="auto" w:before="100" w:after="80"/>
        <w:outlineLvl w:val="1"/>
      </w:pPr>
      <w:r>
        <w:rPr>
          <w:rFonts w:ascii="Times New Roman" w:hAnsi="Times New Roman" w:eastAsia="黑体"/>
          <w:b/>
          <w:color w:val="000000"/>
          <w:sz w:val="24"/>
        </w:rPr>
        <w:t>附录 B　GitHub 仓库链接与目录结构</w:t>
      </w:r>
    </w:p>
    <w:p>
      <w:pPr>
        <w:spacing w:line="360" w:lineRule="auto" w:after="80" w:before="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仓库地址（公开可见）：https://github.com/heee-a/business-data-analysis</w:t>
      </w:r>
    </w:p>
    <w:p>
      <w:pPr>
        <w:spacing w:line="360" w:lineRule="auto" w:after="80" w:before="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GitHub Pages 大屏在线地址：https://heee-a.github.io/business-data-analysis/</w:t>
      </w:r>
    </w:p>
    <w:p>
      <w:pPr>
        <w:spacing w:line="276" w:lineRule="auto" w:after="160"/>
        <w:ind w:left="360"/>
      </w:pPr>
      <w:r>
        <w:rPr>
          <w:rFonts w:ascii="Times New Roman" w:hAnsi="Times New Roman" w:eastAsia="Consolas"/>
          <w:color w:val="000000"/>
          <w:sz w:val="18"/>
        </w:rPr>
        <w:t>business-data-analysis/</w:t>
      </w:r>
      <w:r>
        <w:br/>
      </w:r>
      <w:r>
        <w:rPr>
          <w:rFonts w:ascii="Times New Roman" w:hAnsi="Times New Roman" w:eastAsia="Consolas"/>
          <w:color w:val="000000"/>
          <w:sz w:val="18"/>
        </w:rPr>
        <w:t>├── data/</w:t>
      </w:r>
      <w:r>
        <w:br/>
      </w:r>
      <w:r>
        <w:rPr>
          <w:rFonts w:ascii="Times New Roman" w:hAnsi="Times New Roman" w:eastAsia="Consolas"/>
          <w:color w:val="000000"/>
          <w:sz w:val="18"/>
        </w:rPr>
        <w:t>│   ├── raw/        online_retail_II_raw_sample.csv(.gz)、provenance.json、sampled_invoice_ids.csv</w:t>
      </w:r>
      <w:r>
        <w:br/>
      </w:r>
      <w:r>
        <w:rPr>
          <w:rFonts w:ascii="Times New Roman" w:hAnsi="Times New Roman" w:eastAsia="Consolas"/>
          <w:color w:val="000000"/>
          <w:sz w:val="18"/>
        </w:rPr>
        <w:t>│   ├── clean/      fact_order_items、dim_orders、dim_products、dim_customers、dim_date</w:t>
      </w:r>
      <w:r>
        <w:br/>
      </w:r>
      <w:r>
        <w:rPr>
          <w:rFonts w:ascii="Times New Roman" w:hAnsi="Times New Roman" w:eastAsia="Consolas"/>
          <w:color w:val="000000"/>
          <w:sz w:val="18"/>
        </w:rPr>
        <w:t>│   │               retail_clean.sqlite(.gz)</w:t>
      </w:r>
      <w:r>
        <w:br/>
      </w:r>
      <w:r>
        <w:rPr>
          <w:rFonts w:ascii="Times New Roman" w:hAnsi="Times New Roman" w:eastAsia="Consolas"/>
          <w:color w:val="000000"/>
          <w:sz w:val="18"/>
        </w:rPr>
        <w:t>│   └── schema/     data_dictionary.csv、star_schema.json、README_schema.md</w:t>
      </w:r>
      <w:r>
        <w:br/>
      </w:r>
      <w:r>
        <w:rPr>
          <w:rFonts w:ascii="Times New Roman" w:hAnsi="Times New Roman" w:eastAsia="Consolas"/>
          <w:color w:val="000000"/>
          <w:sz w:val="18"/>
        </w:rPr>
        <w:t>├── scripts/</w:t>
      </w:r>
      <w:r>
        <w:br/>
      </w:r>
      <w:r>
        <w:rPr>
          <w:rFonts w:ascii="Times New Roman" w:hAnsi="Times New Roman" w:eastAsia="Consolas"/>
          <w:color w:val="000000"/>
          <w:sz w:val="18"/>
        </w:rPr>
        <w:t>│   ├── 01_load.py       数据获取（官方下载 + 按发票抽样）</w:t>
      </w:r>
      <w:r>
        <w:br/>
      </w:r>
      <w:r>
        <w:rPr>
          <w:rFonts w:ascii="Times New Roman" w:hAnsi="Times New Roman" w:eastAsia="Consolas"/>
          <w:color w:val="000000"/>
          <w:sz w:val="18"/>
        </w:rPr>
        <w:t>│   ├── 02_clean.py      清洗治理 + 星型模型 + 多格式导出</w:t>
      </w:r>
      <w:r>
        <w:br/>
      </w:r>
      <w:r>
        <w:rPr>
          <w:rFonts w:ascii="Times New Roman" w:hAnsi="Times New Roman" w:eastAsia="Consolas"/>
          <w:color w:val="000000"/>
          <w:sz w:val="18"/>
        </w:rPr>
        <w:t>│   ├── 03_analysis.py   10 类商业分析模型</w:t>
      </w:r>
      <w:r>
        <w:br/>
      </w:r>
      <w:r>
        <w:rPr>
          <w:rFonts w:ascii="Times New Roman" w:hAnsi="Times New Roman" w:eastAsia="Consolas"/>
          <w:color w:val="000000"/>
          <w:sz w:val="18"/>
        </w:rPr>
        <w:t>│   ├── 04_visuals.py    37 张静态图表（200dpi）</w:t>
      </w:r>
      <w:r>
        <w:br/>
      </w:r>
      <w:r>
        <w:rPr>
          <w:rFonts w:ascii="Times New Roman" w:hAnsi="Times New Roman" w:eastAsia="Consolas"/>
          <w:color w:val="000000"/>
          <w:sz w:val="18"/>
        </w:rPr>
        <w:t>│   ├── 05_dashboard.py  Pyecharts 交互大屏（22 组件）</w:t>
      </w:r>
      <w:r>
        <w:br/>
      </w:r>
      <w:r>
        <w:rPr>
          <w:rFonts w:ascii="Times New Roman" w:hAnsi="Times New Roman" w:eastAsia="Consolas"/>
          <w:color w:val="000000"/>
          <w:sz w:val="18"/>
        </w:rPr>
        <w:t>│   ├── 06_report.py     期末大论文与图表索引生成</w:t>
      </w:r>
      <w:r>
        <w:br/>
      </w:r>
      <w:r>
        <w:rPr>
          <w:rFonts w:ascii="Times New Roman" w:hAnsi="Times New Roman" w:eastAsia="Consolas"/>
          <w:color w:val="000000"/>
          <w:sz w:val="18"/>
        </w:rPr>
        <w:t>│   ├── 07_offline_bundle.py  离线自包含大屏打包</w:t>
      </w:r>
      <w:r>
        <w:br/>
      </w:r>
      <w:r>
        <w:rPr>
          <w:rFonts w:ascii="Times New Roman" w:hAnsi="Times New Roman" w:eastAsia="Consolas"/>
          <w:color w:val="000000"/>
          <w:sz w:val="18"/>
        </w:rPr>
        <w:t>│   ├── 08_deliver.py    交付物归档</w:t>
      </w:r>
      <w:r>
        <w:br/>
      </w:r>
      <w:r>
        <w:rPr>
          <w:rFonts w:ascii="Times New Roman" w:hAnsi="Times New Roman" w:eastAsia="Consolas"/>
          <w:color w:val="000000"/>
          <w:sz w:val="18"/>
        </w:rPr>
        <w:t>│   ├── 09_excel_summary.py  关键结果 Excel 汇总</w:t>
      </w:r>
      <w:r>
        <w:br/>
      </w:r>
      <w:r>
        <w:rPr>
          <w:rFonts w:ascii="Times New Roman" w:hAnsi="Times New Roman" w:eastAsia="Consolas"/>
          <w:color w:val="000000"/>
          <w:sz w:val="18"/>
        </w:rPr>
        <w:t>│   ├── 10_dashboard_screenshots.py  大屏演示截图（拼图 + GIF）</w:t>
      </w:r>
      <w:r>
        <w:br/>
      </w:r>
      <w:r>
        <w:rPr>
          <w:rFonts w:ascii="Times New Roman" w:hAnsi="Times New Roman" w:eastAsia="Consolas"/>
          <w:color w:val="000000"/>
          <w:sz w:val="18"/>
        </w:rPr>
        <w:t>│   └── utils/           config.py / io_utils.py / style.py / chart_helpers.py</w:t>
      </w:r>
      <w:r>
        <w:br/>
      </w:r>
      <w:r>
        <w:rPr>
          <w:rFonts w:ascii="Times New Roman" w:hAnsi="Times New Roman" w:eastAsia="Consolas"/>
          <w:color w:val="000000"/>
          <w:sz w:val="18"/>
        </w:rPr>
        <w:t>├── outputs/</w:t>
      </w:r>
      <w:r>
        <w:br/>
      </w:r>
      <w:r>
        <w:rPr>
          <w:rFonts w:ascii="Times New Roman" w:hAnsi="Times New Roman" w:eastAsia="Consolas"/>
          <w:color w:val="000000"/>
          <w:sz w:val="18"/>
        </w:rPr>
        <w:t>│   ├── figures/     fig01 ~ fig37（37 张 PNG）</w:t>
      </w:r>
      <w:r>
        <w:br/>
      </w:r>
      <w:r>
        <w:rPr>
          <w:rFonts w:ascii="Times New Roman" w:hAnsi="Times New Roman" w:eastAsia="Consolas"/>
          <w:color w:val="000000"/>
          <w:sz w:val="18"/>
        </w:rPr>
        <w:t>│   ├── tables/      99 个结果表（53 CSV + 46 JSON）+ 00_关键结果汇总.xlsx</w:t>
      </w:r>
      <w:r>
        <w:br/>
      </w:r>
      <w:r>
        <w:rPr>
          <w:rFonts w:ascii="Times New Roman" w:hAnsi="Times New Roman" w:eastAsia="Consolas"/>
          <w:color w:val="000000"/>
          <w:sz w:val="18"/>
        </w:rPr>
        <w:t>│   ├── dashboard/   dashboard_dark.html + dashboard_offline.html（大屏）</w:t>
      </w:r>
      <w:r>
        <w:br/>
      </w:r>
      <w:r>
        <w:rPr>
          <w:rFonts w:ascii="Times New Roman" w:hAnsi="Times New Roman" w:eastAsia="Consolas"/>
          <w:color w:val="000000"/>
          <w:sz w:val="18"/>
        </w:rPr>
        <w:t>│   ├── dashboard_screenshots/  大屏分 Tab 截图 + 拼图 + GIF</w:t>
      </w:r>
      <w:r>
        <w:br/>
      </w:r>
      <w:r>
        <w:rPr>
          <w:rFonts w:ascii="Times New Roman" w:hAnsi="Times New Roman" w:eastAsia="Consolas"/>
          <w:color w:val="000000"/>
          <w:sz w:val="18"/>
        </w:rPr>
        <w:t>│   └── html/        22 个独立组件 HTML</w:t>
      </w:r>
      <w:r>
        <w:br/>
      </w:r>
      <w:r>
        <w:rPr>
          <w:rFonts w:ascii="Times New Roman" w:hAnsi="Times New Roman" w:eastAsia="Consolas"/>
          <w:color w:val="000000"/>
          <w:sz w:val="18"/>
        </w:rPr>
        <w:t>├── docs/           论文 .docx / .pdf、图表索引.md、数据来源合规声明.md、复现验证报告.md</w:t>
      </w:r>
      <w:r>
        <w:br/>
      </w:r>
      <w:r>
        <w:rPr>
          <w:rFonts w:ascii="Times New Roman" w:hAnsi="Times New Roman" w:eastAsia="Consolas"/>
          <w:color w:val="000000"/>
          <w:sz w:val="18"/>
        </w:rPr>
        <w:t>├── pages/          index.html（GitHub Pages 入口）</w:t>
      </w:r>
      <w:r>
        <w:br/>
      </w:r>
      <w:r>
        <w:rPr>
          <w:rFonts w:ascii="Times New Roman" w:hAnsi="Times New Roman" w:eastAsia="Consolas"/>
          <w:color w:val="000000"/>
          <w:sz w:val="18"/>
        </w:rPr>
        <w:t>├── requirements.txt    依赖清单</w:t>
      </w:r>
      <w:r>
        <w:br/>
      </w:r>
      <w:r>
        <w:rPr>
          <w:rFonts w:ascii="Times New Roman" w:hAnsi="Times New Roman" w:eastAsia="Consolas"/>
          <w:color w:val="000000"/>
          <w:sz w:val="18"/>
        </w:rPr>
        <w:t>├── run_all.py          一键复现入口</w:t>
      </w:r>
      <w:r>
        <w:br/>
      </w:r>
      <w:r>
        <w:rPr>
          <w:rFonts w:ascii="Times New Roman" w:hAnsi="Times New Roman" w:eastAsia="Consolas"/>
          <w:color w:val="000000"/>
          <w:sz w:val="18"/>
        </w:rPr>
        <w:t>└── README.md           项目简介、数据来源、复现步骤、图表索引、分工说明</w:t>
      </w:r>
    </w:p>
    <w:p>
      <w:pPr>
        <w:keepNext/>
        <w:spacing w:line="360" w:lineRule="auto" w:before="100" w:after="80"/>
        <w:outlineLvl w:val="1"/>
      </w:pPr>
      <w:r>
        <w:rPr>
          <w:rFonts w:ascii="Times New Roman" w:hAnsi="Times New Roman" w:eastAsia="黑体"/>
          <w:b/>
          <w:color w:val="000000"/>
          <w:sz w:val="24"/>
        </w:rPr>
        <w:t>附录 C　图表索引（fig01–fig37 + 大屏组件）</w:t>
      </w:r>
    </w:p>
    <w:p>
      <w:pPr>
        <w:spacing w:line="360" w:lineRule="auto" w:after="80" w:before="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以下为正文未收录但在分析中同样关键的业务模型图，按模型顺序排列。</w:t>
      </w:r>
    </w:p>
    <w:p>
      <w:pPr>
        <w:spacing w:before="120" w:after="20"/>
        <w:jc w:val="center"/>
      </w:pPr>
      <w:r>
        <w:drawing>
          <wp:inline xmlns:a="http://schemas.openxmlformats.org/drawingml/2006/main" xmlns:pic="http://schemas.openxmlformats.org/drawingml/2006/picture">
            <wp:extent cx="5040000" cy="2386706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1_mom_yoy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3867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hAnsi="Times New Roman" w:eastAsia="宋体"/>
          <w:color w:val="000000"/>
          <w:sz w:val="21"/>
        </w:rPr>
        <w:t>图 C-1  月度销售额环比/同比组合图（fig01_mom_yoy）</w:t>
      </w:r>
    </w:p>
    <w:p>
      <w:pPr>
        <w:spacing w:before="120" w:after="20"/>
        <w:jc w:val="center"/>
      </w:pPr>
      <w:r>
        <w:drawing>
          <wp:inline xmlns:a="http://schemas.openxmlformats.org/drawingml/2006/main" xmlns:pic="http://schemas.openxmlformats.org/drawingml/2006/picture">
            <wp:extent cx="5040000" cy="3699692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3_treemap_category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6996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hAnsi="Times New Roman" w:eastAsia="宋体"/>
          <w:color w:val="000000"/>
          <w:sz w:val="21"/>
        </w:rPr>
        <w:t>图 C-2  品类销售额矩形树图（fig23_treemap_category）</w:t>
      </w:r>
    </w:p>
    <w:p>
      <w:pPr>
        <w:spacing w:before="120" w:after="20"/>
        <w:jc w:val="center"/>
      </w:pPr>
      <w:r>
        <w:drawing>
          <wp:inline xmlns:a="http://schemas.openxmlformats.org/drawingml/2006/main" xmlns:pic="http://schemas.openxmlformats.org/drawingml/2006/picture">
            <wp:extent cx="5040000" cy="4518533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31_apriori_network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45185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hAnsi="Times New Roman" w:eastAsia="宋体"/>
          <w:color w:val="000000"/>
          <w:sz w:val="21"/>
        </w:rPr>
        <w:t>图 C-3  商品共现网络图（fig31_apriori_network）</w:t>
      </w:r>
    </w:p>
    <w:p>
      <w:pPr>
        <w:spacing w:before="120" w:after="20"/>
        <w:jc w:val="center"/>
      </w:pPr>
      <w:r>
        <w:drawing>
          <wp:inline xmlns:a="http://schemas.openxmlformats.org/drawingml/2006/main" xmlns:pic="http://schemas.openxmlformats.org/drawingml/2006/picture">
            <wp:extent cx="5040000" cy="2033125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7_calendar_heatmap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0331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hAnsi="Times New Roman" w:eastAsia="宋体"/>
          <w:color w:val="000000"/>
          <w:sz w:val="21"/>
        </w:rPr>
        <w:t>图 C-4  日销售额日历热力图（fig17_calendar_heatmap）</w:t>
      </w:r>
    </w:p>
    <w:p>
      <w:pPr>
        <w:spacing w:after="40"/>
        <w:jc w:val="center"/>
      </w:pPr>
      <w:r>
        <w:rPr>
          <w:rFonts w:ascii="Times New Roman" w:hAnsi="Times New Roman" w:eastAsia="黑体"/>
          <w:color w:val="000000"/>
          <w:sz w:val="21"/>
        </w:rPr>
        <w:t>表 C-1  37 张静态图索引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83"/>
        <w:gridCol w:w="2183"/>
        <w:gridCol w:w="2183"/>
        <w:gridCol w:w="2183"/>
      </w:tblGrid>
      <w:tr>
        <w:tc>
          <w:tcPr>
            <w:tcW w:type="dxa" w:w="2183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color w:val="000000"/>
                <w:sz w:val="20"/>
              </w:rPr>
              <w:t>编号</w:t>
            </w:r>
          </w:p>
        </w:tc>
        <w:tc>
          <w:tcPr>
            <w:tcW w:type="dxa" w:w="2183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color w:val="000000"/>
                <w:sz w:val="20"/>
              </w:rPr>
              <w:t>文件名</w:t>
            </w:r>
          </w:p>
        </w:tc>
        <w:tc>
          <w:tcPr>
            <w:tcW w:type="dxa" w:w="2183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color w:val="000000"/>
                <w:sz w:val="20"/>
              </w:rPr>
              <w:t>对应模板/模型</w:t>
            </w:r>
          </w:p>
        </w:tc>
        <w:tc>
          <w:tcPr>
            <w:tcW w:type="dxa" w:w="2183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color w:val="000000"/>
                <w:sz w:val="20"/>
              </w:rPr>
              <w:t>说明</w:t>
            </w:r>
          </w:p>
        </w:tc>
      </w:tr>
      <w:tr>
        <w:tc>
          <w:tcPr>
            <w:tcW w:type="dxa" w:w="2183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fig01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fig01_mom_yoy.png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组合图·环比同比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月度销售额柱 + MoM/YoY 双轴折线</w:t>
            </w:r>
          </w:p>
        </w:tc>
      </w:tr>
      <w:tr>
        <w:tc>
          <w:tcPr>
            <w:tcW w:type="dxa" w:w="2183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fig02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fig02_revenue_trend_line.png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折线图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日销售额趋势 + MA30 + 峰值标注</w:t>
            </w:r>
          </w:p>
        </w:tc>
      </w:tr>
      <w:tr>
        <w:tc>
          <w:tcPr>
            <w:tcW w:type="dxa" w:w="2183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fig03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fig03_monthly_revenue_area.png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面积图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月度销售额与订单量双面积图</w:t>
            </w:r>
          </w:p>
        </w:tc>
      </w:tr>
      <w:tr>
        <w:tc>
          <w:tcPr>
            <w:tcW w:type="dxa" w:w="2183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fig04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fig04_top_countries_bar.png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柱形图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国家销售额 TOP12 + 数据标签</w:t>
            </w:r>
          </w:p>
        </w:tc>
      </w:tr>
      <w:tr>
        <w:tc>
          <w:tcPr>
            <w:tcW w:type="dxa" w:w="2183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fig05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fig05_top_products_barh.png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条形图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商品销售额 TOP15 横向条形</w:t>
            </w:r>
          </w:p>
        </w:tc>
      </w:tr>
      <w:tr>
        <w:tc>
          <w:tcPr>
            <w:tcW w:type="dxa" w:w="2183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fig06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fig06_country_donut.png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环形图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国家销售额结构 + 中心总计</w:t>
            </w:r>
          </w:p>
        </w:tc>
      </w:tr>
      <w:tr>
        <w:tc>
          <w:tcPr>
            <w:tcW w:type="dxa" w:w="2183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fig07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fig07_monthly_stacked_bar.png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堆积柱形图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月度销售额国别构成</w:t>
            </w:r>
          </w:p>
        </w:tc>
      </w:tr>
      <w:tr>
        <w:tc>
          <w:tcPr>
            <w:tcW w:type="dxa" w:w="2183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fig08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fig08_category_pct_stacked.png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百分比堆积柱形图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月度品类结构占比</w:t>
            </w:r>
          </w:p>
        </w:tc>
      </w:tr>
      <w:tr>
        <w:tc>
          <w:tcPr>
            <w:tcW w:type="dxa" w:w="2183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fig09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fig09_aov_frequency_scatter.png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散点图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频次 × 金额 + 幂律趋势线</w:t>
            </w:r>
          </w:p>
        </w:tc>
      </w:tr>
      <w:tr>
        <w:tc>
          <w:tcPr>
            <w:tcW w:type="dxa" w:w="2183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fig10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fig10_country_bubble.png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气泡图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客户数 × 客单价 × 销售额</w:t>
            </w:r>
          </w:p>
        </w:tc>
      </w:tr>
      <w:tr>
        <w:tc>
          <w:tcPr>
            <w:tcW w:type="dxa" w:w="2183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fig11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fig11_order_value_histogram.png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直方图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订单金额分布 + KDE + 均值/中位数线</w:t>
            </w:r>
          </w:p>
        </w:tc>
      </w:tr>
      <w:tr>
        <w:tc>
          <w:tcPr>
            <w:tcW w:type="dxa" w:w="2183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fig12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fig12_boxplot_country.png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箱线图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主要国家订单金额分布</w:t>
            </w:r>
          </w:p>
        </w:tc>
      </w:tr>
      <w:tr>
        <w:tc>
          <w:tcPr>
            <w:tcW w:type="dxa" w:w="2183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fig13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fig13_weekday_hour_heatmap.png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热力图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星期 × 时段销售额</w:t>
            </w:r>
          </w:p>
        </w:tc>
      </w:tr>
      <w:tr>
        <w:tc>
          <w:tcPr>
            <w:tcW w:type="dxa" w:w="2183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fig14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fig14_country_radar.png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雷达图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TOP5 国家五维指标对比</w:t>
            </w:r>
          </w:p>
        </w:tc>
      </w:tr>
      <w:tr>
        <w:tc>
          <w:tcPr>
            <w:tcW w:type="dxa" w:w="2183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fig15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fig15_monthly_waterfall.png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瀑布图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近 12 个月销售额增量链路</w:t>
            </w:r>
          </w:p>
        </w:tc>
      </w:tr>
      <w:tr>
        <w:tc>
          <w:tcPr>
            <w:tcW w:type="dxa" w:w="2183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fig16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fig16_gauge_target.png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仪表盘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年度目标达成率 + 年度对比</w:t>
            </w:r>
          </w:p>
        </w:tc>
      </w:tr>
      <w:tr>
        <w:tc>
          <w:tcPr>
            <w:tcW w:type="dxa" w:w="2183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fig17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fig17_calendar_heatmap.png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日历热力图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日销售额日历视图</w:t>
            </w:r>
          </w:p>
        </w:tc>
      </w:tr>
      <w:tr>
        <w:tc>
          <w:tcPr>
            <w:tcW w:type="dxa" w:w="2183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fig18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fig18_slope_top_countries.png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坡度图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TOP8 国家年度规模变化</w:t>
            </w:r>
          </w:p>
        </w:tc>
      </w:tr>
      <w:tr>
        <w:tc>
          <w:tcPr>
            <w:tcW w:type="dxa" w:w="2183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fig19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fig19_dual_axis_revenue_orders.png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三轴组合图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销售额 + 订单数 + 客单价</w:t>
            </w:r>
          </w:p>
        </w:tc>
      </w:tr>
      <w:tr>
        <w:tc>
          <w:tcPr>
            <w:tcW w:type="dxa" w:w="2183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fig20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fig20_rose_category.png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玫瑰图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品类销售额南丁格尔玫瑰图</w:t>
            </w:r>
          </w:p>
        </w:tc>
      </w:tr>
      <w:tr>
        <w:tc>
          <w:tcPr>
            <w:tcW w:type="dxa" w:w="2183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fig21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fig21_bullet_category.png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子弹图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品类实际 vs 目标</w:t>
            </w:r>
          </w:p>
        </w:tc>
      </w:tr>
      <w:tr>
        <w:tc>
          <w:tcPr>
            <w:tcW w:type="dxa" w:w="2183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fig22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fig22_violin_order_value.png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小提琴图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各季度订单金额分布</w:t>
            </w:r>
          </w:p>
        </w:tc>
      </w:tr>
      <w:tr>
        <w:tc>
          <w:tcPr>
            <w:tcW w:type="dxa" w:w="2183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fig23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fig23_treemap_category.png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矩形树图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品类销售额面积占比</w:t>
            </w:r>
          </w:p>
        </w:tc>
      </w:tr>
      <w:tr>
        <w:tc>
          <w:tcPr>
            <w:tcW w:type="dxa" w:w="2183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fig24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fig24_wordcloud_products.png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词云图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热门商品描述词频</w:t>
            </w:r>
          </w:p>
        </w:tc>
      </w:tr>
      <w:tr>
        <w:tc>
          <w:tcPr>
            <w:tcW w:type="dxa" w:w="2183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fig25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fig25_moving_average.png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多重折线图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MA7/MA30/MA90 趋势平滑</w:t>
            </w:r>
          </w:p>
        </w:tc>
      </w:tr>
      <w:tr>
        <w:tc>
          <w:tcPr>
            <w:tcW w:type="dxa" w:w="2183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fig26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fig26_rfm_scatter_ch8.png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M2 RFM 模型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RFM 八分类气泡矩阵</w:t>
            </w:r>
          </w:p>
        </w:tc>
      </w:tr>
      <w:tr>
        <w:tc>
          <w:tcPr>
            <w:tcW w:type="dxa" w:w="2183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fig27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fig27_rfm_segment_bar.png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M2 RFM 模型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八分群客户规模 vs 金额贡献</w:t>
            </w:r>
          </w:p>
        </w:tc>
      </w:tr>
      <w:tr>
        <w:tc>
          <w:tcPr>
            <w:tcW w:type="dxa" w:w="2183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fig28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fig28_cohort_retention_heatmap.png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M3 同期群留存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月度同期群留存热力图</w:t>
            </w:r>
          </w:p>
        </w:tc>
      </w:tr>
      <w:tr>
        <w:tc>
          <w:tcPr>
            <w:tcW w:type="dxa" w:w="2183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fig29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fig29_pareto_abc.png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M4 帕累托/ABC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TOP30 商品帕累托 + ABC 分界</w:t>
            </w:r>
          </w:p>
        </w:tc>
      </w:tr>
      <w:tr>
        <w:tc>
          <w:tcPr>
            <w:tcW w:type="dxa" w:w="2183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fig30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fig30_apriori_rules_scatter.png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M5 关联规则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支持度 × 置信度 × 提升度</w:t>
            </w:r>
          </w:p>
        </w:tc>
      </w:tr>
      <w:tr>
        <w:tc>
          <w:tcPr>
            <w:tcW w:type="dxa" w:w="2183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fig31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fig31_apriori_network.png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M5 关联规则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商品共现网络图</w:t>
            </w:r>
          </w:p>
        </w:tc>
      </w:tr>
      <w:tr>
        <w:tc>
          <w:tcPr>
            <w:tcW w:type="dxa" w:w="2183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fig32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fig32_bcg_matrix.png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M6 波士顿矩阵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相对份额 × 增速四象限</w:t>
            </w:r>
          </w:p>
        </w:tc>
      </w:tr>
      <w:tr>
        <w:tc>
          <w:tcPr>
            <w:tcW w:type="dxa" w:w="2183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fig33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fig33_forecast_ci.png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M7 时间序列预测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点预测 + 95% 置信区间 + 回测</w:t>
            </w:r>
          </w:p>
        </w:tc>
      </w:tr>
      <w:tr>
        <w:tc>
          <w:tcPr>
            <w:tcW w:type="dxa" w:w="2183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fig34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fig34_kmeans_clusters.png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M8 K-Means 分群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散点 + 分群画像对比</w:t>
            </w:r>
          </w:p>
        </w:tc>
      </w:tr>
      <w:tr>
        <w:tc>
          <w:tcPr>
            <w:tcW w:type="dxa" w:w="2183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fig35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fig35_repurchase_funnel.png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M9 复购漏斗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五级复购转化漏斗</w:t>
            </w:r>
          </w:p>
        </w:tc>
      </w:tr>
      <w:tr>
        <w:tc>
          <w:tcPr>
            <w:tcW w:type="dxa" w:w="2183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fig36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fig36_churn_diagnostics.png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M10 流失预警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ROC（含时间外）+ 十分位流失率 + 系数方向</w:t>
            </w:r>
          </w:p>
        </w:tc>
      </w:tr>
      <w:tr>
        <w:tc>
          <w:tcPr>
            <w:tcW w:type="dxa" w:w="2183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fig37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fig37_churn_value_scatter.png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M10 流失预警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客户价值 × 流失概率全景与预警名单定位</w:t>
            </w:r>
          </w:p>
        </w:tc>
      </w:tr>
    </w:tbl>
    <w:p>
      <w:pPr>
        <w:spacing w:after="40"/>
      </w:pPr>
    </w:p>
    <w:p>
      <w:pPr>
        <w:spacing w:after="40"/>
        <w:jc w:val="center"/>
      </w:pPr>
      <w:r>
        <w:rPr>
          <w:rFonts w:ascii="Times New Roman" w:hAnsi="Times New Roman" w:eastAsia="黑体"/>
          <w:color w:val="000000"/>
          <w:sz w:val="21"/>
        </w:rPr>
        <w:t>表 C-2  交互大屏 22 个组件清单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911"/>
        <w:gridCol w:w="2911"/>
        <w:gridCol w:w="2911"/>
      </w:tblGrid>
      <w:tr>
        <w:tc>
          <w:tcPr>
            <w:tcW w:type="dxa" w:w="2911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color w:val="000000"/>
                <w:sz w:val="20"/>
              </w:rPr>
              <w:t>标签页</w:t>
            </w:r>
          </w:p>
        </w:tc>
        <w:tc>
          <w:tcPr>
            <w:tcW w:type="dxa" w:w="2911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color w:val="000000"/>
                <w:sz w:val="20"/>
              </w:rPr>
              <w:t>组件</w:t>
            </w:r>
          </w:p>
        </w:tc>
        <w:tc>
          <w:tcPr>
            <w:tcW w:type="dxa" w:w="2911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color w:val="000000"/>
                <w:sz w:val="20"/>
              </w:rPr>
              <w:t>标题</w:t>
            </w:r>
          </w:p>
        </w:tc>
      </w:tr>
      <w:tr>
        <w:tc>
          <w:tcPr>
            <w:tcW w:type="dxa" w:w="2911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tab1</w:t>
            </w:r>
          </w:p>
        </w:tc>
        <w:tc>
          <w:tcPr>
            <w:tcW w:type="dxa" w:w="2911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trend</w:t>
            </w:r>
          </w:p>
        </w:tc>
        <w:tc>
          <w:tcPr>
            <w:tcW w:type="dxa" w:w="2911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月度销售额趋势</w:t>
            </w:r>
          </w:p>
        </w:tc>
      </w:tr>
      <w:tr>
        <w:tc>
          <w:tcPr>
            <w:tcW w:type="dxa" w:w="2911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tab1</w:t>
            </w:r>
          </w:p>
        </w:tc>
        <w:tc>
          <w:tcPr>
            <w:tcW w:type="dxa" w:w="2911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dual</w:t>
            </w:r>
          </w:p>
        </w:tc>
        <w:tc>
          <w:tcPr>
            <w:tcW w:type="dxa" w:w="2911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销售额 × 订单数双轴</w:t>
            </w:r>
          </w:p>
        </w:tc>
      </w:tr>
      <w:tr>
        <w:tc>
          <w:tcPr>
            <w:tcW w:type="dxa" w:w="2911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tab1</w:t>
            </w:r>
          </w:p>
        </w:tc>
        <w:tc>
          <w:tcPr>
            <w:tcW w:type="dxa" w:w="2911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country_bar</w:t>
            </w:r>
          </w:p>
        </w:tc>
        <w:tc>
          <w:tcPr>
            <w:tcW w:type="dxa" w:w="2911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TOP10 国家销售额</w:t>
            </w:r>
          </w:p>
        </w:tc>
      </w:tr>
      <w:tr>
        <w:tc>
          <w:tcPr>
            <w:tcW w:type="dxa" w:w="2911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tab1</w:t>
            </w:r>
          </w:p>
        </w:tc>
        <w:tc>
          <w:tcPr>
            <w:tcW w:type="dxa" w:w="2911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timeline</w:t>
            </w:r>
          </w:p>
        </w:tc>
        <w:tc>
          <w:tcPr>
            <w:tcW w:type="dxa" w:w="2911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月度国家排名时间轴</w:t>
            </w:r>
          </w:p>
        </w:tc>
      </w:tr>
      <w:tr>
        <w:tc>
          <w:tcPr>
            <w:tcW w:type="dxa" w:w="2911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tab1</w:t>
            </w:r>
          </w:p>
        </w:tc>
        <w:tc>
          <w:tcPr>
            <w:tcW w:type="dxa" w:w="2911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heatmap</w:t>
            </w:r>
          </w:p>
        </w:tc>
        <w:tc>
          <w:tcPr>
            <w:tcW w:type="dxa" w:w="2911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星期时段热力图</w:t>
            </w:r>
          </w:p>
        </w:tc>
      </w:tr>
      <w:tr>
        <w:tc>
          <w:tcPr>
            <w:tcW w:type="dxa" w:w="2911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tab2</w:t>
            </w:r>
          </w:p>
        </w:tc>
        <w:tc>
          <w:tcPr>
            <w:tcW w:type="dxa" w:w="2911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rfm_pie</w:t>
            </w:r>
          </w:p>
        </w:tc>
        <w:tc>
          <w:tcPr>
            <w:tcW w:type="dxa" w:w="2911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RFM 金额贡献玫瑰图</w:t>
            </w:r>
          </w:p>
        </w:tc>
      </w:tr>
      <w:tr>
        <w:tc>
          <w:tcPr>
            <w:tcW w:type="dxa" w:w="2911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tab2</w:t>
            </w:r>
          </w:p>
        </w:tc>
        <w:tc>
          <w:tcPr>
            <w:tcW w:type="dxa" w:w="2911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rfm_bar</w:t>
            </w:r>
          </w:p>
        </w:tc>
        <w:tc>
          <w:tcPr>
            <w:tcW w:type="dxa" w:w="2911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RFM 客群规模与贡献</w:t>
            </w:r>
          </w:p>
        </w:tc>
      </w:tr>
      <w:tr>
        <w:tc>
          <w:tcPr>
            <w:tcW w:type="dxa" w:w="2911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tab2</w:t>
            </w:r>
          </w:p>
        </w:tc>
        <w:tc>
          <w:tcPr>
            <w:tcW w:type="dxa" w:w="2911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cohort</w:t>
            </w:r>
          </w:p>
        </w:tc>
        <w:tc>
          <w:tcPr>
            <w:tcW w:type="dxa" w:w="2911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同期群留存曲线</w:t>
            </w:r>
          </w:p>
        </w:tc>
      </w:tr>
      <w:tr>
        <w:tc>
          <w:tcPr>
            <w:tcW w:type="dxa" w:w="2911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tab2</w:t>
            </w:r>
          </w:p>
        </w:tc>
        <w:tc>
          <w:tcPr>
            <w:tcW w:type="dxa" w:w="2911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funnel</w:t>
            </w:r>
          </w:p>
        </w:tc>
        <w:tc>
          <w:tcPr>
            <w:tcW w:type="dxa" w:w="2911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复购漏斗</w:t>
            </w:r>
          </w:p>
        </w:tc>
      </w:tr>
      <w:tr>
        <w:tc>
          <w:tcPr>
            <w:tcW w:type="dxa" w:w="2911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tab2</w:t>
            </w:r>
          </w:p>
        </w:tc>
        <w:tc>
          <w:tcPr>
            <w:tcW w:type="dxa" w:w="2911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kmeans</w:t>
            </w:r>
          </w:p>
        </w:tc>
        <w:tc>
          <w:tcPr>
            <w:tcW w:type="dxa" w:w="2911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K-Means 分群画像</w:t>
            </w:r>
          </w:p>
        </w:tc>
      </w:tr>
      <w:tr>
        <w:tc>
          <w:tcPr>
            <w:tcW w:type="dxa" w:w="2911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tab2</w:t>
            </w:r>
          </w:p>
        </w:tc>
        <w:tc>
          <w:tcPr>
            <w:tcW w:type="dxa" w:w="2911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churn_decile</w:t>
            </w:r>
          </w:p>
        </w:tc>
        <w:tc>
          <w:tcPr>
            <w:tcW w:type="dxa" w:w="2911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流失预警十分位区分度</w:t>
            </w:r>
          </w:p>
        </w:tc>
      </w:tr>
      <w:tr>
        <w:tc>
          <w:tcPr>
            <w:tcW w:type="dxa" w:w="2911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tab2</w:t>
            </w:r>
          </w:p>
        </w:tc>
        <w:tc>
          <w:tcPr>
            <w:tcW w:type="dxa" w:w="2911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churn_watch</w:t>
            </w:r>
          </w:p>
        </w:tc>
        <w:tc>
          <w:tcPr>
            <w:tcW w:type="dxa" w:w="2911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流失预警 TOP10 名单</w:t>
            </w:r>
          </w:p>
        </w:tc>
      </w:tr>
      <w:tr>
        <w:tc>
          <w:tcPr>
            <w:tcW w:type="dxa" w:w="2911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tab3</w:t>
            </w:r>
          </w:p>
        </w:tc>
        <w:tc>
          <w:tcPr>
            <w:tcW w:type="dxa" w:w="2911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top_products</w:t>
            </w:r>
          </w:p>
        </w:tc>
        <w:tc>
          <w:tcPr>
            <w:tcW w:type="dxa" w:w="2911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TOP10 热销商品</w:t>
            </w:r>
          </w:p>
        </w:tc>
      </w:tr>
      <w:tr>
        <w:tc>
          <w:tcPr>
            <w:tcW w:type="dxa" w:w="2911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tab3</w:t>
            </w:r>
          </w:p>
        </w:tc>
        <w:tc>
          <w:tcPr>
            <w:tcW w:type="dxa" w:w="2911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cat_pie</w:t>
            </w:r>
          </w:p>
        </w:tc>
        <w:tc>
          <w:tcPr>
            <w:tcW w:type="dxa" w:w="2911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品类结构环形图</w:t>
            </w:r>
          </w:p>
        </w:tc>
      </w:tr>
      <w:tr>
        <w:tc>
          <w:tcPr>
            <w:tcW w:type="dxa" w:w="2911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tab3</w:t>
            </w:r>
          </w:p>
        </w:tc>
        <w:tc>
          <w:tcPr>
            <w:tcW w:type="dxa" w:w="2911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wordcloud</w:t>
            </w:r>
          </w:p>
        </w:tc>
        <w:tc>
          <w:tcPr>
            <w:tcW w:type="dxa" w:w="2911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热销商品词云</w:t>
            </w:r>
          </w:p>
        </w:tc>
      </w:tr>
      <w:tr>
        <w:tc>
          <w:tcPr>
            <w:tcW w:type="dxa" w:w="2911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tab3</w:t>
            </w:r>
          </w:p>
        </w:tc>
        <w:tc>
          <w:tcPr>
            <w:tcW w:type="dxa" w:w="2911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abc</w:t>
            </w:r>
          </w:p>
        </w:tc>
        <w:tc>
          <w:tcPr>
            <w:tcW w:type="dxa" w:w="2911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ABC 分类贡献</w:t>
            </w:r>
          </w:p>
        </w:tc>
      </w:tr>
      <w:tr>
        <w:tc>
          <w:tcPr>
            <w:tcW w:type="dxa" w:w="2911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tab3</w:t>
            </w:r>
          </w:p>
        </w:tc>
        <w:tc>
          <w:tcPr>
            <w:tcW w:type="dxa" w:w="2911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rules</w:t>
            </w:r>
          </w:p>
        </w:tc>
        <w:tc>
          <w:tcPr>
            <w:tcW w:type="dxa" w:w="2911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关联规则 Lift 排行</w:t>
            </w:r>
          </w:p>
        </w:tc>
      </w:tr>
      <w:tr>
        <w:tc>
          <w:tcPr>
            <w:tcW w:type="dxa" w:w="2911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tab3</w:t>
            </w:r>
          </w:p>
        </w:tc>
        <w:tc>
          <w:tcPr>
            <w:tcW w:type="dxa" w:w="2911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table</w:t>
            </w:r>
          </w:p>
        </w:tc>
        <w:tc>
          <w:tcPr>
            <w:tcW w:type="dxa" w:w="2911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商品明细表</w:t>
            </w:r>
          </w:p>
        </w:tc>
      </w:tr>
      <w:tr>
        <w:tc>
          <w:tcPr>
            <w:tcW w:type="dxa" w:w="2911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tab4</w:t>
            </w:r>
          </w:p>
        </w:tc>
        <w:tc>
          <w:tcPr>
            <w:tcW w:type="dxa" w:w="2911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forecast</w:t>
            </w:r>
          </w:p>
        </w:tc>
        <w:tc>
          <w:tcPr>
            <w:tcW w:type="dxa" w:w="2911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预测与置信区间</w:t>
            </w:r>
          </w:p>
        </w:tc>
      </w:tr>
      <w:tr>
        <w:tc>
          <w:tcPr>
            <w:tcW w:type="dxa" w:w="2911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tab4</w:t>
            </w:r>
          </w:p>
        </w:tc>
        <w:tc>
          <w:tcPr>
            <w:tcW w:type="dxa" w:w="2911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backtest</w:t>
            </w:r>
          </w:p>
        </w:tc>
        <w:tc>
          <w:tcPr>
            <w:tcW w:type="dxa" w:w="2911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回测对比</w:t>
            </w:r>
          </w:p>
        </w:tc>
      </w:tr>
      <w:tr>
        <w:tc>
          <w:tcPr>
            <w:tcW w:type="dxa" w:w="2911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tab4</w:t>
            </w:r>
          </w:p>
        </w:tc>
        <w:tc>
          <w:tcPr>
            <w:tcW w:type="dxa" w:w="2911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yoy</w:t>
            </w:r>
          </w:p>
        </w:tc>
        <w:tc>
          <w:tcPr>
            <w:tcW w:type="dxa" w:w="2911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同比增速复盘</w:t>
            </w:r>
          </w:p>
        </w:tc>
      </w:tr>
      <w:tr>
        <w:tc>
          <w:tcPr>
            <w:tcW w:type="dxa" w:w="2911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tab4</w:t>
            </w:r>
          </w:p>
        </w:tc>
        <w:tc>
          <w:tcPr>
            <w:tcW w:type="dxa" w:w="2911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bcg</w:t>
            </w:r>
          </w:p>
        </w:tc>
        <w:tc>
          <w:tcPr>
            <w:tcW w:type="dxa" w:w="2911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波士顿矩阵</w:t>
            </w:r>
          </w:p>
        </w:tc>
      </w:tr>
    </w:tbl>
    <w:p>
      <w:pPr>
        <w:spacing w:after="40"/>
      </w:pPr>
    </w:p>
    <w:p>
      <w:pPr>
        <w:spacing w:line="360" w:lineRule="auto" w:after="80" w:before="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完整索引（含栅格宽度与交互能力说明）见仓库 docs/图表索引.md；大屏演示文件见 outputs/dashboard/dashboard_offline.html（离线版，双击即开）。</w:t>
      </w:r>
    </w:p>
    <w:p>
      <w:pPr>
        <w:keepNext/>
        <w:spacing w:line="360" w:lineRule="auto" w:before="100" w:after="80"/>
        <w:outlineLvl w:val="1"/>
      </w:pPr>
      <w:r>
        <w:rPr>
          <w:rFonts w:ascii="Times New Roman" w:hAnsi="Times New Roman" w:eastAsia="黑体"/>
          <w:b/>
          <w:color w:val="000000"/>
          <w:sz w:val="24"/>
        </w:rPr>
        <w:t>附录 D　图表总览（缩略图）</w:t>
      </w:r>
    </w:p>
    <w:p>
      <w:pPr>
        <w:spacing w:line="360" w:lineRule="auto" w:after="80" w:before="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评分标准建议图表可按「10 行 3 列」缩排附录，本项目共 37 张图，故按同一排版规格扩展为 **13 行 3 列**，将全部静态图以缩略图集中呈现，便于快速核对图表与模型的对应关系。各图原始文件（200dpi PNG）位于仓库 outputs/figures/。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911"/>
        <w:gridCol w:w="2911"/>
        <w:gridCol w:w="2911"/>
      </w:tblGrid>
      <w:tr>
        <w:tc>
          <w:tcPr>
            <w:tcW w:type="dxa" w:w="2911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565999" cy="741583"/>
                  <wp:docPr id="18" name="Picture 1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ig01_mom_yoy.png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65999" cy="74158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0"/>
              <w:jc w:val="center"/>
            </w:pPr>
            <w:r>
              <w:rPr>
                <w:rFonts w:ascii="Times New Roman" w:hAnsi="Times New Roman" w:eastAsia="宋体"/>
                <w:sz w:val="14"/>
              </w:rPr>
              <w:t>fig01　组合图·环比同比</w:t>
            </w:r>
          </w:p>
        </w:tc>
        <w:tc>
          <w:tcPr>
            <w:tcW w:type="dxa" w:w="2911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565999" cy="669241"/>
                  <wp:docPr id="19" name="Picture 1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ig02_revenue_trend_line.png"/>
                          <pic:cNvPicPr/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65999" cy="66924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0"/>
              <w:jc w:val="center"/>
            </w:pPr>
            <w:r>
              <w:rPr>
                <w:rFonts w:ascii="Times New Roman" w:hAnsi="Times New Roman" w:eastAsia="宋体"/>
                <w:sz w:val="14"/>
              </w:rPr>
              <w:t>fig02　折线图</w:t>
            </w:r>
          </w:p>
        </w:tc>
        <w:tc>
          <w:tcPr>
            <w:tcW w:type="dxa" w:w="2911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565999" cy="642897"/>
                  <wp:docPr id="20" name="Picture 2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ig03_monthly_revenue_area.png"/>
                          <pic:cNvPicPr/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65999" cy="64289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0"/>
              <w:jc w:val="center"/>
            </w:pPr>
            <w:r>
              <w:rPr>
                <w:rFonts w:ascii="Times New Roman" w:hAnsi="Times New Roman" w:eastAsia="宋体"/>
                <w:sz w:val="14"/>
              </w:rPr>
              <w:t>fig03　面积图</w:t>
            </w:r>
          </w:p>
        </w:tc>
      </w:tr>
      <w:tr>
        <w:tc>
          <w:tcPr>
            <w:tcW w:type="dxa" w:w="2911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565999" cy="895168"/>
                  <wp:docPr id="21" name="Picture 2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ig04_top_countries_bar.png"/>
                          <pic:cNvPicPr/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65999" cy="89516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0"/>
              <w:jc w:val="center"/>
            </w:pPr>
            <w:r>
              <w:rPr>
                <w:rFonts w:ascii="Times New Roman" w:hAnsi="Times New Roman" w:eastAsia="宋体"/>
                <w:sz w:val="14"/>
              </w:rPr>
              <w:t>fig04　柱形图</w:t>
            </w:r>
          </w:p>
        </w:tc>
        <w:tc>
          <w:tcPr>
            <w:tcW w:type="dxa" w:w="2911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565999" cy="914306"/>
                  <wp:docPr id="22" name="Picture 2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ig05_top_products_barh.png"/>
                          <pic:cNvPicPr/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65999" cy="91430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0"/>
              <w:jc w:val="center"/>
            </w:pPr>
            <w:r>
              <w:rPr>
                <w:rFonts w:ascii="Times New Roman" w:hAnsi="Times New Roman" w:eastAsia="宋体"/>
                <w:sz w:val="14"/>
              </w:rPr>
              <w:t>fig05　条形图</w:t>
            </w:r>
          </w:p>
        </w:tc>
        <w:tc>
          <w:tcPr>
            <w:tcW w:type="dxa" w:w="2911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565999" cy="1217779"/>
                  <wp:docPr id="23" name="Picture 2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ig06_country_donut.png"/>
                          <pic:cNvPicPr/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65999" cy="121777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0"/>
              <w:jc w:val="center"/>
            </w:pPr>
            <w:r>
              <w:rPr>
                <w:rFonts w:ascii="Times New Roman" w:hAnsi="Times New Roman" w:eastAsia="宋体"/>
                <w:sz w:val="14"/>
              </w:rPr>
              <w:t>fig06　环形图</w:t>
            </w:r>
          </w:p>
        </w:tc>
      </w:tr>
      <w:tr>
        <w:tc>
          <w:tcPr>
            <w:tcW w:type="dxa" w:w="2911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565999" cy="737670"/>
                  <wp:docPr id="24" name="Picture 2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ig07_monthly_stacked_bar.png"/>
                          <pic:cNvPicPr/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65999" cy="73767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0"/>
              <w:jc w:val="center"/>
            </w:pPr>
            <w:r>
              <w:rPr>
                <w:rFonts w:ascii="Times New Roman" w:hAnsi="Times New Roman" w:eastAsia="宋体"/>
                <w:sz w:val="14"/>
              </w:rPr>
              <w:t>fig07　堆积柱形图</w:t>
            </w:r>
          </w:p>
        </w:tc>
        <w:tc>
          <w:tcPr>
            <w:tcW w:type="dxa" w:w="2911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565999" cy="936599"/>
                  <wp:docPr id="25" name="Picture 2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ig08_category_pct_stacked.png"/>
                          <pic:cNvPicPr/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65999" cy="93659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0"/>
              <w:jc w:val="center"/>
            </w:pPr>
            <w:r>
              <w:rPr>
                <w:rFonts w:ascii="Times New Roman" w:hAnsi="Times New Roman" w:eastAsia="宋体"/>
                <w:sz w:val="14"/>
              </w:rPr>
              <w:t>fig08　百分比堆积柱形图</w:t>
            </w:r>
          </w:p>
        </w:tc>
        <w:tc>
          <w:tcPr>
            <w:tcW w:type="dxa" w:w="2911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565999" cy="875612"/>
                  <wp:docPr id="26" name="Picture 2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ig09_aov_frequency_scatter.png"/>
                          <pic:cNvPicPr/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65999" cy="87561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0"/>
              <w:jc w:val="center"/>
            </w:pPr>
            <w:r>
              <w:rPr>
                <w:rFonts w:ascii="Times New Roman" w:hAnsi="Times New Roman" w:eastAsia="宋体"/>
                <w:sz w:val="14"/>
              </w:rPr>
              <w:t>fig09　散点图</w:t>
            </w:r>
          </w:p>
        </w:tc>
      </w:tr>
      <w:tr>
        <w:tc>
          <w:tcPr>
            <w:tcW w:type="dxa" w:w="2911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565999" cy="858684"/>
                  <wp:docPr id="27" name="Picture 2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ig10_country_bubble.png"/>
                          <pic:cNvPicPr/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65999" cy="85868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0"/>
              <w:jc w:val="center"/>
            </w:pPr>
            <w:r>
              <w:rPr>
                <w:rFonts w:ascii="Times New Roman" w:hAnsi="Times New Roman" w:eastAsia="宋体"/>
                <w:sz w:val="14"/>
              </w:rPr>
              <w:t>fig10　气泡图</w:t>
            </w:r>
          </w:p>
        </w:tc>
        <w:tc>
          <w:tcPr>
            <w:tcW w:type="dxa" w:w="2911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565999" cy="791708"/>
                  <wp:docPr id="28" name="Picture 2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ig11_order_value_histogram.png"/>
                          <pic:cNvPicPr/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65999" cy="79170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0"/>
              <w:jc w:val="center"/>
            </w:pPr>
            <w:r>
              <w:rPr>
                <w:rFonts w:ascii="Times New Roman" w:hAnsi="Times New Roman" w:eastAsia="宋体"/>
                <w:sz w:val="14"/>
              </w:rPr>
              <w:t>fig11　直方图</w:t>
            </w:r>
          </w:p>
        </w:tc>
        <w:tc>
          <w:tcPr>
            <w:tcW w:type="dxa" w:w="2911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565999" cy="761673"/>
                  <wp:docPr id="29" name="Picture 2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ig12_boxplot_country.png"/>
                          <pic:cNvPicPr/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65999" cy="76167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0"/>
              <w:jc w:val="center"/>
            </w:pPr>
            <w:r>
              <w:rPr>
                <w:rFonts w:ascii="Times New Roman" w:hAnsi="Times New Roman" w:eastAsia="宋体"/>
                <w:sz w:val="14"/>
              </w:rPr>
              <w:t>fig12　箱线图</w:t>
            </w:r>
          </w:p>
        </w:tc>
      </w:tr>
      <w:tr>
        <w:tc>
          <w:tcPr>
            <w:tcW w:type="dxa" w:w="2911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565999" cy="948227"/>
                  <wp:docPr id="30" name="Picture 3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ig13_weekday_hour_heatmap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65999" cy="94822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0"/>
              <w:jc w:val="center"/>
            </w:pPr>
            <w:r>
              <w:rPr>
                <w:rFonts w:ascii="Times New Roman" w:hAnsi="Times New Roman" w:eastAsia="宋体"/>
                <w:sz w:val="14"/>
              </w:rPr>
              <w:t>fig13　热力图</w:t>
            </w:r>
          </w:p>
        </w:tc>
        <w:tc>
          <w:tcPr>
            <w:tcW w:type="dxa" w:w="2911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565999" cy="1537668"/>
                  <wp:docPr id="31" name="Picture 3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ig14_country_radar.png"/>
                          <pic:cNvPicPr/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65999" cy="153766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0"/>
              <w:jc w:val="center"/>
            </w:pPr>
            <w:r>
              <w:rPr>
                <w:rFonts w:ascii="Times New Roman" w:hAnsi="Times New Roman" w:eastAsia="宋体"/>
                <w:sz w:val="14"/>
              </w:rPr>
              <w:t>fig14　雷达图</w:t>
            </w:r>
          </w:p>
        </w:tc>
        <w:tc>
          <w:tcPr>
            <w:tcW w:type="dxa" w:w="2911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565999" cy="686974"/>
                  <wp:docPr id="32" name="Picture 3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ig15_monthly_waterfall.png"/>
                          <pic:cNvPicPr/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65999" cy="68697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0"/>
              <w:jc w:val="center"/>
            </w:pPr>
            <w:r>
              <w:rPr>
                <w:rFonts w:ascii="Times New Roman" w:hAnsi="Times New Roman" w:eastAsia="宋体"/>
                <w:sz w:val="14"/>
              </w:rPr>
              <w:t>fig15　瀑布图</w:t>
            </w:r>
          </w:p>
        </w:tc>
      </w:tr>
      <w:tr>
        <w:tc>
          <w:tcPr>
            <w:tcW w:type="dxa" w:w="2911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565999" cy="750436"/>
                  <wp:docPr id="33" name="Picture 3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ig16_gauge_target.png"/>
                          <pic:cNvPicPr/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65999" cy="75043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0"/>
              <w:jc w:val="center"/>
            </w:pPr>
            <w:r>
              <w:rPr>
                <w:rFonts w:ascii="Times New Roman" w:hAnsi="Times New Roman" w:eastAsia="宋体"/>
                <w:sz w:val="14"/>
              </w:rPr>
              <w:t>fig16　仪表盘</w:t>
            </w:r>
          </w:p>
        </w:tc>
        <w:tc>
          <w:tcPr>
            <w:tcW w:type="dxa" w:w="2911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565999" cy="631721"/>
                  <wp:docPr id="34" name="Picture 3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ig17_calendar_heatmap.png"/>
                          <pic:cNvPicPr/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65999" cy="63172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0"/>
              <w:jc w:val="center"/>
            </w:pPr>
            <w:r>
              <w:rPr>
                <w:rFonts w:ascii="Times New Roman" w:hAnsi="Times New Roman" w:eastAsia="宋体"/>
                <w:sz w:val="14"/>
              </w:rPr>
              <w:t>fig17　日历热力图</w:t>
            </w:r>
          </w:p>
        </w:tc>
        <w:tc>
          <w:tcPr>
            <w:tcW w:type="dxa" w:w="2911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565999" cy="971646"/>
                  <wp:docPr id="35" name="Picture 3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ig18_slope_top_countries.png"/>
                          <pic:cNvPicPr/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65999" cy="97164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0"/>
              <w:jc w:val="center"/>
            </w:pPr>
            <w:r>
              <w:rPr>
                <w:rFonts w:ascii="Times New Roman" w:hAnsi="Times New Roman" w:eastAsia="宋体"/>
                <w:sz w:val="14"/>
              </w:rPr>
              <w:t>fig18　坡度图</w:t>
            </w:r>
          </w:p>
        </w:tc>
      </w:tr>
      <w:tr>
        <w:tc>
          <w:tcPr>
            <w:tcW w:type="dxa" w:w="2911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565999" cy="723803"/>
                  <wp:docPr id="36" name="Picture 3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ig19_dual_axis_revenue_orders.png"/>
                          <pic:cNvPicPr/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65999" cy="72380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0"/>
              <w:jc w:val="center"/>
            </w:pPr>
            <w:r>
              <w:rPr>
                <w:rFonts w:ascii="Times New Roman" w:hAnsi="Times New Roman" w:eastAsia="宋体"/>
                <w:sz w:val="14"/>
              </w:rPr>
              <w:t>fig19　三轴组合图</w:t>
            </w:r>
          </w:p>
        </w:tc>
        <w:tc>
          <w:tcPr>
            <w:tcW w:type="dxa" w:w="2911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565999" cy="1572876"/>
                  <wp:docPr id="37" name="Picture 3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ig20_rose_category.png"/>
                          <pic:cNvPicPr/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65999" cy="15728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0"/>
              <w:jc w:val="center"/>
            </w:pPr>
            <w:r>
              <w:rPr>
                <w:rFonts w:ascii="Times New Roman" w:hAnsi="Times New Roman" w:eastAsia="宋体"/>
                <w:sz w:val="14"/>
              </w:rPr>
              <w:t>fig20　玫瑰图</w:t>
            </w:r>
          </w:p>
        </w:tc>
        <w:tc>
          <w:tcPr>
            <w:tcW w:type="dxa" w:w="2911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565999" cy="843283"/>
                  <wp:docPr id="38" name="Picture 3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ig21_bullet_category.png"/>
                          <pic:cNvPicPr/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65999" cy="84328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0"/>
              <w:jc w:val="center"/>
            </w:pPr>
            <w:r>
              <w:rPr>
                <w:rFonts w:ascii="Times New Roman" w:hAnsi="Times New Roman" w:eastAsia="宋体"/>
                <w:sz w:val="14"/>
              </w:rPr>
              <w:t>fig21　子弹图</w:t>
            </w:r>
          </w:p>
        </w:tc>
      </w:tr>
      <w:tr>
        <w:tc>
          <w:tcPr>
            <w:tcW w:type="dxa" w:w="2911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565999" cy="706578"/>
                  <wp:docPr id="39" name="Picture 3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ig22_violin_order_value.png"/>
                          <pic:cNvPicPr/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65999" cy="70657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0"/>
              <w:jc w:val="center"/>
            </w:pPr>
            <w:r>
              <w:rPr>
                <w:rFonts w:ascii="Times New Roman" w:hAnsi="Times New Roman" w:eastAsia="宋体"/>
                <w:sz w:val="14"/>
              </w:rPr>
              <w:t>fig22　小提琴图</w:t>
            </w:r>
          </w:p>
        </w:tc>
        <w:tc>
          <w:tcPr>
            <w:tcW w:type="dxa" w:w="2911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565999" cy="1149547"/>
                  <wp:docPr id="40" name="Picture 4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ig23_treemap_category.png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65999" cy="114954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0"/>
              <w:jc w:val="center"/>
            </w:pPr>
            <w:r>
              <w:rPr>
                <w:rFonts w:ascii="Times New Roman" w:hAnsi="Times New Roman" w:eastAsia="宋体"/>
                <w:sz w:val="14"/>
              </w:rPr>
              <w:t>fig23　矩形树图</w:t>
            </w:r>
          </w:p>
        </w:tc>
        <w:tc>
          <w:tcPr>
            <w:tcW w:type="dxa" w:w="2911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565999" cy="867333"/>
                  <wp:docPr id="41" name="Picture 4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ig24_wordcloud_products.png"/>
                          <pic:cNvPicPr/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65999" cy="86733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0"/>
              <w:jc w:val="center"/>
            </w:pPr>
            <w:r>
              <w:rPr>
                <w:rFonts w:ascii="Times New Roman" w:hAnsi="Times New Roman" w:eastAsia="宋体"/>
                <w:sz w:val="14"/>
              </w:rPr>
              <w:t>fig24　词云图</w:t>
            </w:r>
          </w:p>
        </w:tc>
      </w:tr>
      <w:tr>
        <w:tc>
          <w:tcPr>
            <w:tcW w:type="dxa" w:w="2911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565999" cy="669241"/>
                  <wp:docPr id="42" name="Picture 4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ig25_moving_average.png"/>
                          <pic:cNvPicPr/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65999" cy="66924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0"/>
              <w:jc w:val="center"/>
            </w:pPr>
            <w:r>
              <w:rPr>
                <w:rFonts w:ascii="Times New Roman" w:hAnsi="Times New Roman" w:eastAsia="宋体"/>
                <w:sz w:val="14"/>
              </w:rPr>
              <w:t>fig25　多重折线图</w:t>
            </w:r>
          </w:p>
        </w:tc>
        <w:tc>
          <w:tcPr>
            <w:tcW w:type="dxa" w:w="2911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565999" cy="875021"/>
                  <wp:docPr id="43" name="Picture 4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ig26_rfm_scatter_ch8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65999" cy="87502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0"/>
              <w:jc w:val="center"/>
            </w:pPr>
            <w:r>
              <w:rPr>
                <w:rFonts w:ascii="Times New Roman" w:hAnsi="Times New Roman" w:eastAsia="宋体"/>
                <w:sz w:val="14"/>
              </w:rPr>
              <w:t>fig26　M2 RFM 模型</w:t>
            </w:r>
          </w:p>
        </w:tc>
        <w:tc>
          <w:tcPr>
            <w:tcW w:type="dxa" w:w="2911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565999" cy="702305"/>
                  <wp:docPr id="44" name="Picture 4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ig27_rfm_segment_bar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65999" cy="70230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0"/>
              <w:jc w:val="center"/>
            </w:pPr>
            <w:r>
              <w:rPr>
                <w:rFonts w:ascii="Times New Roman" w:hAnsi="Times New Roman" w:eastAsia="宋体"/>
                <w:sz w:val="14"/>
              </w:rPr>
              <w:t>fig27　M2 RFM 模型</w:t>
            </w:r>
          </w:p>
        </w:tc>
      </w:tr>
      <w:tr>
        <w:tc>
          <w:tcPr>
            <w:tcW w:type="dxa" w:w="2911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565999" cy="898339"/>
                  <wp:docPr id="45" name="Picture 4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ig28_cohort_retention_heatmap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65999" cy="89833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0"/>
              <w:jc w:val="center"/>
            </w:pPr>
            <w:r>
              <w:rPr>
                <w:rFonts w:ascii="Times New Roman" w:hAnsi="Times New Roman" w:eastAsia="宋体"/>
                <w:sz w:val="14"/>
              </w:rPr>
              <w:t>fig28　M3 同期群留存</w:t>
            </w:r>
          </w:p>
        </w:tc>
        <w:tc>
          <w:tcPr>
            <w:tcW w:type="dxa" w:w="2911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565999" cy="785833"/>
                  <wp:docPr id="46" name="Picture 4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ig29_pareto_abc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65999" cy="78583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0"/>
              <w:jc w:val="center"/>
            </w:pPr>
            <w:r>
              <w:rPr>
                <w:rFonts w:ascii="Times New Roman" w:hAnsi="Times New Roman" w:eastAsia="宋体"/>
                <w:sz w:val="14"/>
              </w:rPr>
              <w:t>fig29　M4 帕累托/ABC</w:t>
            </w:r>
          </w:p>
        </w:tc>
        <w:tc>
          <w:tcPr>
            <w:tcW w:type="dxa" w:w="2911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565999" cy="914026"/>
                  <wp:docPr id="47" name="Picture 4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ig30_apriori_rules_scatter.png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65999" cy="91402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0"/>
              <w:jc w:val="center"/>
            </w:pPr>
            <w:r>
              <w:rPr>
                <w:rFonts w:ascii="Times New Roman" w:hAnsi="Times New Roman" w:eastAsia="宋体"/>
                <w:sz w:val="14"/>
              </w:rPr>
              <w:t>fig30　M5 关联规则</w:t>
            </w:r>
          </w:p>
        </w:tc>
      </w:tr>
      <w:tr>
        <w:tc>
          <w:tcPr>
            <w:tcW w:type="dxa" w:w="2911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565999" cy="1403972"/>
                  <wp:docPr id="48" name="Picture 4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ig31_apriori_network.png"/>
                          <pic:cNvPicPr/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65999" cy="140397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0"/>
              <w:jc w:val="center"/>
            </w:pPr>
            <w:r>
              <w:rPr>
                <w:rFonts w:ascii="Times New Roman" w:hAnsi="Times New Roman" w:eastAsia="宋体"/>
                <w:sz w:val="14"/>
              </w:rPr>
              <w:t>fig31　M5 关联规则</w:t>
            </w:r>
          </w:p>
        </w:tc>
        <w:tc>
          <w:tcPr>
            <w:tcW w:type="dxa" w:w="2911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565999" cy="1029317"/>
                  <wp:docPr id="49" name="Picture 4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ig32_bcg_matrix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65999" cy="102931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0"/>
              <w:jc w:val="center"/>
            </w:pPr>
            <w:r>
              <w:rPr>
                <w:rFonts w:ascii="Times New Roman" w:hAnsi="Times New Roman" w:eastAsia="宋体"/>
                <w:sz w:val="14"/>
              </w:rPr>
              <w:t>fig32　M6 波士顿矩阵</w:t>
            </w:r>
          </w:p>
        </w:tc>
        <w:tc>
          <w:tcPr>
            <w:tcW w:type="dxa" w:w="2911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565999" cy="729126"/>
                  <wp:docPr id="50" name="Picture 5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ig33_forecast_ci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65999" cy="72912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0"/>
              <w:jc w:val="center"/>
            </w:pPr>
            <w:r>
              <w:rPr>
                <w:rFonts w:ascii="Times New Roman" w:hAnsi="Times New Roman" w:eastAsia="宋体"/>
                <w:sz w:val="14"/>
              </w:rPr>
              <w:t>fig33　M7 时间序列预测</w:t>
            </w:r>
          </w:p>
        </w:tc>
      </w:tr>
      <w:tr>
        <w:tc>
          <w:tcPr>
            <w:tcW w:type="dxa" w:w="2911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565999" cy="740988"/>
                  <wp:docPr id="51" name="Picture 5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ig34_kmeans_clusters.pn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65999" cy="7409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0"/>
              <w:jc w:val="center"/>
            </w:pPr>
            <w:r>
              <w:rPr>
                <w:rFonts w:ascii="Times New Roman" w:hAnsi="Times New Roman" w:eastAsia="宋体"/>
                <w:sz w:val="14"/>
              </w:rPr>
              <w:t>fig34　M8 K-Means 分群</w:t>
            </w:r>
          </w:p>
        </w:tc>
        <w:tc>
          <w:tcPr>
            <w:tcW w:type="dxa" w:w="2911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565999" cy="977109"/>
                  <wp:docPr id="52" name="Picture 5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ig35_repurchase_funnel.png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65999" cy="97710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0"/>
              <w:jc w:val="center"/>
            </w:pPr>
            <w:r>
              <w:rPr>
                <w:rFonts w:ascii="Times New Roman" w:hAnsi="Times New Roman" w:eastAsia="宋体"/>
                <w:sz w:val="14"/>
              </w:rPr>
              <w:t>fig35　M9 复购漏斗</w:t>
            </w:r>
          </w:p>
        </w:tc>
        <w:tc>
          <w:tcPr>
            <w:tcW w:type="dxa" w:w="2911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565999" cy="633830"/>
                  <wp:docPr id="53" name="Picture 5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ig36_churn_diagnostics.png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65999" cy="63383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0"/>
              <w:jc w:val="center"/>
            </w:pPr>
            <w:r>
              <w:rPr>
                <w:rFonts w:ascii="Times New Roman" w:hAnsi="Times New Roman" w:eastAsia="宋体"/>
                <w:sz w:val="14"/>
              </w:rPr>
              <w:t>fig36　M10 流失预警</w:t>
            </w:r>
          </w:p>
        </w:tc>
      </w:tr>
      <w:tr>
        <w:tc>
          <w:tcPr>
            <w:tcW w:type="dxa" w:w="2911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565999" cy="989400"/>
                  <wp:docPr id="54" name="Picture 5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ig37_churn_value_scatter.png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65999" cy="9894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0"/>
              <w:jc w:val="center"/>
            </w:pPr>
            <w:r>
              <w:rPr>
                <w:rFonts w:ascii="Times New Roman" w:hAnsi="Times New Roman" w:eastAsia="宋体"/>
                <w:sz w:val="14"/>
              </w:rPr>
              <w:t>fig37　M10 流失预警</w:t>
            </w:r>
          </w:p>
        </w:tc>
        <w:tc>
          <w:tcPr>
            <w:tcW w:type="dxa" w:w="2911"/>
          </w:tcPr>
          <w:p/>
        </w:tc>
        <w:tc>
          <w:tcPr>
            <w:tcW w:type="dxa" w:w="2911"/>
          </w:tcPr>
          <w:p/>
        </w:tc>
      </w:tr>
    </w:tbl>
    <w:p>
      <w:pPr>
        <w:spacing w:line="360" w:lineRule="auto" w:after="80" w:before="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</w:r>
    </w:p>
    <w:sectPr w:rsidR="00FC693F" w:rsidRPr="0006063C" w:rsidSect="00034616">
      <w:pgSz w:w="11906" w:h="16838"/>
      <w:pgMar w:top="1417" w:right="1587" w:bottom="1304" w:left="158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Relationship Id="rId32" Type="http://schemas.openxmlformats.org/officeDocument/2006/relationships/image" Target="media/image24.png"/><Relationship Id="rId33" Type="http://schemas.openxmlformats.org/officeDocument/2006/relationships/image" Target="media/image25.png"/><Relationship Id="rId34" Type="http://schemas.openxmlformats.org/officeDocument/2006/relationships/image" Target="media/image26.png"/><Relationship Id="rId35" Type="http://schemas.openxmlformats.org/officeDocument/2006/relationships/image" Target="media/image27.png"/><Relationship Id="rId36" Type="http://schemas.openxmlformats.org/officeDocument/2006/relationships/image" Target="media/image28.png"/><Relationship Id="rId37" Type="http://schemas.openxmlformats.org/officeDocument/2006/relationships/image" Target="media/image29.png"/><Relationship Id="rId38" Type="http://schemas.openxmlformats.org/officeDocument/2006/relationships/image" Target="media/image30.png"/><Relationship Id="rId39" Type="http://schemas.openxmlformats.org/officeDocument/2006/relationships/image" Target="media/image31.png"/><Relationship Id="rId40" Type="http://schemas.openxmlformats.org/officeDocument/2006/relationships/image" Target="media/image32.png"/><Relationship Id="rId41" Type="http://schemas.openxmlformats.org/officeDocument/2006/relationships/image" Target="media/image33.png"/><Relationship Id="rId42" Type="http://schemas.openxmlformats.org/officeDocument/2006/relationships/image" Target="media/image34.png"/><Relationship Id="rId43" Type="http://schemas.openxmlformats.org/officeDocument/2006/relationships/image" Target="media/image35.png"/><Relationship Id="rId44" Type="http://schemas.openxmlformats.org/officeDocument/2006/relationships/image" Target="media/image36.png"/><Relationship Id="rId45" Type="http://schemas.openxmlformats.org/officeDocument/2006/relationships/image" Target="media/image37.png"/><Relationship Id="rId46" Type="http://schemas.openxmlformats.org/officeDocument/2006/relationships/image" Target="media/image3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2026-01-01T00:00:00Z</dcterms:created>
  <dcterms:modified xsi:type="dcterms:W3CDTF">2026-01-01T00:00:00Z</dcterms:modified>
  <cp:category/>
</cp:coreProperties>
</file>