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47015517"/>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r w:rsidDel="00000000" w:rsidR="00000000" w:rsidRPr="00000000">
        <w:rPr>
          <w:sz w:val="34"/>
          <w:szCs w:val="34"/>
          <w:rtl w:val="0"/>
        </w:rPr>
        <w:t xml:space="preserve">Table of Tables</w:t>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t xml:space="preserve">Comparison of current kitting-error solutions against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80" w:lineRule="auto"/>
              <w:rPr/>
            </w:pPr>
            <w:r w:rsidDel="00000000" w:rsidR="00000000" w:rsidRPr="00000000">
              <w:rPr>
                <w:rtl w:val="0"/>
              </w:rPr>
              <w:t xml:space="preserve">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Stakeholder requirements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rPr/>
            </w:pPr>
            <w:r w:rsidDel="00000000" w:rsidR="00000000" w:rsidRPr="00000000">
              <w:rPr>
                <w:rtl w:val="0"/>
              </w:rPr>
              <w:t xml:space="preserve">1.7.1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Demands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Wishes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80" w:lineRule="auto"/>
              <w:rPr/>
            </w:pPr>
            <w:r w:rsidDel="00000000" w:rsidR="00000000" w:rsidRPr="00000000">
              <w:rPr>
                <w:rtl w:val="0"/>
              </w:rPr>
              <w:t xml:space="preserve">2.2.1.1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System-level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80" w:lineRule="auto"/>
              <w:rPr/>
            </w:pPr>
            <w:r w:rsidDel="00000000" w:rsidR="00000000" w:rsidRPr="00000000">
              <w:rPr>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80" w:lineRule="auto"/>
              <w:rPr/>
            </w:pPr>
            <w:r w:rsidDel="00000000" w:rsidR="00000000" w:rsidRPr="00000000">
              <w:rPr>
                <w:rtl w:val="0"/>
              </w:rPr>
              <w:t xml:space="preserve">Detailed hardware/software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CV testing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YOLOv8-OBB validation metrics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Platforms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80" w:lineRule="auto"/>
              <w:rPr/>
            </w:pPr>
            <w:r w:rsidDel="00000000" w:rsidR="00000000" w:rsidRPr="00000000">
              <w:rPr>
                <w:rtl w:val="0"/>
              </w:rPr>
              <w:t xml:space="preserve">4.2.1.2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80" w:lineRule="auto"/>
              <w:rPr/>
            </w:pPr>
            <w:r w:rsidDel="00000000" w:rsidR="00000000" w:rsidRPr="00000000">
              <w:rPr>
                <w:rtl w:val="0"/>
              </w:rPr>
              <w:t xml:space="preserve">Supplier-stated YZC-133 performance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80" w:lineRule="auto"/>
              <w:rPr/>
            </w:pPr>
            <w:r w:rsidDel="00000000" w:rsidR="00000000" w:rsidRPr="00000000">
              <w:rPr>
                <w:rtl w:val="0"/>
              </w:rPr>
              <w:t xml:space="preserve">4.2.1.3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Test protocol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80" w:lineRule="auto"/>
              <w:rPr/>
            </w:pPr>
            <w:r w:rsidDel="00000000" w:rsidR="00000000" w:rsidRPr="00000000">
              <w:rPr>
                <w:rtl w:val="0"/>
              </w:rPr>
              <w:t xml:space="preserve">4.2.1.4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Repeatability standard deviation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4.2.1.5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Warm-up drift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80" w:lineRule="auto"/>
              <w:rPr/>
            </w:pPr>
            <w:r w:rsidDel="00000000" w:rsidR="00000000" w:rsidRPr="00000000">
              <w:rPr>
                <w:rtl w:val="0"/>
              </w:rPr>
              <w:t xml:space="preserve">4.2.1.6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Off-centre placement sensitivity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Unit test coverage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Participant schedule and counterbalancing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Total cycle time per operator, AEGIS vs. non-AEGIS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Mean cycle time by BOM and 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Total picks, total mass, and mean cycle time by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80" w:lineRule="auto"/>
              <w:rPr/>
            </w:pPr>
            <w:r w:rsidDel="00000000" w:rsidR="00000000" w:rsidRPr="00000000">
              <w:rPr>
                <w:rtl w:val="0"/>
              </w:rPr>
              <w:t xml:space="preserve">Set-level mass, size mix, and cycle time per 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Operator ratings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5.3.1.2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80" w:lineRule="auto"/>
              <w:rPr/>
            </w:pPr>
            <w:r w:rsidDel="00000000" w:rsidR="00000000" w:rsidRPr="00000000">
              <w:rPr>
                <w:rtl w:val="0"/>
              </w:rPr>
              <w:t xml:space="preserve">Usability gaps identified from operator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80" w:lineRule="auto"/>
              <w:rPr/>
            </w:pPr>
            <w:r w:rsidDel="00000000" w:rsidR="00000000" w:rsidRPr="00000000">
              <w:rPr>
                <w:rtl w:val="0"/>
              </w:rPr>
              <w:t xml:space="preserve">Summary of stakeholder feedback and recommended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5.4.2.1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Requirements validation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6.2.1.1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Core station components, both tiers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6.2.2.1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Previously-unaccounted per-station 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NRE cost by effort 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Per-station total cost of ownership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80" w:lineRule="auto"/>
              <w:rPr/>
            </w:pPr>
            <w:r w:rsidDel="00000000" w:rsidR="00000000" w:rsidRPr="00000000">
              <w:rPr>
                <w:rtl w:val="0"/>
              </w:rPr>
              <w:t xml:space="preserve">6.3.1.1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80" w:lineRule="auto"/>
              <w:rPr/>
            </w:pPr>
            <w:r w:rsidDel="00000000" w:rsidR="00000000" w:rsidRPr="00000000">
              <w:rPr>
                <w:rtl w:val="0"/>
              </w:rPr>
              <w:t xml:space="preserve">Per-cell annual COPQ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Payback, hardware-only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Base-tier payback sensitivity 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Future development directions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80" w:lineRule="auto"/>
              <w:rPr/>
            </w:pPr>
            <w:r w:rsidDel="00000000" w:rsidR="00000000" w:rsidRPr="00000000">
              <w:rPr>
                <w:rtl w:val="0"/>
              </w:rPr>
            </w:r>
          </w:p>
        </w:tc>
      </w:tr>
    </w:tbl>
    <w:p w:rsidR="00000000" w:rsidDel="00000000" w:rsidP="00000000" w:rsidRDefault="00000000" w:rsidRPr="00000000" w14:paraId="0000016A">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sz w:val="34"/>
          <w:szCs w:val="34"/>
        </w:rPr>
      </w:pPr>
      <w:bookmarkStart w:colFirst="0" w:colLast="0" w:name="_3e02xygl2zid" w:id="10"/>
      <w:bookmarkEnd w:id="10"/>
      <w:r w:rsidDel="00000000" w:rsidR="00000000" w:rsidRPr="00000000">
        <w:rPr>
          <w:sz w:val="34"/>
          <w:szCs w:val="34"/>
          <w:rtl w:val="0"/>
        </w:rPr>
        <w:t xml:space="preserve">Table of Figures</w:t>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CAD model of the camera mount and structural frame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80" w:lineRule="auto"/>
              <w:rPr/>
            </w:pPr>
            <w:r w:rsidDel="00000000" w:rsidR="00000000" w:rsidRPr="00000000">
              <w:rPr>
                <w:rtl w:val="0"/>
              </w:rPr>
              <w:t xml:space="preserve">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80" w:lineRule="auto"/>
              <w:rPr/>
            </w:pPr>
            <w:r w:rsidDel="00000000" w:rsidR="00000000" w:rsidRPr="00000000">
              <w:rPr>
                <w:rtl w:val="0"/>
              </w:rPr>
              <w:t xml:space="preserve">Configurable two-tier, 6-grid space bin layout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Rim-centric bin detection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3.2.3.1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80" w:lineRule="auto"/>
              <w:rPr/>
            </w:pPr>
            <w:r w:rsidDel="00000000" w:rsidR="00000000" w:rsidRPr="00000000">
              <w:rPr>
                <w:rtl w:val="0"/>
              </w:rPr>
              <w:t xml:space="preserve">Dynamic grid calibration sequence 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3.2.3.2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After first screenshot (registration of possible bin positions)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3.2.3.3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After second screenshot (registration of all active bin geofences)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3.2.4.1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MediaPipe 21-point hand landmark topology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3.2.4.2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80" w:lineRule="auto"/>
              <w:rPr/>
            </w:pPr>
            <w:r w:rsidDel="00000000" w:rsidR="00000000" w:rsidRPr="00000000">
              <w:rPr>
                <w:rtl w:val="0"/>
              </w:rPr>
              <w:t xml:space="preserve">In-process landmark extraction during a live picking motion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80" w:lineRule="auto"/>
              <w:rPr/>
            </w:pPr>
            <w:r w:rsidDel="00000000" w:rsidR="00000000" w:rsidRPr="00000000">
              <w:rPr>
                <w:rtl w:val="0"/>
              </w:rPr>
              <w:t xml:space="preserve">3.2.7.1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80" w:lineRule="auto"/>
              <w:rPr/>
            </w:pPr>
            <w:r w:rsidDel="00000000" w:rsidR="00000000" w:rsidRPr="00000000">
              <w:rPr>
                <w:rtl w:val="0"/>
              </w:rPr>
              <w:t xml:space="preserve">Side-view schematic — shelf lip occluding fingertips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80" w:lineRule="auto"/>
              <w:rPr/>
            </w:pPr>
            <w:r w:rsidDel="00000000" w:rsidR="00000000" w:rsidRPr="00000000">
              <w:rPr>
                <w:rtl w:val="0"/>
              </w:rPr>
              <w:t xml:space="preserve">3.2.7.2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80" w:lineRule="auto"/>
              <w:rPr/>
            </w:pPr>
            <w:r w:rsidDel="00000000" w:rsidR="00000000" w:rsidRPr="00000000">
              <w:rPr>
                <w:rtl w:val="0"/>
              </w:rPr>
              <w:t xml:space="preserve">With the gate — override to correct bottom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80" w:lineRule="auto"/>
              <w:rPr/>
            </w:pPr>
            <w:r w:rsidDel="00000000" w:rsidR="00000000" w:rsidRPr="00000000">
              <w:rPr>
                <w:rtl w:val="0"/>
              </w:rPr>
              <w:t xml:space="preserve">3.2.2.4.1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80" w:lineRule="auto"/>
              <w:rPr/>
            </w:pPr>
            <w:r w:rsidDel="00000000" w:rsidR="00000000" w:rsidRPr="00000000">
              <w:rPr>
                <w:rtl w:val="0"/>
              </w:rPr>
              <w:t xml:space="preserve">Load cell platform evolution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80" w:lineRule="auto"/>
              <w:rPr/>
            </w:pPr>
            <w:r w:rsidDel="00000000" w:rsidR="00000000" w:rsidRPr="00000000">
              <w:rPr>
                <w:rtl w:val="0"/>
              </w:rPr>
              <w:t xml:space="preserve">3.3.1.3.1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80" w:lineRule="auto"/>
              <w:rPr/>
            </w:pPr>
            <w:r w:rsidDel="00000000" w:rsidR="00000000" w:rsidRPr="00000000">
              <w:rPr>
                <w:rtl w:val="0"/>
              </w:rPr>
              <w:t xml:space="preserve">Software architecture between sensor pipelines and FastAPI web 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80" w:lineRule="auto"/>
              <w:rPr/>
            </w:pPr>
            <w:r w:rsidDel="00000000" w:rsidR="00000000" w:rsidRPr="00000000">
              <w:rPr>
                <w:rtl w:val="0"/>
              </w:rPr>
              <w:t xml:space="preserve">3.3.2.2.1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80" w:lineRule="auto"/>
              <w:rPr/>
            </w:pPr>
            <w:r w:rsidDel="00000000" w:rsidR="00000000" w:rsidRPr="00000000">
              <w:rPr>
                <w:rtl w:val="0"/>
              </w:rPr>
              <w:t xml:space="preserve">Red outline — hand over the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80" w:lineRule="auto"/>
              <w:rPr/>
            </w:pPr>
            <w:r w:rsidDel="00000000" w:rsidR="00000000" w:rsidRPr="00000000">
              <w:rPr>
                <w:rtl w:val="0"/>
              </w:rPr>
              <w:t xml:space="preserve">3.3.2.2.2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80" w:lineRule="auto"/>
              <w:rPr/>
            </w:pPr>
            <w:r w:rsidDel="00000000" w:rsidR="00000000" w:rsidRPr="00000000">
              <w:rPr>
                <w:rtl w:val="0"/>
              </w:rPr>
              <w:t xml:space="preserve">Green outline — hand in the correct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80" w:lineRule="auto"/>
              <w:rPr/>
            </w:pPr>
            <w:r w:rsidDel="00000000" w:rsidR="00000000" w:rsidRPr="00000000">
              <w:rPr>
                <w:rtl w:val="0"/>
              </w:rPr>
              <w:t xml:space="preserve">3.3.2.2.3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80" w:lineRule="auto"/>
              <w:rPr/>
            </w:pPr>
            <w:r w:rsidDel="00000000" w:rsidR="00000000" w:rsidRPr="00000000">
              <w:rPr>
                <w:rtl w:val="0"/>
              </w:rPr>
              <w:t xml:space="preserve">Target state — only working bin is 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80" w:lineRule="auto"/>
              <w:rPr/>
            </w:pPr>
            <w:r w:rsidDel="00000000" w:rsidR="00000000" w:rsidRPr="00000000">
              <w:rPr>
                <w:rtl w:val="0"/>
              </w:rPr>
              <w:t xml:space="preserve">3.4.2.1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80" w:lineRule="auto"/>
              <w:rPr/>
            </w:pPr>
            <w:r w:rsidDel="00000000" w:rsidR="00000000" w:rsidRPr="00000000">
              <w:rPr>
                <w:rtl w:val="0"/>
              </w:rPr>
              <w:t xml:space="preserve">Fully integrated AEGIS 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80" w:lineRule="auto"/>
              <w:rPr/>
            </w:pPr>
            <w:r w:rsidDel="00000000" w:rsidR="00000000" w:rsidRPr="00000000">
              <w:rPr>
                <w:rtl w:val="0"/>
              </w:rPr>
              <w:t xml:space="preserve">3.4.2.2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80" w:lineRule="auto"/>
              <w:rPr/>
            </w:pPr>
            <w:r w:rsidDel="00000000" w:rsidR="00000000" w:rsidRPr="00000000">
              <w:rPr>
                <w:rtl w:val="0"/>
              </w:rPr>
              <w:t xml:space="preserve">Real-time processing loop data flow diagram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80" w:lineRule="auto"/>
              <w:rPr/>
            </w:pPr>
            <w:r w:rsidDel="00000000" w:rsidR="00000000" w:rsidRPr="00000000">
              <w:rPr>
                <w:rtl w:val="0"/>
              </w:rPr>
              <w:t xml:space="preserve">CV test setups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80" w:lineRule="auto"/>
              <w:rPr/>
            </w:pPr>
            <w:r w:rsidDel="00000000" w:rsidR="00000000" w:rsidRPr="00000000">
              <w:rPr>
                <w:rtl w:val="0"/>
              </w:rPr>
              <w:t xml:space="preserve">No hallucination (all-blue) vs. hallucinated bounding box (mixed)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80" w:lineRule="auto"/>
              <w:rPr/>
            </w:pPr>
            <w:r w:rsidDel="00000000" w:rsidR="00000000" w:rsidRPr="00000000">
              <w:rPr>
                <w:rtl w:val="0"/>
              </w:rPr>
              <w:t xml:space="preserve">4.1.1.3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80" w:lineRule="auto"/>
              <w:rPr/>
            </w:pPr>
            <w:r w:rsidDel="00000000" w:rsidR="00000000" w:rsidRPr="00000000">
              <w:rPr>
                <w:rtl w:val="0"/>
              </w:rPr>
              <w:t xml:space="preserve">Group B sample detections across item categories and fill levels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80" w:lineRule="auto"/>
              <w:rPr/>
            </w:pPr>
            <w:r w:rsidDel="00000000" w:rsidR="00000000" w:rsidRPr="00000000">
              <w:rPr>
                <w:rtl w:val="0"/>
              </w:rPr>
              <w:t xml:space="preserve">4.1.1.4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80" w:lineRule="auto"/>
              <w:rPr/>
            </w:pPr>
            <w:r w:rsidDel="00000000" w:rsidR="00000000" w:rsidRPr="00000000">
              <w:rPr>
                <w:rtl w:val="0"/>
              </w:rPr>
              <w:t xml:space="preserve">Training curves for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80" w:lineRule="auto"/>
              <w:rPr/>
            </w:pPr>
            <w:r w:rsidDel="00000000" w:rsidR="00000000" w:rsidRPr="00000000">
              <w:rPr>
                <w:rtl w:val="0"/>
              </w:rPr>
              <w:t xml:space="preserve">4.1.1.5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80" w:lineRule="auto"/>
              <w:rPr/>
            </w:pPr>
            <w:r w:rsidDel="00000000" w:rsidR="00000000" w:rsidRPr="00000000">
              <w:rPr>
                <w:rtl w:val="0"/>
              </w:rPr>
              <w:t xml:space="preserve">Lighting characterisation results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80" w:lineRule="auto"/>
              <w:rPr/>
            </w:pPr>
            <w:r w:rsidDel="00000000" w:rsidR="00000000" w:rsidRPr="00000000">
              <w:rPr>
                <w:rtl w:val="0"/>
              </w:rPr>
              <w:t xml:space="preserve">Load-cell qualification bench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80" w:lineRule="auto"/>
              <w:rPr/>
            </w:pPr>
            <w:r w:rsidDel="00000000" w:rsidR="00000000" w:rsidRPr="00000000">
              <w:rPr>
                <w:rtl w:val="0"/>
              </w:rPr>
              <w:t xml:space="preserve">Unit test coverage by module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80" w:lineRule="auto"/>
              <w:rPr/>
            </w:pPr>
            <w:r w:rsidDel="00000000" w:rsidR="00000000" w:rsidRPr="00000000">
              <w:rPr>
                <w:rtl w:val="0"/>
              </w:rPr>
              <w:t xml:space="preserve">Usability study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80" w:lineRule="auto"/>
              <w:rPr/>
            </w:pPr>
            <w:r w:rsidDel="00000000" w:rsidR="00000000" w:rsidRPr="00000000">
              <w:rPr>
                <w:rtl w:val="0"/>
              </w:rPr>
              <w:t xml:space="preserve">Paired AEGIS-vs-non-AEGIS cycle time chart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lineRule="auto"/>
              <w:rPr/>
            </w:pPr>
            <w:r w:rsidDel="00000000" w:rsidR="00000000" w:rsidRPr="00000000">
              <w:rPr>
                <w:rtl w:val="0"/>
              </w:rPr>
              <w:t xml:space="preserve">Mean cycle time by BOM, non-AEGIS vs.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lineRule="auto"/>
              <w:rPr/>
            </w:pPr>
            <w:r w:rsidDel="00000000" w:rsidR="00000000" w:rsidRPr="00000000">
              <w:rPr>
                <w:rtl w:val="0"/>
              </w:rPr>
              <w:t xml:space="preserve">Cycle time vs. total mass handled by operator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lineRule="auto"/>
              <w:rPr/>
            </w:pPr>
            <w:r w:rsidDel="00000000" w:rsidR="00000000" w:rsidRPr="00000000">
              <w:rPr>
                <w:rtl w:val="0"/>
              </w:rPr>
              <w:t xml:space="preserve">Cycle time per pick vs. mass per pick, by 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lineRule="auto"/>
              <w:rPr/>
            </w:pPr>
            <w:r w:rsidDel="00000000" w:rsidR="00000000" w:rsidRPr="00000000">
              <w:rPr>
                <w:rtl w:val="0"/>
              </w:rPr>
              <w:t xml:space="preserve">Rating distribution across the nine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lineRule="auto"/>
              <w:rPr/>
            </w:pPr>
            <w:r w:rsidDel="00000000" w:rsidR="00000000" w:rsidRPr="00000000">
              <w:rPr>
                <w:rtl w:val="0"/>
              </w:rPr>
              <w:t xml:space="preserve">TE Connectivity stakeholder testing the AEGIS prototype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lineRule="auto"/>
              <w:rPr/>
            </w:pPr>
            <w:r w:rsidDel="00000000" w:rsidR="00000000" w:rsidRPr="00000000">
              <w:rPr>
                <w:rtl w:val="0"/>
              </w:rPr>
              <w:t xml:space="preserve">NRE amortisation curve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lineRule="auto"/>
              <w:rPr/>
            </w:pPr>
            <w:r w:rsidDel="00000000" w:rsidR="00000000" w:rsidRPr="00000000">
              <w:rPr>
                <w:rtl w:val="0"/>
              </w:rPr>
              <w:t xml:space="preserve">Stacked cost breakdown per station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lineRule="auto"/>
              <w:rPr/>
            </w:pPr>
            <w:r w:rsidDel="00000000" w:rsidR="00000000" w:rsidRPr="00000000">
              <w:rPr>
                <w:rtl w:val="0"/>
              </w:rPr>
              <w:t xml:space="preserve">Cumulative net-savings curves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lineRule="auto"/>
              <w:rPr/>
            </w:pPr>
            <w:r w:rsidDel="00000000" w:rsidR="00000000" w:rsidRPr="00000000">
              <w:rPr>
                <w:rtl w:val="0"/>
              </w:rPr>
              <w:t xml:space="preserve">Payback sensitivity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lineRule="auto"/>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lineRule="auto"/>
              <w:rPr/>
            </w:pPr>
            <w:r w:rsidDel="00000000" w:rsidR="00000000" w:rsidRPr="00000000">
              <w:rPr>
                <w:rtl w:val="0"/>
              </w:rPr>
              <w:t xml:space="preserve">Possible scenario decision tree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lineRule="auto"/>
              <w:rPr/>
            </w:pPr>
            <w:r w:rsidDel="00000000" w:rsidR="00000000" w:rsidRPr="00000000">
              <w:rPr>
                <w:rtl w:val="0"/>
              </w:rPr>
              <w:t xml:space="preserve">B.1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lineRule="auto"/>
              <w:rPr/>
            </w:pPr>
            <w:r w:rsidDel="00000000" w:rsidR="00000000" w:rsidRPr="00000000">
              <w:rPr>
                <w:rtl w:val="0"/>
              </w:rPr>
              <w:t xml:space="preserve">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lineRule="auto"/>
              <w:rPr/>
            </w:pPr>
            <w:r w:rsidDel="00000000" w:rsidR="00000000" w:rsidRPr="00000000">
              <w:rPr>
                <w:rtl w:val="0"/>
              </w:rPr>
            </w:r>
          </w:p>
        </w:tc>
      </w:tr>
    </w:tbl>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E0">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E1">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E2">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1E3">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E4">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E5">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E6">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E7">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E8">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E9">
      <w:pPr>
        <w:spacing w:after="240" w:before="240" w:lineRule="auto"/>
        <w:rPr>
          <w:color w:val="ff0000"/>
        </w:rPr>
      </w:pPr>
      <w:r w:rsidDel="00000000" w:rsidR="00000000" w:rsidRPr="00000000">
        <w:rPr>
          <w:color w:val="ff0000"/>
          <w:rtl w:val="0"/>
        </w:rPr>
        <w:t xml:space="preserve">[CONTENT NEEDED — no source material in current draft: the current draft does not explicitly state that the cell workstation was identified as the </w:t>
      </w:r>
      <w:r w:rsidDel="00000000" w:rsidR="00000000" w:rsidRPr="00000000">
        <w:rPr>
          <w:i w:val="1"/>
          <w:iCs w:val="1"/>
          <w:color w:val="ff0000"/>
          <w:rtl w:val="0"/>
        </w:rPr>
        <w:t xml:space="preserve">highest-leverage</w:t>
      </w:r>
      <w:r w:rsidDel="00000000" w:rsidR="00000000" w:rsidRPr="00000000">
        <w:rPr>
          <w:color w:val="ff0000"/>
          <w:rtl w:val="0"/>
        </w:rPr>
        <w:t xml:space="preserve"> point for reducing COPQ relative to other intervention points on the line (e.g., incoming inspection, end-of-line QC). The paragraphs above are built from what the source does establish — cross-plant variability and the workstation as the recurring unit — but do not claim a leverage/cost-benefit comparison against other candidate intervention points, since no such comparison exists in the draft.]</w:t>
      </w:r>
    </w:p>
    <w:p w:rsidR="00000000" w:rsidDel="00000000" w:rsidP="00000000" w:rsidRDefault="00000000" w:rsidRPr="00000000" w14:paraId="000001EA">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EB">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EC">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ED">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EE">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EF">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F0">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w:t>
      </w:r>
      <w:r w:rsidDel="00000000" w:rsidR="00000000" w:rsidRPr="00000000">
        <w:rPr>
          <w:b w:val="1"/>
          <w:bCs w:val="1"/>
          <w:rtl w:val="0"/>
        </w:rPr>
        <w:t xml:space="preserve">[][]</w:t>
      </w:r>
      <w:r w:rsidDel="00000000" w:rsidR="00000000" w:rsidRPr="00000000">
        <w:rPr>
          <w:rtl w:val="0"/>
        </w:rPr>
        <w:t xml:space="preserv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A].</w:t>
      </w:r>
    </w:p>
    <w:p w:rsidR="00000000" w:rsidDel="00000000" w:rsidP="00000000" w:rsidRDefault="00000000" w:rsidRPr="00000000" w14:paraId="000001F1">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F2">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F3">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4">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5">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6">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7">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8">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9">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FA">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FB">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C">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D">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E">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FF">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0">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1">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2">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3">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4">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5">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6">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7">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8">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9">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A">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B">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C">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D">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E">
            <w:pPr>
              <w:spacing w:after="200" w:line="278.4" w:lineRule="auto"/>
              <w:rPr/>
            </w:pPr>
            <w:r w:rsidDel="00000000" w:rsidR="00000000" w:rsidRPr="00000000">
              <w:rPr>
                <w:rtl w:val="0"/>
              </w:rPr>
              <w:t xml:space="preserve">None </w:t>
            </w:r>
          </w:p>
          <w:p w:rsidR="00000000" w:rsidDel="00000000" w:rsidP="00000000" w:rsidRDefault="00000000" w:rsidRPr="00000000" w14:paraId="0000020F">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0">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1">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2">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3">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4">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5">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6">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7">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8">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9">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A">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B">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C">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D">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E">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21F">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220">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221">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Furthermore, scalability is an issue, where it is time-consuming and costly to tag every single item in the entirety of TE inventory.</w:t>
      </w:r>
    </w:p>
    <w:p w:rsidR="00000000" w:rsidDel="00000000" w:rsidP="00000000" w:rsidRDefault="00000000" w:rsidRPr="00000000" w14:paraId="00000222">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223">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224">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225">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226">
      <w:pPr>
        <w:spacing w:after="200" w:before="80" w:lineRule="auto"/>
        <w:jc w:val="center"/>
        <w:rPr/>
      </w:pPr>
      <w:commentRangeStart w:id="0"/>
      <w:r w:rsidDel="00000000" w:rsidR="00000000" w:rsidRPr="00000000">
        <w:rPr>
          <w:rtl w:val="0"/>
        </w:rPr>
        <w:t xml:space="preserve">Table 1.6.1: Stakeholder requirements summary</w:t>
      </w:r>
      <w:commentRangeEnd w:id="0"/>
      <w:r w:rsidDel="00000000" w:rsidR="00000000" w:rsidRPr="00000000">
        <w:commentReference w:id="0"/>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8">
            <w:pPr>
              <w:spacing w:after="200" w:lineRule="auto"/>
              <w:rPr/>
            </w:pPr>
            <w:r w:rsidDel="00000000" w:rsidR="00000000" w:rsidRPr="00000000">
              <w:rPr>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9">
            <w:pPr>
              <w:spacing w:after="200" w:lineRule="auto"/>
              <w:rPr/>
            </w:pPr>
            <w:r w:rsidDel="00000000" w:rsidR="00000000" w:rsidRPr="00000000">
              <w:rPr>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1">
            <w:pPr>
              <w:spacing w:after="200" w:lineRule="auto"/>
              <w:rPr/>
            </w:pPr>
            <w:r w:rsidDel="00000000" w:rsidR="00000000" w:rsidRPr="00000000">
              <w:rPr>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9">
            <w:pPr>
              <w:spacing w:after="200" w:lineRule="auto"/>
              <w:rPr/>
            </w:pPr>
            <w:r w:rsidDel="00000000" w:rsidR="00000000" w:rsidRPr="00000000">
              <w:rPr>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24C">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24D">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24E">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24F">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25"/>
        <w:gridCol w:w="3750"/>
        <w:gridCol w:w="2745"/>
        <w:tblGridChange w:id="0">
          <w:tblGrid>
            <w:gridCol w:w="1125"/>
            <w:gridCol w:w="172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0">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1">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2">
            <w:pPr>
              <w:spacing w:after="200" w:line="240" w:lineRule="auto"/>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3">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4">
            <w:pPr>
              <w:spacing w:after="200" w:line="240" w:lineRule="auto"/>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5">
            <w:pPr>
              <w:spacing w:after="200" w:line="240" w:lineRule="auto"/>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6">
            <w:pPr>
              <w:spacing w:after="20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7">
            <w:pPr>
              <w:spacing w:after="20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8">
            <w:pPr>
              <w:spacing w:after="200" w:line="240" w:lineRule="auto"/>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9">
            <w:pPr>
              <w:spacing w:after="200" w:line="240" w:lineRule="auto"/>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A">
            <w:pPr>
              <w:spacing w:after="20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B">
            <w:pPr>
              <w:spacing w:after="20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C">
            <w:pPr>
              <w:spacing w:after="200" w:line="240" w:lineRule="auto"/>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D">
            <w:pPr>
              <w:spacing w:after="200" w:line="240" w:lineRule="auto"/>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E">
            <w:pPr>
              <w:spacing w:after="20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F">
            <w:pPr>
              <w:spacing w:after="20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0">
            <w:pPr>
              <w:spacing w:after="200" w:line="240" w:lineRule="auto"/>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1">
            <w:pPr>
              <w:spacing w:after="200" w:line="240" w:lineRule="auto"/>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2">
            <w:pPr>
              <w:spacing w:after="20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3">
            <w:pPr>
              <w:spacing w:after="20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4">
            <w:pPr>
              <w:spacing w:after="200" w:line="240" w:lineRule="auto"/>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5">
            <w:pPr>
              <w:spacing w:after="200" w:line="240" w:lineRule="auto"/>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6">
            <w:pPr>
              <w:spacing w:after="20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7">
            <w:pPr>
              <w:spacing w:after="20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8">
            <w:pPr>
              <w:spacing w:after="200" w:line="240" w:lineRule="auto"/>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9">
            <w:pPr>
              <w:spacing w:after="200" w:line="240" w:lineRule="auto"/>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A">
            <w:pPr>
              <w:spacing w:after="20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B">
            <w:pPr>
              <w:spacing w:after="20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C">
            <w:pPr>
              <w:spacing w:after="200" w:line="240" w:lineRule="auto"/>
              <w:rPr>
                <w:highlight w:val="yellow"/>
              </w:rPr>
            </w:pPr>
            <w:r w:rsidDel="00000000" w:rsidR="00000000" w:rsidRPr="00000000">
              <w:rPr>
                <w:highlight w:val="yellow"/>
                <w:rtl w:val="0"/>
              </w:rPr>
              <w:t xml:space="preserve">FR-07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D">
            <w:pPr>
              <w:spacing w:after="200" w:line="240" w:lineRule="auto"/>
              <w:rPr>
                <w:highlight w:val="yellow"/>
              </w:rPr>
            </w:pPr>
            <w:r w:rsidDel="00000000" w:rsidR="00000000" w:rsidRPr="00000000">
              <w:rPr>
                <w:highlight w:val="yellow"/>
                <w:rtl w:val="0"/>
              </w:rPr>
              <w:t xml:space="preserve">Order Input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E">
            <w:pPr>
              <w:spacing w:after="200" w:line="240" w:lineRule="auto"/>
              <w:rPr>
                <w:highlight w:val="yellow"/>
              </w:rPr>
            </w:pPr>
            <w:r w:rsidDel="00000000" w:rsidR="00000000" w:rsidRPr="00000000">
              <w:rPr>
                <w:highlight w:val="yellow"/>
                <w:rtl w:val="0"/>
              </w:rPr>
              <w:t xml:space="preserve">The system shall accept any BOM specifications — including component identities, bin assignments, and required quantities — as inputs to define the verification context for each kit.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F">
            <w:pPr>
              <w:spacing w:after="200" w:line="240" w:lineRule="auto"/>
              <w:rPr>
                <w:highlight w:val="yellow"/>
              </w:rPr>
            </w:pPr>
            <w:r w:rsidDel="00000000" w:rsidR="00000000" w:rsidRPr="00000000">
              <w:rPr>
                <w:highlight w:val="yellow"/>
                <w:rtl w:val="0"/>
              </w:rPr>
              <w:t xml:space="preserve">Verification must be order-specific; a part correct for one order may be incorrect for another.</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0">
            <w:pPr>
              <w:spacing w:after="200" w:line="240" w:lineRule="auto"/>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1">
            <w:pPr>
              <w:spacing w:after="200" w:line="240" w:lineRule="auto"/>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2">
            <w:pPr>
              <w:spacing w:after="20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3">
            <w:pPr>
              <w:spacing w:after="20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4">
            <w:pPr>
              <w:spacing w:after="200" w:line="240" w:lineRule="auto"/>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Environ-</w:t>
            </w:r>
          </w:p>
          <w:p w:rsidR="00000000" w:rsidDel="00000000" w:rsidP="00000000" w:rsidRDefault="00000000" w:rsidRPr="00000000" w14:paraId="00000276">
            <w:pPr>
              <w:spacing w:after="0" w:line="240" w:lineRule="auto"/>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7">
            <w:pPr>
              <w:spacing w:after="20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8">
            <w:pPr>
              <w:spacing w:after="20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9">
            <w:pPr>
              <w:spacing w:after="200" w:line="240" w:lineRule="auto"/>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A">
            <w:pPr>
              <w:spacing w:after="200" w:line="240" w:lineRule="auto"/>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B">
            <w:pPr>
              <w:spacing w:after="20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C">
            <w:pPr>
              <w:spacing w:after="20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D">
            <w:pPr>
              <w:spacing w:after="200" w:line="240" w:lineRule="auto"/>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E">
            <w:pPr>
              <w:spacing w:after="200" w:line="240" w:lineRule="auto"/>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F">
            <w:pPr>
              <w:spacing w:after="20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0">
            <w:pPr>
              <w:spacing w:after="20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281">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282">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283">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4">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5">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6">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7">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8">
            <w:pPr>
              <w:spacing w:after="200" w:line="240" w:lineRule="auto"/>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9">
            <w:pPr>
              <w:spacing w:after="200" w:line="240" w:lineRule="auto"/>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A">
            <w:pPr>
              <w:spacing w:after="200" w:line="240" w:lineRule="auto"/>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B">
            <w:pPr>
              <w:spacing w:after="20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C">
            <w:pPr>
              <w:spacing w:after="200" w:line="240" w:lineRule="auto"/>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D">
            <w:pPr>
              <w:spacing w:after="200" w:line="240"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E">
            <w:pPr>
              <w:spacing w:after="200" w:line="240" w:lineRule="auto"/>
              <w:rPr/>
            </w:pPr>
            <w:commentRangeStart w:id="1"/>
            <w:r w:rsidDel="00000000" w:rsidR="00000000" w:rsidRPr="00000000">
              <w:rPr>
                <w:rtl w:val="0"/>
              </w:rPr>
              <w:t xml:space="preserve">The total hardware cost per workstation must be low enough to ensure that the return on investment (ROI) is achieved before the solution becomes obsolete.</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F">
            <w:pPr>
              <w:spacing w:after="200" w:line="240" w:lineRule="auto"/>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0">
            <w:pPr>
              <w:spacing w:after="200" w:line="240" w:lineRule="auto"/>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1">
            <w:pPr>
              <w:spacing w:after="200" w:line="240" w:lineRule="auto"/>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2">
            <w:pPr>
              <w:spacing w:after="20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3">
            <w:pPr>
              <w:spacing w:after="20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4">
            <w:pPr>
              <w:spacing w:after="200" w:line="240" w:lineRule="auto"/>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5">
            <w:pPr>
              <w:spacing w:after="200" w:line="240" w:lineRule="auto"/>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6">
            <w:pPr>
              <w:spacing w:after="20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7">
            <w:pPr>
              <w:spacing w:after="20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298">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299">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29A">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29B">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29C">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29D">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29F">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2A0">
      <w:pPr>
        <w:spacing w:after="240" w:before="240" w:lineRule="auto"/>
        <w:rPr>
          <w:color w:val="ff0000"/>
        </w:rPr>
      </w:pPr>
      <w:r w:rsidDel="00000000" w:rsidR="00000000" w:rsidRPr="00000000">
        <w:rPr>
          <w:color w:val="ff0000"/>
          <w:rtl w:val="0"/>
        </w:rPr>
        <w:t xml:space="preserve">[CONTENT NEEDED — no source material in current draft: Section 2.1 in the source document consists only of a header with no accompanying body text. No other passage in the draft functions as a general, standalone concept overview suitable for direct reuse here without duplicating material already presented in the Executive Summary (Concept/Solution) and Section 1.9 (Value Proposition).]</w:t>
      </w:r>
    </w:p>
    <w:p w:rsidR="00000000" w:rsidDel="00000000" w:rsidP="00000000" w:rsidRDefault="00000000" w:rsidRPr="00000000" w14:paraId="000002A1">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2A2">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2A3">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2A4">
      <w:pPr>
        <w:spacing w:after="240" w:before="240" w:lineRule="auto"/>
        <w:rPr/>
      </w:pPr>
      <w:commentRangeStart w:id="2"/>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2"/>
      <w:r w:rsidDel="00000000" w:rsidR="00000000" w:rsidRPr="00000000">
        <w:commentReference w:id="2"/>
      </w:r>
      <w:r w:rsidDel="00000000" w:rsidR="00000000" w:rsidRPr="00000000">
        <w:rPr>
          <w:rtl w:val="0"/>
        </w:rPr>
        <w:br w:type="textWrapping"/>
      </w:r>
    </w:p>
    <w:p w:rsidR="00000000" w:rsidDel="00000000" w:rsidP="00000000" w:rsidRDefault="00000000" w:rsidRPr="00000000" w14:paraId="000002A5">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200" w:line="240" w:lineRule="auto"/>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200" w:line="240" w:lineRule="auto"/>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200" w:line="240" w:lineRule="auto"/>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200" w:line="240" w:lineRule="auto"/>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200" w:line="240" w:lineRule="auto"/>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200" w:line="240" w:lineRule="auto"/>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200" w:line="240" w:lineRule="auto"/>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200" w:line="240" w:lineRule="auto"/>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200" w:line="240" w:lineRule="auto"/>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200" w:line="240" w:lineRule="auto"/>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200" w:line="240" w:lineRule="auto"/>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200" w:line="240" w:lineRule="auto"/>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200" w:line="240" w:lineRule="auto"/>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200" w:line="240" w:lineRule="auto"/>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200" w:line="240" w:lineRule="auto"/>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200" w:line="240" w:lineRule="auto"/>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200" w:line="240" w:lineRule="auto"/>
              <w:rPr/>
            </w:pPr>
            <w:r w:rsidDel="00000000" w:rsidR="00000000" w:rsidRPr="00000000">
              <w:rPr>
                <w:rtl w:val="0"/>
              </w:rPr>
              <w:t xml:space="preserve">Clear state is not needed as we only catch and highlight errors. Code Cut should never be reached as Error State should flag before that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200" w:line="240" w:lineRule="auto"/>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200" w:line="240" w:lineRule="auto"/>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200" w:line="240" w:lineRule="auto"/>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200" w:line="240" w:lineRule="auto"/>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200" w:line="240" w:lineRule="auto"/>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200" w:line="240" w:lineRule="auto"/>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200" w:line="240" w:lineRule="auto"/>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200" w:line="240" w:lineRule="auto"/>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200" w:line="240" w:lineRule="auto"/>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200" w:line="240" w:lineRule="auto"/>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200" w:line="240" w:lineRule="auto"/>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200" w:line="240" w:lineRule="auto"/>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200" w:line="240" w:lineRule="auto"/>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200" w:line="240" w:lineRule="auto"/>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200" w:line="240" w:lineRule="auto"/>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200" w:line="240" w:lineRule="auto"/>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200" w:line="240" w:lineRule="auto"/>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200" w:line="240" w:lineRule="auto"/>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after="200" w:line="240" w:lineRule="auto"/>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200" w:line="240" w:lineRule="auto"/>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200" w:line="240" w:lineRule="auto"/>
              <w:rPr/>
            </w:pPr>
            <w:r w:rsidDel="00000000" w:rsidR="00000000" w:rsidRPr="00000000">
              <w:rPr>
                <w:rtl w:val="0"/>
              </w:rPr>
              <w:t xml:space="preserve">Most Accurate and readily available models</w:t>
            </w:r>
          </w:p>
        </w:tc>
      </w:tr>
    </w:tbl>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DD">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DE">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200" w:line="240" w:lineRule="auto"/>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200" w:line="240" w:lineRule="auto"/>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200" w:line="240" w:lineRule="auto"/>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200" w:line="240" w:lineRule="auto"/>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200" w:line="240" w:lineRule="auto"/>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200" w:line="240" w:lineRule="auto"/>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200" w:line="240" w:lineRule="auto"/>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200" w:line="240" w:lineRule="auto"/>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spacing w:after="200" w:line="240" w:lineRule="auto"/>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spacing w:after="200" w:line="240" w:lineRule="auto"/>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200" w:line="240" w:lineRule="auto"/>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200" w:line="240" w:lineRule="auto"/>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200" w:line="240" w:lineRule="auto"/>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spacing w:after="200" w:line="240" w:lineRule="auto"/>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spacing w:after="200" w:line="240" w:lineRule="auto"/>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after="200" w:line="240" w:lineRule="auto"/>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200" w:line="240" w:lineRule="auto"/>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00" w:line="240" w:lineRule="auto"/>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200" w:line="240" w:lineRule="auto"/>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200" w:line="240" w:lineRule="auto"/>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200" w:line="240" w:lineRule="auto"/>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200" w:line="240" w:lineRule="auto"/>
              <w:rPr/>
            </w:pPr>
            <w:r w:rsidDel="00000000" w:rsidR="00000000" w:rsidRPr="00000000">
              <w:rPr>
                <w:rtl w:val="0"/>
              </w:rPr>
            </w:r>
          </w:p>
        </w:tc>
      </w:tr>
    </w:tbl>
    <w:p w:rsidR="00000000" w:rsidDel="00000000" w:rsidP="00000000" w:rsidRDefault="00000000" w:rsidRPr="00000000" w14:paraId="00000303">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304">
      <w:pPr>
        <w:pStyle w:val="Heading2"/>
        <w:keepNext w:val="0"/>
        <w:keepLines w:val="0"/>
        <w:spacing w:after="80" w:lineRule="auto"/>
        <w:rPr>
          <w:sz w:val="34"/>
          <w:szCs w:val="34"/>
        </w:rPr>
      </w:pPr>
      <w:bookmarkStart w:colFirst="0" w:colLast="0" w:name="_zg0tngsk4mq2" w:id="32"/>
      <w:bookmarkEnd w:id="32"/>
      <w:r w:rsidDel="00000000" w:rsidR="00000000" w:rsidRPr="00000000">
        <w:rPr>
          <w:sz w:val="34"/>
          <w:szCs w:val="34"/>
          <w:rtl w:val="0"/>
        </w:rPr>
        <w:t xml:space="preserve">Chapter 3: Prototyping and Iteration</w:t>
      </w:r>
    </w:p>
    <w:p w:rsidR="00000000" w:rsidDel="00000000" w:rsidP="00000000" w:rsidRDefault="00000000" w:rsidRPr="00000000" w14:paraId="00000305">
      <w:pPr>
        <w:spacing w:after="240" w:before="240" w:lineRule="auto"/>
        <w:rPr/>
      </w:pPr>
      <w:r w:rsidDel="00000000" w:rsidR="00000000" w:rsidRPr="00000000">
        <w:rPr>
          <w:rtl w:val="0"/>
        </w:rPr>
        <w:t xml:space="preserve">Each of the subsystems below — the physical workstation, the sensor subsystem, and the software subsystem — was prototyped independently to fulfil specific functional requirements. Only once each subsystem met its minimum criteria in isolation were full system integration and testing conducted, as detailed in Section 3.4.</w:t>
      </w:r>
    </w:p>
    <w:p w:rsidR="00000000" w:rsidDel="00000000" w:rsidP="00000000" w:rsidRDefault="00000000" w:rsidRPr="00000000" w14:paraId="00000306">
      <w:pPr>
        <w:pStyle w:val="Heading3"/>
        <w:keepNext w:val="0"/>
        <w:keepLines w:val="0"/>
        <w:spacing w:before="280" w:lineRule="auto"/>
        <w:rPr>
          <w:sz w:val="26"/>
          <w:szCs w:val="26"/>
        </w:rPr>
      </w:pPr>
      <w:bookmarkStart w:colFirst="0" w:colLast="0" w:name="_a5wm8meggtwu" w:id="33"/>
      <w:bookmarkEnd w:id="33"/>
      <w:r w:rsidDel="00000000" w:rsidR="00000000" w:rsidRPr="00000000">
        <w:rPr>
          <w:sz w:val="26"/>
          <w:szCs w:val="26"/>
          <w:rtl w:val="0"/>
        </w:rPr>
        <w:t xml:space="preserve">3.1 Physical Workstation and Mock-up</w:t>
      </w:r>
    </w:p>
    <w:p w:rsidR="00000000" w:rsidDel="00000000" w:rsidP="00000000" w:rsidRDefault="00000000" w:rsidRPr="00000000" w14:paraId="00000307">
      <w:pPr>
        <w:spacing w:after="240" w:before="240" w:lineRule="auto"/>
        <w:rPr/>
      </w:pPr>
      <w:r w:rsidDel="00000000" w:rsidR="00000000" w:rsidRPr="00000000">
        <w:rPr>
          <w:rtl w:val="0"/>
        </w:rPr>
        <w:t xml:space="preserve">The physical frame provides the operational infrastructure required to reduce geometric and positional variables, ensuring that both the operator's hands and the storage bins remain consistently visible to the sensing suite. The structural layout directly establishes a stable environment that reduces the downstream computational complexity of the computer vision subsystem.</w:t>
      </w:r>
    </w:p>
    <w:p w:rsidR="00000000" w:rsidDel="00000000" w:rsidP="00000000" w:rsidRDefault="00000000" w:rsidRPr="00000000" w14:paraId="00000308">
      <w:pPr>
        <w:spacing w:after="240" w:before="240" w:lineRule="auto"/>
        <w:rPr/>
      </w:pPr>
      <w:r w:rsidDel="00000000" w:rsidR="00000000" w:rsidRPr="00000000">
        <w:rPr>
          <w:rtl w:val="0"/>
        </w:rPr>
        <w:t xml:space="preserve">The physical setup features a rigid frame supporting an overhead camera mounted at a static height of approximately 254 cm (100 in) above the primary reference layer.</w:t>
      </w:r>
    </w:p>
    <w:p w:rsidR="00000000" w:rsidDel="00000000" w:rsidP="00000000" w:rsidRDefault="00000000" w:rsidRPr="00000000" w14:paraId="00000309">
      <w:pPr>
        <w:spacing w:after="200" w:lineRule="auto"/>
        <w:jc w:val="center"/>
        <w:rPr/>
      </w:pPr>
      <w:r w:rsidDel="00000000" w:rsidR="00000000" w:rsidRPr="00000000">
        <w:rPr/>
        <w:drawing>
          <wp:inline distB="114300" distT="114300" distL="114300" distR="114300">
            <wp:extent cx="3476625" cy="3785255"/>
            <wp:effectExtent b="0" l="0" r="0" t="0"/>
            <wp:docPr id="1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476625" cy="3785255"/>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spacing w:after="200" w:lineRule="auto"/>
        <w:jc w:val="center"/>
        <w:rPr/>
      </w:pPr>
      <w:r w:rsidDel="00000000" w:rsidR="00000000" w:rsidRPr="00000000">
        <w:rPr>
          <w:rtl w:val="0"/>
        </w:rPr>
        <w:t xml:space="preserve">Figure 3.1.1: CAD model of the camera mount and structural frame</w:t>
      </w:r>
    </w:p>
    <w:p w:rsidR="00000000" w:rsidDel="00000000" w:rsidP="00000000" w:rsidRDefault="00000000" w:rsidRPr="00000000" w14:paraId="0000030B">
      <w:pPr>
        <w:spacing w:after="200" w:lineRule="auto"/>
        <w:jc w:val="center"/>
        <w:rPr/>
      </w:pPr>
      <w:r w:rsidDel="00000000" w:rsidR="00000000" w:rsidRPr="00000000">
        <w:rPr>
          <w:rtl w:val="0"/>
        </w:rPr>
      </w:r>
    </w:p>
    <w:p w:rsidR="00000000" w:rsidDel="00000000" w:rsidP="00000000" w:rsidRDefault="00000000" w:rsidRPr="00000000" w14:paraId="0000030C">
      <w:pPr>
        <w:spacing w:after="240" w:before="240" w:lineRule="auto"/>
        <w:rPr/>
      </w:pPr>
      <w:r w:rsidDel="00000000" w:rsidR="00000000" w:rsidRPr="00000000">
        <w:rPr>
          <w:rtl w:val="0"/>
        </w:rPr>
        <w:t xml:space="preserve">The workstation area is organized into (but not restricted to) a modular 2-layer, 6-grid-space layout. This grid enforces a systematic layout rule where larger inventory bins that span 2 grid spaces are designated for the bottom row, while small and medium bins that span 1 grid space occupy the top row, aligning with standard industrial manual material handling guidelines which prioritise placing smaller items in the primary reach zone while reserving lower tiers for bulkier containers.</w:t>
      </w:r>
    </w:p>
    <w:p w:rsidR="00000000" w:rsidDel="00000000" w:rsidP="00000000" w:rsidRDefault="00000000" w:rsidRPr="00000000" w14:paraId="0000030D">
      <w:pPr>
        <w:spacing w:after="240" w:before="240" w:lineRule="auto"/>
        <w:jc w:val="center"/>
        <w:rPr/>
      </w:pPr>
      <w:r w:rsidDel="00000000" w:rsidR="00000000" w:rsidRPr="00000000">
        <w:rPr/>
        <w:drawing>
          <wp:inline distB="114300" distT="114300" distL="114300" distR="114300">
            <wp:extent cx="5943600" cy="3576066"/>
            <wp:effectExtent b="0" l="0" r="0" t="0"/>
            <wp:docPr id="21" name="image20.jpg"/>
            <a:graphic>
              <a:graphicData uri="http://schemas.openxmlformats.org/drawingml/2006/picture">
                <pic:pic>
                  <pic:nvPicPr>
                    <pic:cNvPr id="0" name="image20.jpg"/>
                    <pic:cNvPicPr preferRelativeResize="0"/>
                  </pic:nvPicPr>
                  <pic:blipFill>
                    <a:blip r:embed="rId10"/>
                    <a:srcRect b="6640" l="0" r="0" t="48501"/>
                    <a:stretch>
                      <a:fillRect/>
                    </a:stretch>
                  </pic:blipFill>
                  <pic:spPr>
                    <a:xfrm>
                      <a:off x="0" y="0"/>
                      <a:ext cx="5943600" cy="3576066"/>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spacing w:after="240" w:before="240" w:lineRule="auto"/>
        <w:jc w:val="center"/>
        <w:rPr/>
      </w:pPr>
      <w:r w:rsidDel="00000000" w:rsidR="00000000" w:rsidRPr="00000000">
        <w:rPr>
          <w:rtl w:val="0"/>
        </w:rPr>
        <w:t xml:space="preserve"> Figure 3.1.2: Configurable two-tier, 6-grid space bin layout</w:t>
      </w:r>
    </w:p>
    <w:p w:rsidR="00000000" w:rsidDel="00000000" w:rsidP="00000000" w:rsidRDefault="00000000" w:rsidRPr="00000000" w14:paraId="0000030F">
      <w:pPr>
        <w:spacing w:after="240" w:before="240" w:lineRule="auto"/>
        <w:rPr/>
      </w:pPr>
      <w:r w:rsidDel="00000000" w:rsidR="00000000" w:rsidRPr="00000000">
        <w:rPr>
          <w:rtl w:val="0"/>
        </w:rPr>
        <w:t xml:space="preserve">This physical structure integrates seamlessly into the environment. It ensures optimal camera visibility without requiring modifications to the existing workstation layout or the operator's natural workflow (D-08). Since the camera remains fixed, the overall working space is explicitly defined and invariant, allowing the computer vision model to reliably map spatial coordinates.</w:t>
      </w:r>
    </w:p>
    <w:p w:rsidR="00000000" w:rsidDel="00000000" w:rsidP="00000000" w:rsidRDefault="00000000" w:rsidRPr="00000000" w14:paraId="00000310">
      <w:pPr>
        <w:pStyle w:val="Heading2"/>
        <w:keepNext w:val="0"/>
        <w:keepLines w:val="0"/>
        <w:spacing w:after="80" w:lineRule="auto"/>
        <w:rPr>
          <w:sz w:val="34"/>
          <w:szCs w:val="34"/>
        </w:rPr>
      </w:pPr>
      <w:bookmarkStart w:colFirst="0" w:colLast="0" w:name="_1mz2b7x6eyt0" w:id="34"/>
      <w:bookmarkEnd w:id="34"/>
      <w:r w:rsidDel="00000000" w:rsidR="00000000" w:rsidRPr="00000000">
        <w:rPr>
          <w:sz w:val="34"/>
          <w:szCs w:val="34"/>
          <w:rtl w:val="0"/>
        </w:rPr>
        <w:t xml:space="preserve">3.2 Sensor Subsystem</w:t>
      </w:r>
    </w:p>
    <w:p w:rsidR="00000000" w:rsidDel="00000000" w:rsidP="00000000" w:rsidRDefault="00000000" w:rsidRPr="00000000" w14:paraId="00000311">
      <w:pPr>
        <w:pStyle w:val="Heading3"/>
        <w:keepNext w:val="0"/>
        <w:keepLines w:val="0"/>
        <w:spacing w:before="280" w:lineRule="auto"/>
        <w:rPr>
          <w:sz w:val="26"/>
          <w:szCs w:val="26"/>
        </w:rPr>
      </w:pPr>
      <w:bookmarkStart w:colFirst="0" w:colLast="0" w:name="_r76smj173qnn" w:id="35"/>
      <w:bookmarkEnd w:id="35"/>
      <w:r w:rsidDel="00000000" w:rsidR="00000000" w:rsidRPr="00000000">
        <w:rPr>
          <w:sz w:val="26"/>
          <w:szCs w:val="26"/>
          <w:rtl w:val="0"/>
        </w:rPr>
        <w:t xml:space="preserve">3.2.1 Computer Vision System</w:t>
      </w:r>
    </w:p>
    <w:p w:rsidR="00000000" w:rsidDel="00000000" w:rsidP="00000000" w:rsidRDefault="00000000" w:rsidRPr="00000000" w14:paraId="00000312">
      <w:pPr>
        <w:pStyle w:val="Heading4"/>
        <w:keepNext w:val="0"/>
        <w:keepLines w:val="0"/>
        <w:spacing w:after="40" w:before="240" w:lineRule="auto"/>
        <w:rPr>
          <w:b w:val="1"/>
          <w:bCs w:val="1"/>
          <w:sz w:val="22"/>
          <w:szCs w:val="22"/>
        </w:rPr>
      </w:pPr>
      <w:bookmarkStart w:colFirst="0" w:colLast="0" w:name="_cgrd0jhmcekv" w:id="36"/>
      <w:bookmarkEnd w:id="36"/>
      <w:r w:rsidDel="00000000" w:rsidR="00000000" w:rsidRPr="00000000">
        <w:rPr>
          <w:b w:val="1"/>
          <w:bCs w:val="1"/>
          <w:sz w:val="22"/>
          <w:szCs w:val="22"/>
          <w:rtl w:val="0"/>
        </w:rPr>
        <w:t xml:space="preserve">3.2.1.1 Requirements</w:t>
      </w:r>
    </w:p>
    <w:p w:rsidR="00000000" w:rsidDel="00000000" w:rsidP="00000000" w:rsidRDefault="00000000" w:rsidRPr="00000000" w14:paraId="00000313">
      <w:pPr>
        <w:spacing w:after="240" w:before="240" w:lineRule="auto"/>
        <w:rPr/>
      </w:pPr>
      <w:r w:rsidDel="00000000" w:rsidR="00000000" w:rsidRPr="00000000">
        <w:rPr>
          <w:rtl w:val="0"/>
        </w:rPr>
        <w:t xml:space="preserve">The computer vision system is required to satisfy several functional requirements established in Chapter 1. It must identify which component type is present in each active kitting bin (D-01), a prerequisite for detecting wrong-part and missing-part errors (D-02, D-03). It must support efficient onboarding of previously unseen component types without requiring specialist machine learning expertise from plant engineers (D-07), and it must operate correctly under varying ambient lighting conditions without requiring modification to bin dimensions, colours, workstation layout, or operator workflow (D-08). Detection must additionally run at a speed sufficient to support real-time alerting within a timeframe that enables corrective action prior to kit completion (D-05), without negatively impacting per-kit cycle time (W-01).</w:t>
      </w:r>
    </w:p>
    <w:p w:rsidR="00000000" w:rsidDel="00000000" w:rsidP="00000000" w:rsidRDefault="00000000" w:rsidRPr="00000000" w14:paraId="00000314">
      <w:pPr>
        <w:spacing w:after="240" w:before="240" w:lineRule="auto"/>
        <w:rPr/>
      </w:pPr>
      <w:r w:rsidDel="00000000" w:rsidR="00000000" w:rsidRPr="00000000">
        <w:rPr>
          <w:rtl w:val="0"/>
        </w:rPr>
        <w:t xml:space="preserve">These constraints directly shaped the architectural decisions described in the following subsections: the shift to a bin-centric rather than item-centric detection strategy (Section 3.2.1.2), the two-snapshot calibration process for onboarding (Section 3.2.1.3), and the selection of a lightweight hand-tracking framework over denser alternatives (Section 3.2.1.4).</w:t>
      </w:r>
    </w:p>
    <w:p w:rsidR="00000000" w:rsidDel="00000000" w:rsidP="00000000" w:rsidRDefault="00000000" w:rsidRPr="00000000" w14:paraId="00000315">
      <w:pPr>
        <w:pStyle w:val="Heading4"/>
        <w:keepNext w:val="0"/>
        <w:keepLines w:val="0"/>
        <w:spacing w:after="40" w:before="240" w:lineRule="auto"/>
        <w:rPr>
          <w:b w:val="1"/>
          <w:bCs w:val="1"/>
          <w:sz w:val="22"/>
          <w:szCs w:val="22"/>
        </w:rPr>
      </w:pPr>
      <w:bookmarkStart w:colFirst="0" w:colLast="0" w:name="_z8ly0cwkolpr" w:id="37"/>
      <w:bookmarkEnd w:id="37"/>
      <w:r w:rsidDel="00000000" w:rsidR="00000000" w:rsidRPr="00000000">
        <w:rPr>
          <w:b w:val="1"/>
          <w:bCs w:val="1"/>
          <w:sz w:val="22"/>
          <w:szCs w:val="22"/>
          <w:rtl w:val="0"/>
        </w:rPr>
        <w:t xml:space="preserve">3.2.1.2 Dynamic Bin Recognition</w:t>
      </w:r>
    </w:p>
    <w:p w:rsidR="00000000" w:rsidDel="00000000" w:rsidP="00000000" w:rsidRDefault="00000000" w:rsidRPr="00000000" w14:paraId="00000316">
      <w:pPr>
        <w:spacing w:after="240" w:before="240" w:lineRule="auto"/>
        <w:rPr/>
      </w:pPr>
      <w:r w:rsidDel="00000000" w:rsidR="00000000" w:rsidRPr="00000000">
        <w:rPr>
          <w:rtl w:val="0"/>
        </w:rPr>
        <w:t xml:space="preserve">Initial prototyping demonstrated that training a deep learning model to recognize specific inventory parts was unfeasible due to the vast, evolving product catalog. Instead, the strategy shifted to a bin-centric architecture, combining bin-level detection with systematic assignments of specific items to bins. By decoupling the visual detection logic from the physical appearance of internal items, this strategy ensures the system remains robust against changing component mixes (D-01) and supports configuration-driven SKU onboarding (D-07).</w:t>
      </w:r>
    </w:p>
    <w:p w:rsidR="00000000" w:rsidDel="00000000" w:rsidP="00000000" w:rsidRDefault="00000000" w:rsidRPr="00000000" w14:paraId="00000317">
      <w:pPr>
        <w:spacing w:after="240" w:before="240" w:lineRule="auto"/>
        <w:rPr/>
      </w:pPr>
      <w:r w:rsidDel="00000000" w:rsidR="00000000" w:rsidRPr="00000000">
        <w:rPr>
          <w:rtl w:val="0"/>
        </w:rPr>
        <w:t xml:space="preserve">To map these physical bins into digital zones, Horizontal Bounding Boxes (HBB) were selected because they eliminate edge contour noise, minimize computational overhead, and maintain strict axis-aligned tracking zones. The resulting box coordinates provide a highly stable area label per bin, establishing the geometric baseline required for fast and accurate downstream hand-in-bin validation (D-05).</w:t>
      </w:r>
    </w:p>
    <w:p w:rsidR="00000000" w:rsidDel="00000000" w:rsidP="00000000" w:rsidRDefault="00000000" w:rsidRPr="00000000" w14:paraId="00000318">
      <w:pPr>
        <w:spacing w:after="240" w:before="240" w:lineRule="auto"/>
        <w:rPr/>
      </w:pPr>
      <w:r w:rsidDel="00000000" w:rsidR="00000000" w:rsidRPr="00000000">
        <w:rPr>
          <w:rtl w:val="0"/>
        </w:rPr>
        <w:t xml:space="preserve">To successfully deploy this YOLO-HBB model, two critical operating protocols were established. First, to ensure the model mathematically learns to ignore internal components, a strict training data collection protocol was developed for plant engineers [Appendix D]. This protocol enforces systematic variation of bin positions, fill levels (0% to 100%), and internal item layouts during image capture, forcing the model to lock exclusively onto the static bin rim, evolving the bin-centric model to rim-centric.</w:t>
      </w:r>
    </w:p>
    <w:p w:rsidR="00000000" w:rsidDel="00000000" w:rsidP="00000000" w:rsidRDefault="00000000" w:rsidRPr="00000000" w14:paraId="00000319">
      <w:pPr>
        <w:spacing w:after="200" w:lineRule="auto"/>
        <w:jc w:val="center"/>
        <w:rPr/>
      </w:pPr>
      <w:r w:rsidDel="00000000" w:rsidR="00000000" w:rsidRPr="00000000">
        <w:rPr/>
        <w:drawing>
          <wp:inline distB="114300" distT="114300" distL="114300" distR="114300">
            <wp:extent cx="5943600" cy="331851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3318510"/>
                    </a:xfrm>
                    <a:prstGeom prst="rect"/>
                    <a:ln/>
                  </pic:spPr>
                </pic:pic>
              </a:graphicData>
            </a:graphic>
          </wp:inline>
        </w:drawing>
      </w:r>
      <w:r w:rsidDel="00000000" w:rsidR="00000000" w:rsidRPr="00000000">
        <w:rPr>
          <w:rtl w:val="0"/>
        </w:rPr>
        <w:t xml:space="preserve">Figure 3.2.2.1: Rim-centric bin detection. Horizontal Bounding Boxes (HBB) successfully lock onto the physical bin rims while ignoring internal component variations</w:t>
      </w:r>
    </w:p>
    <w:p w:rsidR="00000000" w:rsidDel="00000000" w:rsidP="00000000" w:rsidRDefault="00000000" w:rsidRPr="00000000" w14:paraId="0000031A">
      <w:pPr>
        <w:spacing w:after="240" w:before="240" w:lineRule="auto"/>
        <w:rPr/>
      </w:pPr>
      <w:r w:rsidDel="00000000" w:rsidR="00000000" w:rsidRPr="00000000">
        <w:rPr>
          <w:rtl w:val="0"/>
        </w:rPr>
        <w:t xml:space="preserve">Additionally, to prevent bin boundary distortion during the initialization phase caused by item occlusion, a strict physical constraint requires that bins are never filled past their top rims. By maintaining undistorted, highly accurate bin boundaries, the system can reliably determine exactly which bin the operator is interacting with. This accuracy is essential for providing precise corrective guidance (D-06). Enforcing this physical constraint keeps the deep learning model lightweight and simple, ensuring the system remains easily replicable and deployable across different workstations without extensive re-training (W-03).</w:t>
      </w:r>
    </w:p>
    <w:p w:rsidR="00000000" w:rsidDel="00000000" w:rsidP="00000000" w:rsidRDefault="00000000" w:rsidRPr="00000000" w14:paraId="0000031B">
      <w:pPr>
        <w:pStyle w:val="Heading4"/>
        <w:keepNext w:val="0"/>
        <w:keepLines w:val="0"/>
        <w:spacing w:after="40" w:before="240" w:lineRule="auto"/>
        <w:rPr>
          <w:b w:val="1"/>
          <w:bCs w:val="1"/>
          <w:sz w:val="22"/>
          <w:szCs w:val="22"/>
        </w:rPr>
      </w:pPr>
      <w:bookmarkStart w:colFirst="0" w:colLast="0" w:name="_s33b3mdyieca" w:id="38"/>
      <w:bookmarkEnd w:id="38"/>
      <w:r w:rsidDel="00000000" w:rsidR="00000000" w:rsidRPr="00000000">
        <w:rPr>
          <w:b w:val="1"/>
          <w:bCs w:val="1"/>
          <w:sz w:val="22"/>
          <w:szCs w:val="22"/>
          <w:rtl w:val="0"/>
        </w:rPr>
        <w:t xml:space="preserve">3.2.1.3 Dynamic Grid Calibration and Initialisation</w:t>
      </w:r>
    </w:p>
    <w:p w:rsidR="00000000" w:rsidDel="00000000" w:rsidP="00000000" w:rsidRDefault="00000000" w:rsidRPr="00000000" w14:paraId="0000031C">
      <w:pPr>
        <w:spacing w:after="240" w:before="240" w:lineRule="auto"/>
        <w:rPr/>
      </w:pPr>
      <w:r w:rsidDel="00000000" w:rsidR="00000000" w:rsidRPr="00000000">
        <w:rPr>
          <w:rtl w:val="0"/>
        </w:rPr>
        <w:t xml:space="preserve">To satisfy the requirement for efficient new part onboarding (D-07), the system initializes using a dynamic two-snapshot calibration process. Rather than manually measuring and programming bin coordinates, which would require external specialists, the system first maps the physical grid slots, and then takes a second snapshot to register which slots contain active bins. This automated setup empowers plant engineers to configure the workstation independently (W-03). These recognized bins are then locked as permanent HBB geofences for the duration of the operational session. This establishes a stable, relative spatial mapping, providing the necessary digital coordinates required for downstream order integration and bin assignment (FR-07).</w:t>
      </w:r>
    </w:p>
    <w:p w:rsidR="00000000" w:rsidDel="00000000" w:rsidP="00000000" w:rsidRDefault="00000000" w:rsidRPr="00000000" w14:paraId="0000031D">
      <w:pPr>
        <w:spacing w:after="240" w:before="240" w:lineRule="auto"/>
        <w:rPr>
          <w:color w:val="9900ff"/>
        </w:rPr>
      </w:pPr>
      <w:r w:rsidDel="00000000" w:rsidR="00000000" w:rsidRPr="00000000">
        <w:rPr>
          <w:rtl w:val="0"/>
        </w:rPr>
      </w:r>
    </w:p>
    <w:p w:rsidR="00000000" w:rsidDel="00000000" w:rsidP="00000000" w:rsidRDefault="00000000" w:rsidRPr="00000000" w14:paraId="0000031E">
      <w:pPr>
        <w:spacing w:after="240" w:before="240" w:lineRule="auto"/>
        <w:jc w:val="center"/>
        <w:rPr/>
      </w:pPr>
      <w:r w:rsidDel="00000000" w:rsidR="00000000" w:rsidRPr="00000000">
        <w:rPr/>
        <w:drawing>
          <wp:inline distB="114300" distT="114300" distL="114300" distR="114300">
            <wp:extent cx="5943600" cy="3348228"/>
            <wp:effectExtent b="0" l="0" r="0" t="0"/>
            <wp:docPr id="10"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3.2.3.1: Dynamic grid calibration sequence start</w:t>
      </w:r>
    </w:p>
    <w:p w:rsidR="00000000" w:rsidDel="00000000" w:rsidP="00000000" w:rsidRDefault="00000000" w:rsidRPr="00000000" w14:paraId="0000031F">
      <w:pPr>
        <w:spacing w:after="240" w:before="240" w:lineRule="auto"/>
        <w:jc w:val="center"/>
        <w:rPr/>
      </w:pPr>
      <w:r w:rsidDel="00000000" w:rsidR="00000000" w:rsidRPr="00000000">
        <w:rPr/>
        <w:drawing>
          <wp:inline distB="114300" distT="114300" distL="114300" distR="114300">
            <wp:extent cx="5943600" cy="3376839"/>
            <wp:effectExtent b="0" l="0" r="0" t="0"/>
            <wp:docPr id="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337683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3.2.3.2: After first screenshot (registration of possible bin positions)</w:t>
      </w:r>
    </w:p>
    <w:p w:rsidR="00000000" w:rsidDel="00000000" w:rsidP="00000000" w:rsidRDefault="00000000" w:rsidRPr="00000000" w14:paraId="00000320">
      <w:pPr>
        <w:spacing w:after="240" w:before="240" w:lineRule="auto"/>
        <w:jc w:val="center"/>
        <w:rPr/>
      </w:pPr>
      <w:r w:rsidDel="00000000" w:rsidR="00000000" w:rsidRPr="00000000">
        <w:rPr/>
        <w:drawing>
          <wp:inline distB="114300" distT="114300" distL="114300" distR="114300">
            <wp:extent cx="5943600" cy="3348228"/>
            <wp:effectExtent b="0" l="0" r="0" t="0"/>
            <wp:docPr id="2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3.2.3.3: After second screenshot (registration of all active bin geofences)</w:t>
      </w:r>
    </w:p>
    <w:p w:rsidR="00000000" w:rsidDel="00000000" w:rsidP="00000000" w:rsidRDefault="00000000" w:rsidRPr="00000000" w14:paraId="00000321">
      <w:pPr>
        <w:pStyle w:val="Heading4"/>
        <w:keepNext w:val="0"/>
        <w:keepLines w:val="0"/>
        <w:spacing w:after="40" w:before="240" w:lineRule="auto"/>
        <w:rPr>
          <w:b w:val="1"/>
          <w:bCs w:val="1"/>
          <w:sz w:val="22"/>
          <w:szCs w:val="22"/>
        </w:rPr>
      </w:pPr>
      <w:bookmarkStart w:colFirst="0" w:colLast="0" w:name="_kduayjtg3vpn" w:id="39"/>
      <w:bookmarkEnd w:id="39"/>
      <w:r w:rsidDel="00000000" w:rsidR="00000000" w:rsidRPr="00000000">
        <w:rPr>
          <w:b w:val="1"/>
          <w:bCs w:val="1"/>
          <w:sz w:val="22"/>
          <w:szCs w:val="22"/>
          <w:rtl w:val="0"/>
        </w:rPr>
        <w:t xml:space="preserve">3.2.1.4 Hand-Pose Model</w:t>
      </w:r>
    </w:p>
    <w:p w:rsidR="00000000" w:rsidDel="00000000" w:rsidP="00000000" w:rsidRDefault="00000000" w:rsidRPr="00000000" w14:paraId="00000322">
      <w:pPr>
        <w:spacing w:after="240" w:before="240" w:lineRule="auto"/>
        <w:rPr/>
      </w:pPr>
      <w:r w:rsidDel="00000000" w:rsidR="00000000" w:rsidRPr="00000000">
        <w:rPr>
          <w:rtl w:val="0"/>
        </w:rPr>
        <w:t xml:space="preserve">The system utilizes the Google AI Edge MediaPipe Tasks Hand Landmarker for real-time, on-device tracking of 21 3D hand landmarks. By performing all processing locally on the Jetson Orin edge device, the architecture inherently satisfies strict data security and compliance requirements (W-04).</w:t>
      </w:r>
    </w:p>
    <w:p w:rsidR="00000000" w:rsidDel="00000000" w:rsidP="00000000" w:rsidRDefault="00000000" w:rsidRPr="00000000" w14:paraId="00000323">
      <w:pPr>
        <w:spacing w:after="240" w:before="240" w:lineRule="auto"/>
        <w:rPr/>
      </w:pPr>
      <w:r w:rsidDel="00000000" w:rsidR="00000000" w:rsidRPr="00000000">
        <w:rPr>
          <w:rtl w:val="0"/>
        </w:rPr>
        <w:t xml:space="preserve">Running at approximately 30 frames per second, this framework avoids the heavy computational cost of dense pixel segmentation. This low-latency performance enables immediate, real-time alerting (D-05) without forcing the operator to pause, ensuring that per-kit cycle times are not negatively impacted (W-01). Furthermore, the efficiency of the landmarker leaves sufficient processing headroom to support future multi-workstation scalability on the same hardware (D-10). Ultimately, focusing on precise digit tracking rather than ambiguous bounding boxes provides the spatial accuracy needed to reliably pinpoint operator interactions.</w:t>
      </w:r>
    </w:p>
    <w:p w:rsidR="00000000" w:rsidDel="00000000" w:rsidP="00000000" w:rsidRDefault="00000000" w:rsidRPr="00000000" w14:paraId="00000324">
      <w:pPr>
        <w:spacing w:after="240" w:before="240" w:lineRule="auto"/>
        <w:jc w:val="center"/>
        <w:rPr/>
      </w:pPr>
      <w:r w:rsidDel="00000000" w:rsidR="00000000" w:rsidRPr="00000000">
        <w:rPr/>
        <w:drawing>
          <wp:inline distB="114300" distT="114300" distL="114300" distR="114300">
            <wp:extent cx="5943600" cy="2057400"/>
            <wp:effectExtent b="0" l="0" r="0" t="0"/>
            <wp:docPr id="16"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3.2.4.1: MediaPipe 21-point hand landmark topology</w:t>
      </w:r>
    </w:p>
    <w:p w:rsidR="00000000" w:rsidDel="00000000" w:rsidP="00000000" w:rsidRDefault="00000000" w:rsidRPr="00000000" w14:paraId="00000325">
      <w:pPr>
        <w:spacing w:after="240" w:before="240" w:lineRule="auto"/>
        <w:jc w:val="center"/>
        <w:rPr/>
      </w:pPr>
      <w:r w:rsidDel="00000000" w:rsidR="00000000" w:rsidRPr="00000000">
        <w:rPr/>
        <w:drawing>
          <wp:inline distB="114300" distT="114300" distL="114300" distR="114300">
            <wp:extent cx="4805363" cy="4004469"/>
            <wp:effectExtent b="0" l="0" r="0" t="0"/>
            <wp:docPr id="6" name="image18.png"/>
            <a:graphic>
              <a:graphicData uri="http://schemas.openxmlformats.org/drawingml/2006/picture">
                <pic:pic>
                  <pic:nvPicPr>
                    <pic:cNvPr id="0" name="image18.png"/>
                    <pic:cNvPicPr preferRelativeResize="0"/>
                  </pic:nvPicPr>
                  <pic:blipFill>
                    <a:blip r:embed="rId16"/>
                    <a:srcRect b="27208" l="41715" r="26442" t="30316"/>
                    <a:stretch>
                      <a:fillRect/>
                    </a:stretch>
                  </pic:blipFill>
                  <pic:spPr>
                    <a:xfrm>
                      <a:off x="0" y="0"/>
                      <a:ext cx="4805363" cy="400446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3.2.4.2: In-process landmark extraction during a live picking motion at workstations.</w:t>
      </w:r>
    </w:p>
    <w:p w:rsidR="00000000" w:rsidDel="00000000" w:rsidP="00000000" w:rsidRDefault="00000000" w:rsidRPr="00000000" w14:paraId="00000326">
      <w:pPr>
        <w:pStyle w:val="Heading4"/>
        <w:keepNext w:val="0"/>
        <w:keepLines w:val="0"/>
        <w:spacing w:after="40" w:before="240" w:lineRule="auto"/>
        <w:rPr>
          <w:b w:val="1"/>
          <w:bCs w:val="1"/>
          <w:sz w:val="22"/>
          <w:szCs w:val="22"/>
        </w:rPr>
      </w:pPr>
      <w:bookmarkStart w:colFirst="0" w:colLast="0" w:name="_dvidapftjuja" w:id="40"/>
      <w:bookmarkEnd w:id="40"/>
      <w:r w:rsidDel="00000000" w:rsidR="00000000" w:rsidRPr="00000000">
        <w:rPr>
          <w:b w:val="1"/>
          <w:bCs w:val="1"/>
          <w:sz w:val="22"/>
          <w:szCs w:val="22"/>
          <w:rtl w:val="0"/>
        </w:rPr>
        <w:t xml:space="preserve">3.2.1.5 Spatial Bin Assignment</w:t>
      </w:r>
    </w:p>
    <w:p w:rsidR="00000000" w:rsidDel="00000000" w:rsidP="00000000" w:rsidRDefault="00000000" w:rsidRPr="00000000" w14:paraId="00000327">
      <w:pPr>
        <w:spacing w:after="240" w:before="240" w:lineRule="auto"/>
        <w:rPr/>
      </w:pPr>
      <w:r w:rsidDel="00000000" w:rsidR="00000000" w:rsidRPr="00000000">
        <w:rPr>
          <w:rtl w:val="0"/>
        </w:rPr>
        <w:t xml:space="preserve">To translate hand landmarks into a definitive spatial location, the system employs a finger-voting algorithm focused exclusively on the index (landmark 8) and middle (landmark 12) fingertips. By filtering out other fingers, the algorithm accommodates natural tripod-grasp picking motions. This ensures the system does not require modifications to the operator's workflow (D-08), thereby preserving natural picking speed.</w:t>
      </w:r>
    </w:p>
    <w:p w:rsidR="00000000" w:rsidDel="00000000" w:rsidP="00000000" w:rsidRDefault="00000000" w:rsidRPr="00000000" w14:paraId="00000328">
      <w:pPr>
        <w:spacing w:after="240" w:before="240" w:lineRule="auto"/>
        <w:rPr/>
      </w:pPr>
      <w:r w:rsidDel="00000000" w:rsidR="00000000" w:rsidRPr="00000000">
        <w:rPr>
          <w:rtl w:val="0"/>
        </w:rPr>
        <w:t xml:space="preserve">The locked bin boundary containing a fingertip receives a spatial vote. If the fingers split across adjacent bins, a deepest-penetration tiebreak evaluates the interiority distance, awarding the assignment to the finger planted deepest into a bin. This precise spatial resolution is critical for accurately identifying which component the operator is retrieving (D-01), ensuring highly reliable wrong-part error detection (D-02) even when hands straddle tight bin boundaries.</w:t>
      </w:r>
    </w:p>
    <w:p w:rsidR="00000000" w:rsidDel="00000000" w:rsidP="00000000" w:rsidRDefault="00000000" w:rsidRPr="00000000" w14:paraId="00000329">
      <w:pPr>
        <w:pStyle w:val="Heading4"/>
        <w:keepNext w:val="0"/>
        <w:keepLines w:val="0"/>
        <w:spacing w:after="40" w:before="240" w:lineRule="auto"/>
        <w:rPr>
          <w:b w:val="1"/>
          <w:bCs w:val="1"/>
          <w:sz w:val="22"/>
          <w:szCs w:val="22"/>
        </w:rPr>
      </w:pPr>
      <w:bookmarkStart w:colFirst="0" w:colLast="0" w:name="_r9tl9kf8fblx" w:id="41"/>
      <w:bookmarkEnd w:id="41"/>
      <w:r w:rsidDel="00000000" w:rsidR="00000000" w:rsidRPr="00000000">
        <w:rPr>
          <w:b w:val="1"/>
          <w:bCs w:val="1"/>
          <w:sz w:val="22"/>
          <w:szCs w:val="22"/>
          <w:rtl w:val="0"/>
        </w:rPr>
        <w:t xml:space="preserve">3.2.1.6 Occlusion Gating and State Hold</w:t>
      </w:r>
    </w:p>
    <w:p w:rsidR="00000000" w:rsidDel="00000000" w:rsidP="00000000" w:rsidRDefault="00000000" w:rsidRPr="00000000" w14:paraId="0000032A">
      <w:pPr>
        <w:spacing w:after="240" w:before="240" w:lineRule="auto"/>
        <w:rPr/>
      </w:pPr>
      <w:r w:rsidDel="00000000" w:rsidR="00000000" w:rsidRPr="00000000">
        <w:rPr>
          <w:rtl w:val="0"/>
        </w:rPr>
        <w:t xml:space="preserve">To maintain spatial accuracy across the two-tiered workstation layout, an Occlusion Gating mechanism and a stateful Occlusion Hold module serve as inline verification layers downstream of raw finger-voting. While finger-voting resolves spatial placement under clear line-of-sight conditions, upper-shelf overhangs introduce camera blind spots during lower-tier picks.</w:t>
      </w:r>
    </w:p>
    <w:p w:rsidR="00000000" w:rsidDel="00000000" w:rsidP="00000000" w:rsidRDefault="00000000" w:rsidRPr="00000000" w14:paraId="0000032B">
      <w:pPr>
        <w:spacing w:after="240" w:before="240" w:lineRule="auto"/>
        <w:rPr/>
      </w:pPr>
      <w:r w:rsidDel="00000000" w:rsidR="00000000" w:rsidRPr="00000000">
        <w:rPr>
          <w:rtl w:val="0"/>
        </w:rPr>
        <w:t xml:space="preserve">To adapt to upper-shelf camera blind spots, the Occlusion Gate computationally validates top-tier landmark predictions against proximal hand anchors and local pixel evidence before committing a bin event to the FSM. Complementarily, the Occlusion Hold module maintains state continuity for active bottom-bin picks when fingertips vanish behind shelf edges. Together, these modules aggressively filter out false extrapolation alarms. This ensures that real-time alerting (D-05) delivers strictly accurate corrective guidance (D-06) and reliably flags only genuine wrong-bin anomalies (D-02), thereby preventing false-positive interruptions that would otherwise degrade per-kit cycle time (W-01). A detailed breakdown of the physical extrapolation failure mode, the iterative development of the gate, and unit test validation is presented in Section 3.2.1.7.</w:t>
      </w:r>
    </w:p>
    <w:p w:rsidR="00000000" w:rsidDel="00000000" w:rsidP="00000000" w:rsidRDefault="00000000" w:rsidRPr="00000000" w14:paraId="0000032C">
      <w:pPr>
        <w:pStyle w:val="Heading4"/>
        <w:keepNext w:val="0"/>
        <w:keepLines w:val="0"/>
        <w:spacing w:after="40" w:before="240" w:lineRule="auto"/>
        <w:rPr>
          <w:b w:val="1"/>
          <w:bCs w:val="1"/>
          <w:sz w:val="22"/>
          <w:szCs w:val="22"/>
        </w:rPr>
      </w:pPr>
      <w:bookmarkStart w:colFirst="0" w:colLast="0" w:name="_khetmnc14foz" w:id="42"/>
      <w:bookmarkEnd w:id="42"/>
      <w:r w:rsidDel="00000000" w:rsidR="00000000" w:rsidRPr="00000000">
        <w:rPr>
          <w:b w:val="1"/>
          <w:bCs w:val="1"/>
          <w:sz w:val="22"/>
          <w:szCs w:val="22"/>
          <w:rtl w:val="0"/>
        </w:rPr>
        <w:t xml:space="preserve">3.2.1.7 Design Validation</w:t>
      </w:r>
    </w:p>
    <w:p w:rsidR="00000000" w:rsidDel="00000000" w:rsidP="00000000" w:rsidRDefault="00000000" w:rsidRPr="00000000" w14:paraId="0000032D">
      <w:pPr>
        <w:spacing w:after="240" w:before="240" w:lineRule="auto"/>
        <w:rPr/>
      </w:pPr>
      <w:r w:rsidDel="00000000" w:rsidR="00000000" w:rsidRPr="00000000">
        <w:rPr>
          <w:rtl w:val="0"/>
        </w:rPr>
        <w:t xml:space="preserve">As mentioned in Section 3.2.1.2, the computer vision pipeline utilizes Horizontal Bounding Boxes (HBB). To arrive at this optimal design, a comparative evaluation of three distinct boundary tracking methods was conducted.</w:t>
      </w:r>
    </w:p>
    <w:p w:rsidR="00000000" w:rsidDel="00000000" w:rsidP="00000000" w:rsidRDefault="00000000" w:rsidRPr="00000000" w14:paraId="0000032E">
      <w:pPr>
        <w:spacing w:after="240" w:before="240" w:lineRule="auto"/>
        <w:rPr/>
      </w:pPr>
      <w:r w:rsidDel="00000000" w:rsidR="00000000" w:rsidRPr="00000000">
        <w:rPr>
          <w:rtl w:val="0"/>
        </w:rPr>
        <w:t xml:space="preserve">To accurately track which bin a hand is in, the system must map the physical bins into stable digital zones. The computer vision model cannot rely on the internal inventory items, as they constantly shift, stack, and change shape. To prevent the system from getting confused by the contents, the boundary recognition needed to focus exclusively on the physical bin rim.</w:t>
      </w:r>
    </w:p>
    <w:p w:rsidR="00000000" w:rsidDel="00000000" w:rsidP="00000000" w:rsidRDefault="00000000" w:rsidRPr="00000000" w14:paraId="0000032F">
      <w:pPr>
        <w:spacing w:after="240" w:before="240" w:lineRule="auto"/>
        <w:rPr/>
      </w:pPr>
      <w:r w:rsidDel="00000000" w:rsidR="00000000" w:rsidRPr="00000000">
        <w:rPr>
          <w:rtl w:val="0"/>
        </w:rPr>
        <w:t xml:space="preserve">Instance segmentation (Mask R-CNN) and Oriented Bounding Boxes (OBB) were initially tested to map the bins. However, segmentation masks proved highly unstable, as the masks would dynamically bleed over items protruding past the rim, creating jagged, hallucinated edges. OBB successfully stabilized the boundaries, but evaluating angular rotation added unnecessary computational overhead, since the physical workstation frame already enforces a strict orthogonal grid.</w:t>
      </w:r>
    </w:p>
    <w:p w:rsidR="00000000" w:rsidDel="00000000" w:rsidP="00000000" w:rsidRDefault="00000000" w:rsidRPr="00000000" w14:paraId="00000330">
      <w:pPr>
        <w:spacing w:after="240" w:before="240" w:lineRule="auto"/>
        <w:rPr/>
      </w:pPr>
      <w:r w:rsidDel="00000000" w:rsidR="00000000" w:rsidRPr="00000000">
        <w:rPr>
          <w:rtl w:val="0"/>
        </w:rPr>
        <w:t xml:space="preserve">To achieve the best balance of stability and processing speed, the system was finalized on Horizontal Bounding Boxes (HBB). HBB completely eliminated edge contour noise and minimized processing overhead by ignoring unnecessary rotational data. Furthermore, by locking tightly onto the rectangular blue rim of the bin rather than its contents, HBB provided the strict, axis-aligned tracking zones required for the downstream finger-voting algorithm to function accurately (Section 3.2.1.5).</w:t>
      </w:r>
    </w:p>
    <w:p w:rsidR="00000000" w:rsidDel="00000000" w:rsidP="00000000" w:rsidRDefault="00000000" w:rsidRPr="00000000" w14:paraId="00000331">
      <w:pPr>
        <w:spacing w:after="240" w:before="240" w:lineRule="auto"/>
        <w:rPr/>
      </w:pPr>
      <w:r w:rsidDel="00000000" w:rsidR="00000000" w:rsidRPr="00000000">
        <w:rPr>
          <w:rtl w:val="0"/>
        </w:rPr>
        <w:t xml:space="preserve">Validation &amp; Impact: By selecting HBB, the vision pipeline maintained highly stable spatial labels across all tested fill levels and lighting conditions. This ensured the system provided the precise geometric baseline required for real-time hand-in-bin validation, successfully satisfying the alerting requirements (D-05).</w:t>
      </w:r>
    </w:p>
    <w:p w:rsidR="00000000" w:rsidDel="00000000" w:rsidP="00000000" w:rsidRDefault="00000000" w:rsidRPr="00000000" w14:paraId="00000332">
      <w:pPr>
        <w:spacing w:after="240" w:before="240" w:lineRule="auto"/>
        <w:rPr/>
      </w:pPr>
      <w:r w:rsidDel="00000000" w:rsidR="00000000" w:rsidRPr="00000000">
        <w:rPr>
          <w:rtl w:val="0"/>
        </w:rPr>
        <w:t xml:space="preserve">As mentioned in Section 3.2.1.6, the Occlusion Gate and Occlusion Hold are used to filter out tracking errors. These modules were developed iteratively to fix a major issue discovered during integration testing.</w:t>
      </w:r>
    </w:p>
    <w:p w:rsidR="00000000" w:rsidDel="00000000" w:rsidP="00000000" w:rsidRDefault="00000000" w:rsidRPr="00000000" w14:paraId="00000333">
      <w:pPr>
        <w:spacing w:after="240" w:before="240" w:lineRule="auto"/>
        <w:rPr/>
      </w:pPr>
      <w:r w:rsidDel="00000000" w:rsidR="00000000" w:rsidRPr="00000000">
        <w:rPr>
          <w:rtl w:val="0"/>
        </w:rPr>
        <w:t xml:space="preserve">When operators reached into the bottom row of bins, the physical shelf lip blocked the camera's view of their fingers. Because it couldn't see the fingers, the MediaPipe model would guess their location and incorrectly extrapolate the fingertips into the top-row bins. This caused the system to trigger false "Out-of-Sequence" and "Wrong-Bin" alarms (D-02).</w:t>
      </w:r>
    </w:p>
    <w:p w:rsidR="00000000" w:rsidDel="00000000" w:rsidP="00000000" w:rsidRDefault="00000000" w:rsidRPr="00000000" w14:paraId="00000334">
      <w:pPr>
        <w:spacing w:after="240" w:before="240" w:lineRule="auto"/>
        <w:jc w:val="center"/>
        <w:rPr/>
      </w:pPr>
      <w:r w:rsidDel="00000000" w:rsidR="00000000" w:rsidRPr="00000000">
        <w:rPr/>
        <w:drawing>
          <wp:inline distB="114300" distT="114300" distL="114300" distR="114300">
            <wp:extent cx="5943600" cy="4427982"/>
            <wp:effectExtent b="0" l="0" r="0" t="0"/>
            <wp:docPr id="12" name="image21.jpg"/>
            <a:graphic>
              <a:graphicData uri="http://schemas.openxmlformats.org/drawingml/2006/picture">
                <pic:pic>
                  <pic:nvPicPr>
                    <pic:cNvPr id="0" name="image21.jpg"/>
                    <pic:cNvPicPr preferRelativeResize="0"/>
                  </pic:nvPicPr>
                  <pic:blipFill>
                    <a:blip r:embed="rId17"/>
                    <a:srcRect b="0" l="0" r="0" t="0"/>
                    <a:stretch>
                      <a:fillRect/>
                    </a:stretch>
                  </pic:blipFill>
                  <pic:spPr>
                    <a:xfrm>
                      <a:off x="0" y="0"/>
                      <a:ext cx="5943600" cy="44279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3.2.7.1: Side-view schematic showing the shelf lip occluding fingertips during a bottom-bin reach.</w:t>
      </w:r>
    </w:p>
    <w:p w:rsidR="00000000" w:rsidDel="00000000" w:rsidP="00000000" w:rsidRDefault="00000000" w:rsidRPr="00000000" w14:paraId="00000335">
      <w:pPr>
        <w:spacing w:after="240" w:before="240" w:lineRule="auto"/>
        <w:rPr/>
      </w:pPr>
      <w:r w:rsidDel="00000000" w:rsidR="00000000" w:rsidRPr="00000000">
        <w:rPr>
          <w:rtl w:val="0"/>
        </w:rPr>
        <w:t xml:space="preserve">The first attempt to fix this involved checking the height of the wrist and knuckles against the shelf rim. However, this method was too sensitive to normal hand movements. It also broke when MediaPipe incorrectly swapped left and right hand labels while the hand was hidden. To build a more reliable solution, the software was updated to use a background-subtraction model (MOG2) to verify actual pixel data:</w:t>
      </w:r>
    </w:p>
    <w:p w:rsidR="00000000" w:rsidDel="00000000" w:rsidP="00000000" w:rsidRDefault="00000000" w:rsidRPr="00000000" w14:paraId="00000336">
      <w:pPr>
        <w:numPr>
          <w:ilvl w:val="0"/>
          <w:numId w:val="2"/>
        </w:numPr>
        <w:spacing w:after="0" w:afterAutospacing="0" w:before="240" w:lineRule="auto"/>
        <w:ind w:left="720" w:hanging="360"/>
        <w:jc w:val="left"/>
      </w:pPr>
      <w:r w:rsidDel="00000000" w:rsidR="00000000" w:rsidRPr="00000000">
        <w:rPr>
          <w:b w:val="1"/>
          <w:bCs w:val="1"/>
          <w:rtl w:val="0"/>
        </w:rPr>
        <w:t xml:space="preserve">Foreground-Evidence Gate:</w:t>
      </w:r>
      <w:r w:rsidDel="00000000" w:rsidR="00000000" w:rsidRPr="00000000">
        <w:rPr>
          <w:rtl w:val="0"/>
        </w:rPr>
        <w:t xml:space="preserve"> When the system detects a hand in a top bin, it now checks if there are actual foreground pixels at the fingertip location. If the pixel presence is below 20% (present_ratio &lt; 0.20), the system knows the top-bin hit is a mistake and corrects the assignment down to the bottom bin.</w:t>
      </w:r>
    </w:p>
    <w:p w:rsidR="00000000" w:rsidDel="00000000" w:rsidP="00000000" w:rsidRDefault="00000000" w:rsidRPr="00000000" w14:paraId="00000337">
      <w:pPr>
        <w:numPr>
          <w:ilvl w:val="0"/>
          <w:numId w:val="2"/>
        </w:numPr>
        <w:spacing w:after="240" w:before="0" w:beforeAutospacing="0" w:lineRule="auto"/>
        <w:ind w:left="720" w:hanging="360"/>
        <w:jc w:val="left"/>
      </w:pPr>
      <w:r w:rsidDel="00000000" w:rsidR="00000000" w:rsidRPr="00000000">
        <w:rPr>
          <w:b w:val="1"/>
          <w:bCs w:val="1"/>
          <w:rtl w:val="0"/>
        </w:rPr>
        <w:t xml:space="preserve">Bin-Keyed Occupancy Hold:</w:t>
      </w:r>
      <w:r w:rsidDel="00000000" w:rsidR="00000000" w:rsidRPr="00000000">
        <w:rPr>
          <w:rtl w:val="0"/>
        </w:rPr>
        <w:t xml:space="preserve"> Sometimes the hand disappears completely behind the shelf lip. To handle this, the hold module was redesigned to track the physical bin area instead of the specific hand. The bottom bin remains "active" as long as the operator's forearm is detected inside the bin (occupied_bins). The system releases the bin the moment the arm is pulled out, rather than relying on a static timer.</w:t>
      </w:r>
    </w:p>
    <w:p w:rsidR="00000000" w:rsidDel="00000000" w:rsidP="00000000" w:rsidRDefault="00000000" w:rsidRPr="00000000" w14:paraId="00000338">
      <w:pPr>
        <w:spacing w:after="240" w:before="240" w:lineRule="auto"/>
        <w:rPr/>
      </w:pPr>
      <w:r w:rsidDel="00000000" w:rsidR="00000000" w:rsidRPr="00000000">
        <w:rPr>
          <w:rtl w:val="0"/>
        </w:rPr>
        <w:t xml:space="preserve">This new logic was tested using 34 automated unit tests (22 for the gate with 83% coverage, and 12 for the hold with 100% coverage). During final integration testing with six different operators, this solution successfully eliminated all false top-bin alarms and met the real-time verification requirements (D-05, D-06).</w:t>
      </w:r>
    </w:p>
    <w:p w:rsidR="00000000" w:rsidDel="00000000" w:rsidP="00000000" w:rsidRDefault="00000000" w:rsidRPr="00000000" w14:paraId="00000339">
      <w:pPr>
        <w:spacing w:after="240" w:before="240" w:lineRule="auto"/>
        <w:jc w:val="center"/>
        <w:rPr/>
      </w:pPr>
      <w:r w:rsidDel="00000000" w:rsidR="00000000" w:rsidRPr="00000000">
        <w:rPr/>
        <w:drawing>
          <wp:inline distB="114300" distT="114300" distL="114300" distR="114300">
            <wp:extent cx="5943600" cy="3348228"/>
            <wp:effectExtent b="0" l="0" r="0" t="0"/>
            <wp:docPr id="17" name="image8.jpg"/>
            <a:graphic>
              <a:graphicData uri="http://schemas.openxmlformats.org/drawingml/2006/picture">
                <pic:pic>
                  <pic:nvPicPr>
                    <pic:cNvPr id="0" name="image8.jpg"/>
                    <pic:cNvPicPr preferRelativeResize="0"/>
                  </pic:nvPicPr>
                  <pic:blipFill>
                    <a:blip r:embed="rId18"/>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3.2.7.2: With the gate — proximal anchor detection overrides to the correct bottom bin.</w:t>
      </w:r>
    </w:p>
    <w:p w:rsidR="00000000" w:rsidDel="00000000" w:rsidP="00000000" w:rsidRDefault="00000000" w:rsidRPr="00000000" w14:paraId="0000033A">
      <w:pPr>
        <w:pStyle w:val="Heading4"/>
        <w:keepNext w:val="0"/>
        <w:keepLines w:val="0"/>
        <w:spacing w:after="40" w:before="240" w:lineRule="auto"/>
        <w:rPr>
          <w:b w:val="1"/>
          <w:bCs w:val="1"/>
          <w:sz w:val="22"/>
          <w:szCs w:val="22"/>
        </w:rPr>
      </w:pPr>
      <w:bookmarkStart w:colFirst="0" w:colLast="0" w:name="_pbhkbkxldspt" w:id="43"/>
      <w:bookmarkEnd w:id="43"/>
      <w:r w:rsidDel="00000000" w:rsidR="00000000" w:rsidRPr="00000000">
        <w:rPr>
          <w:b w:val="1"/>
          <w:bCs w:val="1"/>
          <w:sz w:val="22"/>
          <w:szCs w:val="22"/>
          <w:rtl w:val="0"/>
        </w:rPr>
        <w:t xml:space="preserve">3.2.2.1 Requirements</w:t>
      </w:r>
    </w:p>
    <w:p w:rsidR="00000000" w:rsidDel="00000000" w:rsidP="00000000" w:rsidRDefault="00000000" w:rsidRPr="00000000" w14:paraId="0000033B">
      <w:pPr>
        <w:spacing w:after="240" w:before="240" w:lineRule="auto"/>
        <w:rPr/>
      </w:pPr>
      <w:r w:rsidDel="00000000" w:rsidR="00000000" w:rsidRPr="00000000">
        <w:rPr>
          <w:rtl w:val="0"/>
        </w:rPr>
        <w:t xml:space="preserve">The load cell system is required to satisfy the quantity-verification requirement established in Chapter 1: the system shall verify that the quantity of each component placed into the kit matches the quantity specified in the order (D-04). This requirement exists because quantity errors — too few or too many items picked — are not reliably detectable by computer vision alone, and gravimetric sensing was identified as the complementary modality capable of resolving them (Section 1.9).</w:t>
      </w:r>
    </w:p>
    <w:p w:rsidR="00000000" w:rsidDel="00000000" w:rsidP="00000000" w:rsidRDefault="00000000" w:rsidRPr="00000000" w14:paraId="0000033C">
      <w:pPr>
        <w:spacing w:after="240" w:before="240" w:lineRule="auto"/>
        <w:rPr/>
      </w:pPr>
      <w:r w:rsidDel="00000000" w:rsidR="00000000" w:rsidRPr="00000000">
        <w:rPr>
          <w:rtl w:val="0"/>
        </w:rPr>
        <w:t xml:space="preserve">The platform design must additionally support components across a wide range of unit masses and bin sizes without requiring the operator to alter their picking workflow (D-08), and must remain mechanically stable under freehand loading, since instability directly compromises the accuracy of the quantity signal the FSM depends on (Section 3.3.3). As established in Chapter 2 (Design Selection), load cells were selected as the measurement method because no other approach could reliably identify component quantity on a consistent basis; this decision was further supported by the availability of a TE component database containing reference weights and specifications for each item, allowing measured mass to be matched against known values for verification.</w:t>
      </w:r>
    </w:p>
    <w:p w:rsidR="00000000" w:rsidDel="00000000" w:rsidP="00000000" w:rsidRDefault="00000000" w:rsidRPr="00000000" w14:paraId="0000033D">
      <w:pPr>
        <w:pStyle w:val="Heading4"/>
        <w:keepNext w:val="0"/>
        <w:keepLines w:val="0"/>
        <w:spacing w:after="40" w:before="240" w:lineRule="auto"/>
        <w:rPr>
          <w:b w:val="1"/>
          <w:bCs w:val="1"/>
          <w:sz w:val="22"/>
          <w:szCs w:val="22"/>
        </w:rPr>
      </w:pPr>
      <w:bookmarkStart w:colFirst="0" w:colLast="0" w:name="_8c2z09wcki97" w:id="44"/>
      <w:bookmarkEnd w:id="44"/>
      <w:r w:rsidDel="00000000" w:rsidR="00000000" w:rsidRPr="00000000">
        <w:rPr>
          <w:b w:val="1"/>
          <w:bCs w:val="1"/>
          <w:sz w:val="22"/>
          <w:szCs w:val="22"/>
          <w:rtl w:val="0"/>
        </w:rPr>
        <w:t xml:space="preserve">3.2.2.2 Frame Design</w:t>
      </w:r>
    </w:p>
    <w:p w:rsidR="00000000" w:rsidDel="00000000" w:rsidP="00000000" w:rsidRDefault="00000000" w:rsidRPr="00000000" w14:paraId="0000033E">
      <w:pPr>
        <w:spacing w:after="240" w:before="240" w:lineRule="auto"/>
        <w:rPr/>
      </w:pPr>
      <w:r w:rsidDel="00000000" w:rsidR="00000000" w:rsidRPr="00000000">
        <w:rPr>
          <w:rtl w:val="0"/>
        </w:rPr>
        <w:t xml:space="preserve">The initial design consisted of a simple cantilever platform, with the load cell secured by screws and the item rest formed from bolts. However, the bolted arrangement proved unstable and required items to be placed directly onto the load cell, which was impractical for routine use.</w:t>
      </w:r>
    </w:p>
    <w:p w:rsidR="00000000" w:rsidDel="00000000" w:rsidP="00000000" w:rsidRDefault="00000000" w:rsidRPr="00000000" w14:paraId="0000033F">
      <w:pPr>
        <w:spacing w:after="240" w:before="240" w:lineRule="auto"/>
        <w:rPr/>
      </w:pPr>
      <w:r w:rsidDel="00000000" w:rsidR="00000000" w:rsidRPr="00000000">
        <w:rPr>
          <w:rtl w:val="0"/>
        </w:rPr>
        <w:t xml:space="preserve">The second iteration introduced a circular acrylic platform to improve stability. While this allowed a small bin to be seated securely, it remained prone to tipping when the bin's contents shifted to one side, displacing the centre of gravity beyond the platform's stable region. The resulting final design for small bins was a circular disk of [X] cm in diameter, which provided adequate stability for the expected load distribution.</w:t>
      </w:r>
    </w:p>
    <w:p w:rsidR="00000000" w:rsidDel="00000000" w:rsidP="00000000" w:rsidRDefault="00000000" w:rsidRPr="00000000" w14:paraId="00000340">
      <w:pPr>
        <w:spacing w:after="240" w:before="240" w:lineRule="auto"/>
        <w:rPr>
          <w:color w:val="ff0000"/>
        </w:rPr>
      </w:pPr>
      <w:r w:rsidDel="00000000" w:rsidR="00000000" w:rsidRPr="00000000">
        <w:rPr>
          <w:color w:val="ff0000"/>
          <w:rtl w:val="0"/>
        </w:rPr>
        <w:t xml:space="preserve">[CONTENT NEEDED — no source material in current draft: the exact diameter value for the small-bin circular platform is left as an unresolved placeholder "[X]" in the source document itself and cannot be reorganised from existing content.]</w:t>
      </w:r>
    </w:p>
    <w:p w:rsidR="00000000" w:rsidDel="00000000" w:rsidP="00000000" w:rsidRDefault="00000000" w:rsidRPr="00000000" w14:paraId="00000341">
      <w:pPr>
        <w:spacing w:after="240" w:before="240" w:lineRule="auto"/>
        <w:rPr/>
      </w:pPr>
      <w:r w:rsidDel="00000000" w:rsidR="00000000" w:rsidRPr="00000000">
        <w:rPr>
          <w:rtl w:val="0"/>
        </w:rPr>
        <w:t xml:space="preserve">Larger bins presented an additional challenge. Their greater footprint required a correspondingly wider platform, but single-point load cells maintain rated accuracy only within a specified distance from their centre; off-centre loading beyond this range introduces measurement error. A larger single-cell platform would therefore improve stability at the expense of accuracy. This trade-off, and its resolution via a three-load-cell configuration, is addressed in Section 3.2.2.3.</w:t>
      </w:r>
    </w:p>
    <w:p w:rsidR="00000000" w:rsidDel="00000000" w:rsidP="00000000" w:rsidRDefault="00000000" w:rsidRPr="00000000" w14:paraId="00000342">
      <w:pPr>
        <w:pStyle w:val="Heading4"/>
        <w:keepNext w:val="0"/>
        <w:keepLines w:val="0"/>
        <w:spacing w:after="40" w:before="240" w:lineRule="auto"/>
        <w:rPr>
          <w:b w:val="1"/>
          <w:bCs w:val="1"/>
          <w:sz w:val="22"/>
          <w:szCs w:val="22"/>
        </w:rPr>
      </w:pPr>
      <w:bookmarkStart w:colFirst="0" w:colLast="0" w:name="_uj8hlaryx797" w:id="45"/>
      <w:bookmarkEnd w:id="45"/>
      <w:r w:rsidDel="00000000" w:rsidR="00000000" w:rsidRPr="00000000">
        <w:rPr>
          <w:b w:val="1"/>
          <w:bCs w:val="1"/>
          <w:sz w:val="22"/>
          <w:szCs w:val="22"/>
          <w:rtl w:val="0"/>
        </w:rPr>
        <w:t xml:space="preserve">3.2.2.3 Cell Configuration</w:t>
      </w:r>
    </w:p>
    <w:p w:rsidR="00000000" w:rsidDel="00000000" w:rsidP="00000000" w:rsidRDefault="00000000" w:rsidRPr="00000000" w14:paraId="00000343">
      <w:pPr>
        <w:spacing w:after="240" w:before="240" w:lineRule="auto"/>
        <w:rPr/>
      </w:pPr>
      <w:r w:rsidDel="00000000" w:rsidR="00000000" w:rsidRPr="00000000">
        <w:rPr>
          <w:rtl w:val="0"/>
        </w:rPr>
        <w:t xml:space="preserve">To resolve the stability–accuracy trade-off introduced in Section 3.2.2.2, a three-load-cell configuration was adopted for larger bins. Distributing the load across three points ensured that the bin's centre of gravity always fell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sidR="00000000" w:rsidDel="00000000" w:rsidP="00000000" w:rsidRDefault="00000000" w:rsidRPr="00000000" w14:paraId="00000344">
      <w:pPr>
        <w:spacing w:after="240" w:before="240" w:lineRule="auto"/>
        <w:rPr/>
      </w:pPr>
      <w:r w:rsidDel="00000000" w:rsidR="00000000" w:rsidRPr="00000000">
        <w:rPr>
          <w:rtl w:val="0"/>
        </w:rPr>
        <w:t xml:space="preserve">Furthermore, the three-load-cell configuration allowed for scalability to fit the dimensions of any bins the factory uses, by simply ensuring that the three points of contact remained within the off-centre loading limit.</w:t>
      </w:r>
    </w:p>
    <w:p w:rsidR="00000000" w:rsidDel="00000000" w:rsidP="00000000" w:rsidRDefault="00000000" w:rsidRPr="00000000" w14:paraId="00000345">
      <w:pPr>
        <w:spacing w:after="240" w:before="240" w:lineRule="auto"/>
        <w:rPr/>
      </w:pPr>
      <w:r w:rsidDel="00000000" w:rsidR="00000000" w:rsidRPr="00000000">
        <w:rPr>
          <w:rtl w:val="0"/>
        </w:rPr>
        <w:t xml:space="preserve">Finally, the system's weight constraints must account for load cell resolution. A load cell's accuracy is specified as a percentage of its rated maximum capacity, with the capacity indicated by its designation: a 1 kg load cell has a maximum capacity of 1 kg and a nominal error of ±0.5 g, while a 5 kg load cell has a maximum capacity of 5 kg and a correspondingly larger nominal error of ±2.5 g. As a result, a higher-capacity cell trades absolute resolution for a greater usable range. In testing, however, the 5 kg load cells arranged in the three-cell configuration achieved an error of ±0.5 g, comparable to that of the 1 kg unit, as the distributed arrangement reduces the load borne by each individual cell.</w:t>
      </w:r>
    </w:p>
    <w:p w:rsidR="00000000" w:rsidDel="00000000" w:rsidP="00000000" w:rsidRDefault="00000000" w:rsidRPr="00000000" w14:paraId="00000346">
      <w:pPr>
        <w:spacing w:after="240" w:before="240" w:lineRule="auto"/>
        <w:rPr/>
      </w:pPr>
      <w:r w:rsidDel="00000000" w:rsidR="00000000" w:rsidRPr="00000000">
        <w:rPr>
          <w:rtl w:val="0"/>
        </w:rPr>
        <w:t xml:space="preserve">Because all load cells share the same physical design and form factor, they are mechanically interchangeable, allowing the appropriate capacity to be selected according to the expected item weight without modification to the platform. The required capacity is therefore driven by two factors: the weight of the components being measured and the maximum permissible weight of the bin. By industry standards, a single bin may not exceed 25 kg, with a typical "heavy" bin falling in the 10–15 kg range, which informs the upper bound of the load cell capacity required for the larger platforms.</w:t>
      </w:r>
    </w:p>
    <w:p w:rsidR="00000000" w:rsidDel="00000000" w:rsidP="00000000" w:rsidRDefault="00000000" w:rsidRPr="00000000" w14:paraId="00000347">
      <w:pPr>
        <w:pStyle w:val="Heading4"/>
        <w:keepNext w:val="0"/>
        <w:keepLines w:val="0"/>
        <w:spacing w:after="40" w:before="240" w:lineRule="auto"/>
        <w:rPr>
          <w:b w:val="1"/>
          <w:bCs w:val="1"/>
          <w:sz w:val="22"/>
          <w:szCs w:val="22"/>
        </w:rPr>
      </w:pPr>
      <w:bookmarkStart w:colFirst="0" w:colLast="0" w:name="_ouc8wfe9i34c" w:id="46"/>
      <w:bookmarkEnd w:id="46"/>
      <w:r w:rsidDel="00000000" w:rsidR="00000000" w:rsidRPr="00000000">
        <w:rPr>
          <w:b w:val="1"/>
          <w:bCs w:val="1"/>
          <w:sz w:val="22"/>
          <w:szCs w:val="22"/>
          <w:rtl w:val="0"/>
        </w:rPr>
        <w:t xml:space="preserve">3.2.2.4 Design Validation</w:t>
      </w:r>
    </w:p>
    <w:p w:rsidR="00000000" w:rsidDel="00000000" w:rsidP="00000000" w:rsidRDefault="00000000" w:rsidRPr="00000000" w14:paraId="00000348">
      <w:pPr>
        <w:spacing w:after="240" w:before="240" w:lineRule="auto"/>
        <w:rPr/>
      </w:pPr>
      <w:r w:rsidDel="00000000" w:rsidR="00000000" w:rsidRPr="00000000">
        <w:rPr>
          <w:rtl w:val="0"/>
        </w:rPr>
        <w:t xml:space="preserve">Bench testing revealed that a single cantilever load cell could not support larger bins without tipping, while expanding the platform on a single-point cell introduced extreme off-centre measurement errors (Section 3.2.2.2).</w:t>
      </w:r>
    </w:p>
    <w:p w:rsidR="00000000" w:rsidDel="00000000" w:rsidP="00000000" w:rsidRDefault="00000000" w:rsidRPr="00000000" w14:paraId="00000349">
      <w:pPr>
        <w:spacing w:after="240" w:before="240" w:lineRule="auto"/>
        <w:rPr/>
      </w:pPr>
      <w:r w:rsidDel="00000000" w:rsidR="00000000" w:rsidRPr="00000000">
        <w:rPr>
          <w:rtl w:val="0"/>
        </w:rPr>
        <w:t xml:space="preserve">The platform was redesigned as a three-point summed load cell triangle for medium and large bin configurations (Section 3.2.2.3). This configuration stabilises the centre of gravity within the support triangle while the HX711 summation circuit maintains a single-channel interface to the microcontroller, preserving full software compatibility.</w:t>
      </w:r>
    </w:p>
    <w:p w:rsidR="00000000" w:rsidDel="00000000" w:rsidP="00000000" w:rsidRDefault="00000000" w:rsidRPr="00000000" w14:paraId="0000034A">
      <w:pPr>
        <w:spacing w:after="240" w:before="240" w:lineRule="auto"/>
        <w:jc w:val="center"/>
        <w:rPr/>
      </w:pPr>
      <w:r w:rsidDel="00000000" w:rsidR="00000000" w:rsidRPr="00000000">
        <w:rPr>
          <w:color w:val="9900ff"/>
        </w:rPr>
        <w:drawing>
          <wp:inline distB="114300" distT="114300" distL="114300" distR="114300">
            <wp:extent cx="5943600" cy="3771347"/>
            <wp:effectExtent b="0" l="0" r="0" t="0"/>
            <wp:docPr id="1" name="image4.png"/>
            <a:graphic>
              <a:graphicData uri="http://schemas.openxmlformats.org/drawingml/2006/picture">
                <pic:pic>
                  <pic:nvPicPr>
                    <pic:cNvPr id="0" name="image4.png"/>
                    <pic:cNvPicPr preferRelativeResize="0"/>
                  </pic:nvPicPr>
                  <pic:blipFill>
                    <a:blip r:embed="rId19"/>
                    <a:srcRect b="15397" l="0" r="0" t="0"/>
                    <a:stretch>
                      <a:fillRect/>
                    </a:stretch>
                  </pic:blipFill>
                  <pic:spPr>
                    <a:xfrm>
                      <a:off x="0" y="0"/>
                      <a:ext cx="5943600" cy="3771347"/>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3.2.2.4.1: Initial single-cell cantilever platform exhibiting tipping instability.</w:t>
      </w:r>
    </w:p>
    <w:p w:rsidR="00000000" w:rsidDel="00000000" w:rsidP="00000000" w:rsidRDefault="00000000" w:rsidRPr="00000000" w14:paraId="0000034B">
      <w:pPr>
        <w:spacing w:after="240" w:before="240" w:lineRule="auto"/>
        <w:jc w:val="center"/>
        <w:rPr/>
      </w:pPr>
      <w:r w:rsidDel="00000000" w:rsidR="00000000" w:rsidRPr="00000000">
        <w:rPr/>
        <w:drawing>
          <wp:inline distB="114300" distT="114300" distL="114300" distR="114300">
            <wp:extent cx="5943600" cy="2876550"/>
            <wp:effectExtent b="0" l="0" r="0" t="0"/>
            <wp:docPr id="19" name="image12.png"/>
            <a:graphic>
              <a:graphicData uri="http://schemas.openxmlformats.org/drawingml/2006/picture">
                <pic:pic>
                  <pic:nvPicPr>
                    <pic:cNvPr id="0" name="image12.png"/>
                    <pic:cNvPicPr preferRelativeResize="0"/>
                  </pic:nvPicPr>
                  <pic:blipFill>
                    <a:blip r:embed="rId20"/>
                    <a:srcRect b="17094" l="0" r="0" t="18376"/>
                    <a:stretch>
                      <a:fillRect/>
                    </a:stretch>
                  </pic:blipFill>
                  <pic:spPr>
                    <a:xfrm>
                      <a:off x="0" y="0"/>
                      <a:ext cx="59436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spacing w:after="240" w:before="240" w:lineRule="auto"/>
        <w:jc w:val="center"/>
        <w:rPr/>
      </w:pPr>
      <w:r w:rsidDel="00000000" w:rsidR="00000000" w:rsidRPr="00000000">
        <w:rPr>
          <w:rtl w:val="0"/>
        </w:rPr>
        <w:t xml:space="preserve">Figure 3.2.2.4.2: Final three-point triangle configuration with stable bin seating (front)</w:t>
      </w:r>
    </w:p>
    <w:p w:rsidR="00000000" w:rsidDel="00000000" w:rsidP="00000000" w:rsidRDefault="00000000" w:rsidRPr="00000000" w14:paraId="0000034D">
      <w:pPr>
        <w:spacing w:after="240" w:before="240" w:lineRule="auto"/>
        <w:jc w:val="center"/>
        <w:rPr/>
      </w:pPr>
      <w:r w:rsidDel="00000000" w:rsidR="00000000" w:rsidRPr="00000000">
        <w:rPr/>
        <w:drawing>
          <wp:inline distB="114300" distT="114300" distL="114300" distR="114300">
            <wp:extent cx="5943600" cy="1409588"/>
            <wp:effectExtent b="0" l="0" r="0" t="0"/>
            <wp:docPr id="3" name="image2.png"/>
            <a:graphic>
              <a:graphicData uri="http://schemas.openxmlformats.org/drawingml/2006/picture">
                <pic:pic>
                  <pic:nvPicPr>
                    <pic:cNvPr id="0" name="image2.png"/>
                    <pic:cNvPicPr preferRelativeResize="0"/>
                  </pic:nvPicPr>
                  <pic:blipFill>
                    <a:blip r:embed="rId21"/>
                    <a:srcRect b="34399" l="0" r="0" t="33978"/>
                    <a:stretch>
                      <a:fillRect/>
                    </a:stretch>
                  </pic:blipFill>
                  <pic:spPr>
                    <a:xfrm>
                      <a:off x="0" y="0"/>
                      <a:ext cx="5943600" cy="1409588"/>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spacing w:after="240" w:before="240" w:lineRule="auto"/>
        <w:jc w:val="center"/>
        <w:rPr/>
      </w:pPr>
      <w:r w:rsidDel="00000000" w:rsidR="00000000" w:rsidRPr="00000000">
        <w:rPr>
          <w:rtl w:val="0"/>
        </w:rPr>
        <w:t xml:space="preserve">Figure 3.2.2.4.3: Final three-point triangle configuration with stable bin seating (side)</w:t>
      </w:r>
    </w:p>
    <w:p w:rsidR="00000000" w:rsidDel="00000000" w:rsidP="00000000" w:rsidRDefault="00000000" w:rsidRPr="00000000" w14:paraId="0000034F">
      <w:pPr>
        <w:spacing w:after="240" w:before="240" w:lineRule="auto"/>
        <w:jc w:val="center"/>
        <w:rPr/>
      </w:pPr>
      <w:r w:rsidDel="00000000" w:rsidR="00000000" w:rsidRPr="00000000">
        <w:rPr>
          <w:rtl w:val="0"/>
        </w:rPr>
      </w:r>
    </w:p>
    <w:p w:rsidR="00000000" w:rsidDel="00000000" w:rsidP="00000000" w:rsidRDefault="00000000" w:rsidRPr="00000000" w14:paraId="00000350">
      <w:pPr>
        <w:pStyle w:val="Heading3"/>
        <w:keepNext w:val="0"/>
        <w:keepLines w:val="0"/>
        <w:spacing w:before="280" w:lineRule="auto"/>
        <w:rPr>
          <w:sz w:val="26"/>
          <w:szCs w:val="26"/>
        </w:rPr>
      </w:pPr>
      <w:bookmarkStart w:colFirst="0" w:colLast="0" w:name="_15exumjd4p8o" w:id="47"/>
      <w:bookmarkEnd w:id="47"/>
      <w:r w:rsidDel="00000000" w:rsidR="00000000" w:rsidRPr="00000000">
        <w:rPr>
          <w:sz w:val="26"/>
          <w:szCs w:val="26"/>
          <w:rtl w:val="0"/>
        </w:rPr>
        <w:t xml:space="preserve">3.3 System Software</w:t>
      </w:r>
    </w:p>
    <w:p w:rsidR="00000000" w:rsidDel="00000000" w:rsidP="00000000" w:rsidRDefault="00000000" w:rsidRPr="00000000" w14:paraId="00000351">
      <w:pPr>
        <w:pStyle w:val="Heading4"/>
        <w:keepNext w:val="0"/>
        <w:keepLines w:val="0"/>
        <w:spacing w:after="40" w:before="240" w:lineRule="auto"/>
        <w:rPr>
          <w:b w:val="1"/>
          <w:bCs w:val="1"/>
          <w:sz w:val="22"/>
          <w:szCs w:val="22"/>
        </w:rPr>
      </w:pPr>
      <w:bookmarkStart w:colFirst="0" w:colLast="0" w:name="_ffmg8rbnk6wd" w:id="48"/>
      <w:bookmarkEnd w:id="48"/>
      <w:r w:rsidDel="00000000" w:rsidR="00000000" w:rsidRPr="00000000">
        <w:rPr>
          <w:b w:val="1"/>
          <w:bCs w:val="1"/>
          <w:sz w:val="22"/>
          <w:szCs w:val="22"/>
          <w:rtl w:val="0"/>
        </w:rPr>
        <w:t xml:space="preserve">3.3.1 Software Stack Specification</w:t>
      </w:r>
    </w:p>
    <w:p w:rsidR="00000000" w:rsidDel="00000000" w:rsidP="00000000" w:rsidRDefault="00000000" w:rsidRPr="00000000" w14:paraId="00000352">
      <w:pPr>
        <w:pStyle w:val="Heading5"/>
        <w:keepNext w:val="0"/>
        <w:keepLines w:val="0"/>
        <w:spacing w:after="40" w:lineRule="auto"/>
        <w:rPr>
          <w:b w:val="1"/>
          <w:bCs w:val="1"/>
          <w:sz w:val="20"/>
          <w:szCs w:val="20"/>
          <w:u w:val="none"/>
        </w:rPr>
      </w:pPr>
      <w:bookmarkStart w:colFirst="0" w:colLast="0" w:name="_jyoab647j09a" w:id="49"/>
      <w:bookmarkEnd w:id="49"/>
      <w:r w:rsidDel="00000000" w:rsidR="00000000" w:rsidRPr="00000000">
        <w:rPr>
          <w:b w:val="1"/>
          <w:bCs w:val="1"/>
          <w:sz w:val="20"/>
          <w:szCs w:val="20"/>
          <w:u w:val="none"/>
          <w:rtl w:val="0"/>
        </w:rPr>
        <w:t xml:space="preserve">3.3.1.1 Requirements</w:t>
      </w:r>
    </w:p>
    <w:p w:rsidR="00000000" w:rsidDel="00000000" w:rsidP="00000000" w:rsidRDefault="00000000" w:rsidRPr="00000000" w14:paraId="00000353">
      <w:pPr>
        <w:spacing w:after="240" w:before="240" w:lineRule="auto"/>
        <w:rPr/>
      </w:pPr>
      <w:r w:rsidDel="00000000" w:rsidR="00000000" w:rsidRPr="00000000">
        <w:rPr>
          <w:rtl w:val="0"/>
        </w:rPr>
        <w:t xml:space="preserve">The software stack is required to satisfy the data security constraint established in Chapter 1: all system processing must be performed on-device, with no production data transmitted to external networks (W-04). It must additionally support deployment and configuration by plant engineers without requiring external specialists or specialist cloud infrastructure (W-03), and must decouple the computationally heavy computer vision inference loop from load cell polling and the user interface, so that sensing throughput is not constrained by HMI refresh timing (Section 3.2.1.4, D-05). These constraints directly shaped the selection of an entirely on-device, edge-deployed architecture described in Section 3.3.1.2.</w:t>
      </w:r>
    </w:p>
    <w:p w:rsidR="00000000" w:rsidDel="00000000" w:rsidP="00000000" w:rsidRDefault="00000000" w:rsidRPr="00000000" w14:paraId="00000354">
      <w:pPr>
        <w:pStyle w:val="Heading5"/>
        <w:keepNext w:val="0"/>
        <w:keepLines w:val="0"/>
        <w:spacing w:after="40" w:lineRule="auto"/>
        <w:rPr>
          <w:b w:val="1"/>
          <w:bCs w:val="1"/>
          <w:sz w:val="20"/>
          <w:szCs w:val="20"/>
          <w:u w:val="none"/>
        </w:rPr>
      </w:pPr>
      <w:bookmarkStart w:colFirst="0" w:colLast="0" w:name="_68plh2yfjzsh" w:id="50"/>
      <w:bookmarkEnd w:id="50"/>
      <w:r w:rsidDel="00000000" w:rsidR="00000000" w:rsidRPr="00000000">
        <w:rPr>
          <w:b w:val="1"/>
          <w:bCs w:val="1"/>
          <w:sz w:val="20"/>
          <w:szCs w:val="20"/>
          <w:u w:val="none"/>
          <w:rtl w:val="0"/>
        </w:rPr>
        <w:t xml:space="preserve">3.3.1.2 Iteration</w:t>
      </w:r>
    </w:p>
    <w:p w:rsidR="00000000" w:rsidDel="00000000" w:rsidP="00000000" w:rsidRDefault="00000000" w:rsidRPr="00000000" w14:paraId="00000355">
      <w:pPr>
        <w:spacing w:after="240" w:before="240" w:lineRule="auto"/>
        <w:rPr>
          <w:color w:val="ff0000"/>
        </w:rPr>
      </w:pPr>
      <w:r w:rsidDel="00000000" w:rsidR="00000000" w:rsidRPr="00000000">
        <w:rPr>
          <w:color w:val="ff0000"/>
          <w:rtl w:val="0"/>
        </w:rPr>
        <w:t xml:space="preserve">[CONTENT NEEDED — no source material in current draft: the current draft presents the software stack specification (Jetson AGX Orin, Python core logic, asynchronous IPC, FastAPI backend) as a single finalised architecture, with no account of intermediate iterations, alternatives considered, or the reasoning by which the current stack was arrived at. Unlike the load cell platform (Section 3.2.2) or the bin boundary representation (Section 3.2.1.7), no iteration narrative for the software stack exists elsewhere in the draft to reorganise here.]</w:t>
      </w:r>
    </w:p>
    <w:p w:rsidR="00000000" w:rsidDel="00000000" w:rsidP="00000000" w:rsidRDefault="00000000" w:rsidRPr="00000000" w14:paraId="00000356">
      <w:pPr>
        <w:pStyle w:val="Heading5"/>
        <w:keepNext w:val="0"/>
        <w:keepLines w:val="0"/>
        <w:spacing w:after="40" w:lineRule="auto"/>
        <w:rPr>
          <w:b w:val="1"/>
          <w:bCs w:val="1"/>
          <w:sz w:val="20"/>
          <w:szCs w:val="20"/>
          <w:u w:val="none"/>
        </w:rPr>
      </w:pPr>
      <w:bookmarkStart w:colFirst="0" w:colLast="0" w:name="_yalipifwq9fu" w:id="51"/>
      <w:bookmarkEnd w:id="51"/>
      <w:r w:rsidDel="00000000" w:rsidR="00000000" w:rsidRPr="00000000">
        <w:rPr>
          <w:b w:val="1"/>
          <w:bCs w:val="1"/>
          <w:sz w:val="20"/>
          <w:szCs w:val="20"/>
          <w:u w:val="none"/>
          <w:rtl w:val="0"/>
        </w:rPr>
        <w:t xml:space="preserve">3.3.1.3 Design Validation</w:t>
      </w:r>
    </w:p>
    <w:p w:rsidR="00000000" w:rsidDel="00000000" w:rsidP="00000000" w:rsidRDefault="00000000" w:rsidRPr="00000000" w14:paraId="00000357">
      <w:pPr>
        <w:spacing w:after="240" w:before="240" w:lineRule="auto"/>
        <w:rPr/>
      </w:pPr>
      <w:r w:rsidDel="00000000" w:rsidR="00000000" w:rsidRPr="00000000">
        <w:rPr>
          <w:rtl w:val="0"/>
        </w:rPr>
        <w:t xml:space="preserve">The software architecture is designed for secure, low-latency, edge-deployed execution. All processing runs entirely on-device via an NVIDIA Jetson AGX Orin, ensuring strict compliance with production data sensitivity requirements by eliminating the need for external network transmission (W-04). The core logic is built in Python, utilizing asynchronous Inter-Process Communication (IPC) to decouple the heavy computer vision inference loop from the load cell polling and user interface web server. A FastAPI backend serves the frontend application locally, ensuring the system can be deployed and configured by plant engineers without requiring specialist cloud infrastructure (W-03).</w:t>
      </w:r>
    </w:p>
    <w:p w:rsidR="00000000" w:rsidDel="00000000" w:rsidP="00000000" w:rsidRDefault="00000000" w:rsidRPr="00000000" w14:paraId="00000358">
      <w:pPr>
        <w:spacing w:after="200" w:lineRule="auto"/>
        <w:rPr>
          <w:color w:val="9900ff"/>
        </w:rPr>
      </w:pPr>
      <w:r w:rsidDel="00000000" w:rsidR="00000000" w:rsidRPr="00000000">
        <w:rPr/>
        <w:drawing>
          <wp:inline distB="114300" distT="114300" distL="114300" distR="114300">
            <wp:extent cx="5943600" cy="2428309"/>
            <wp:effectExtent b="0" l="0" r="0" t="0"/>
            <wp:docPr id="8" name="image16.png"/>
            <a:graphic>
              <a:graphicData uri="http://schemas.openxmlformats.org/drawingml/2006/picture">
                <pic:pic>
                  <pic:nvPicPr>
                    <pic:cNvPr id="0" name="image16.png"/>
                    <pic:cNvPicPr preferRelativeResize="0"/>
                  </pic:nvPicPr>
                  <pic:blipFill>
                    <a:blip r:embed="rId22"/>
                    <a:srcRect b="5901" l="0" r="0" t="19100"/>
                    <a:stretch>
                      <a:fillRect/>
                    </a:stretch>
                  </pic:blipFill>
                  <pic:spPr>
                    <a:xfrm>
                      <a:off x="0" y="0"/>
                      <a:ext cx="5943600" cy="2428309"/>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spacing w:after="240" w:before="240" w:lineRule="auto"/>
        <w:jc w:val="center"/>
        <w:rPr/>
      </w:pPr>
      <w:r w:rsidDel="00000000" w:rsidR="00000000" w:rsidRPr="00000000">
        <w:rPr>
          <w:rtl w:val="0"/>
        </w:rPr>
        <w:t xml:space="preserve">Figure 3.3.1.3.1: Software architecture between sensor pipelines and FastAPI web server. </w:t>
      </w:r>
    </w:p>
    <w:p w:rsidR="00000000" w:rsidDel="00000000" w:rsidP="00000000" w:rsidRDefault="00000000" w:rsidRPr="00000000" w14:paraId="0000035A">
      <w:pPr>
        <w:pStyle w:val="Heading4"/>
        <w:keepNext w:val="0"/>
        <w:keepLines w:val="0"/>
        <w:spacing w:after="40" w:before="240" w:lineRule="auto"/>
        <w:rPr>
          <w:b w:val="1"/>
          <w:bCs w:val="1"/>
          <w:sz w:val="22"/>
          <w:szCs w:val="22"/>
        </w:rPr>
      </w:pPr>
      <w:bookmarkStart w:colFirst="0" w:colLast="0" w:name="_ftft7c3l1lof" w:id="52"/>
      <w:bookmarkEnd w:id="52"/>
      <w:r w:rsidDel="00000000" w:rsidR="00000000" w:rsidRPr="00000000">
        <w:rPr>
          <w:b w:val="1"/>
          <w:bCs w:val="1"/>
          <w:sz w:val="22"/>
          <w:szCs w:val="22"/>
          <w:rtl w:val="0"/>
        </w:rPr>
        <w:t xml:space="preserve">3.3.2 Frontend HMI</w:t>
      </w:r>
    </w:p>
    <w:p w:rsidR="00000000" w:rsidDel="00000000" w:rsidP="00000000" w:rsidRDefault="00000000" w:rsidRPr="00000000" w14:paraId="0000035B">
      <w:pPr>
        <w:pStyle w:val="Heading5"/>
        <w:keepNext w:val="0"/>
        <w:keepLines w:val="0"/>
        <w:spacing w:after="40" w:lineRule="auto"/>
        <w:rPr>
          <w:b w:val="1"/>
          <w:bCs w:val="1"/>
          <w:sz w:val="20"/>
          <w:szCs w:val="20"/>
          <w:u w:val="none"/>
        </w:rPr>
      </w:pPr>
      <w:bookmarkStart w:colFirst="0" w:colLast="0" w:name="_wvy9cgs3y1hh" w:id="53"/>
      <w:bookmarkEnd w:id="53"/>
      <w:r w:rsidDel="00000000" w:rsidR="00000000" w:rsidRPr="00000000">
        <w:rPr>
          <w:b w:val="1"/>
          <w:bCs w:val="1"/>
          <w:sz w:val="20"/>
          <w:szCs w:val="20"/>
          <w:u w:val="none"/>
          <w:rtl w:val="0"/>
        </w:rPr>
        <w:t xml:space="preserve">3.3.2.1 Requirements</w:t>
      </w:r>
    </w:p>
    <w:p w:rsidR="00000000" w:rsidDel="00000000" w:rsidP="00000000" w:rsidRDefault="00000000" w:rsidRPr="00000000" w14:paraId="0000035C">
      <w:pPr>
        <w:spacing w:after="240" w:before="240" w:lineRule="auto"/>
        <w:rPr/>
      </w:pPr>
      <w:r w:rsidDel="00000000" w:rsidR="00000000" w:rsidRPr="00000000">
        <w:rPr>
          <w:rtl w:val="0"/>
        </w:rPr>
        <w:t xml:space="preserve">The frontend HMI is required to render a spatial layout mirroring the physical grid so that bin assignments read intuitively to the operator (FR-07), and to guide the operator through the required workflow without adding manual handling steps (D-04). Upon error detection, the interface must transition to an active alert state within sub-second latency (D-05) and deliver corrective guidance that is specific to the location and nature of the error (D-06), requiring the operator to physically correct the mistake before the kitting sequence is permitted to advance.</w:t>
      </w:r>
    </w:p>
    <w:p w:rsidR="00000000" w:rsidDel="00000000" w:rsidP="00000000" w:rsidRDefault="00000000" w:rsidRPr="00000000" w14:paraId="0000035D">
      <w:pPr>
        <w:pStyle w:val="Heading5"/>
        <w:keepNext w:val="0"/>
        <w:keepLines w:val="0"/>
        <w:spacing w:after="40" w:lineRule="auto"/>
        <w:rPr>
          <w:b w:val="1"/>
          <w:bCs w:val="1"/>
          <w:sz w:val="20"/>
          <w:szCs w:val="20"/>
          <w:u w:val="none"/>
        </w:rPr>
      </w:pPr>
      <w:bookmarkStart w:colFirst="0" w:colLast="0" w:name="_hg1w3nn4dmh1" w:id="54"/>
      <w:bookmarkEnd w:id="54"/>
      <w:r w:rsidDel="00000000" w:rsidR="00000000" w:rsidRPr="00000000">
        <w:rPr>
          <w:b w:val="1"/>
          <w:bCs w:val="1"/>
          <w:sz w:val="20"/>
          <w:szCs w:val="20"/>
          <w:u w:val="none"/>
          <w:rtl w:val="0"/>
        </w:rPr>
        <w:t xml:space="preserve">3.3.2.2 Iteration</w:t>
      </w:r>
    </w:p>
    <w:p w:rsidR="00000000" w:rsidDel="00000000" w:rsidP="00000000" w:rsidRDefault="00000000" w:rsidRPr="00000000" w14:paraId="0000035E">
      <w:pPr>
        <w:spacing w:after="240" w:before="240" w:lineRule="auto"/>
        <w:rPr/>
      </w:pPr>
      <w:r w:rsidDel="00000000" w:rsidR="00000000" w:rsidRPr="00000000">
        <w:rPr>
          <w:rtl w:val="0"/>
        </w:rPr>
        <w:t xml:space="preserve">The frontend subsystem operates on a touchscreen monitor at the kitting workstation, synthesizing computer vision coordinates and active order metadata. To establish an intuitive baseline, it renders a 2D spatial layout mirroring the physical grid (FR-07).</w:t>
      </w:r>
    </w:p>
    <w:p w:rsidR="00000000" w:rsidDel="00000000" w:rsidP="00000000" w:rsidRDefault="00000000" w:rsidRPr="00000000" w14:paraId="0000035F">
      <w:pPr>
        <w:spacing w:after="240" w:before="240" w:lineRule="auto"/>
        <w:rPr/>
      </w:pPr>
      <w:r w:rsidDel="00000000" w:rsidR="00000000" w:rsidRPr="00000000">
        <w:rPr>
          <w:rtl w:val="0"/>
        </w:rPr>
        <w:t xml:space="preserve">To guide the operator through the required workflow without adding manual handling steps (D-04), the UI non-invasively highlights only the current target bin, indicating that the operator must pack sufficient items from this bin before moving on. During correct picking sequences, when the operator's hand enters the active bin, the UI renders a green outline over the bin to confirm a valid interaction. Once the required quantity for that component is completely fulfilled, the bin indicator turns fully green.</w:t>
      </w:r>
    </w:p>
    <w:p w:rsidR="00000000" w:rsidDel="00000000" w:rsidP="00000000" w:rsidRDefault="00000000" w:rsidRPr="00000000" w14:paraId="00000360">
      <w:pPr>
        <w:spacing w:after="240" w:before="240" w:lineRule="auto"/>
        <w:rPr/>
      </w:pPr>
      <w:r w:rsidDel="00000000" w:rsidR="00000000" w:rsidRPr="00000000">
        <w:rPr>
          <w:rtl w:val="0"/>
        </w:rPr>
        <w:t xml:space="preserve">Upon an error trigger, the interface dynamically transitions to an active alert state within sub-second latency (D-05). If an operator reaches into an unprescribed bin, a red cross is rendered directly over the erroneous bin on the UI, delivering immediate, location-specific corrective guidance (D-06). The interface requires the operator to physically correct the mistake before the system allows the kitting sequence to advance.</w:t>
      </w:r>
    </w:p>
    <w:p w:rsidR="00000000" w:rsidDel="00000000" w:rsidP="00000000" w:rsidRDefault="00000000" w:rsidRPr="00000000" w14:paraId="00000361">
      <w:pPr>
        <w:spacing w:after="240" w:before="240" w:lineRule="auto"/>
        <w:jc w:val="center"/>
        <w:rPr/>
      </w:pPr>
      <w:r w:rsidDel="00000000" w:rsidR="00000000" w:rsidRPr="00000000">
        <w:rPr/>
        <w:drawing>
          <wp:inline distB="114300" distT="114300" distL="114300" distR="114300">
            <wp:extent cx="5943600" cy="3348228"/>
            <wp:effectExtent b="0" l="0" r="0" t="0"/>
            <wp:docPr id="18"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943600" cy="3348228"/>
                    </a:xfrm>
                    <a:prstGeom prst="rect"/>
                    <a:ln/>
                  </pic:spPr>
                </pic:pic>
              </a:graphicData>
            </a:graphic>
          </wp:inline>
        </w:drawing>
      </w:r>
      <w:r w:rsidDel="00000000" w:rsidR="00000000" w:rsidRPr="00000000">
        <w:rPr>
          <w:rtl w:val="0"/>
        </w:rPr>
        <w:br w:type="textWrapping"/>
        <w:t xml:space="preserve"> Figure 3.3.2.2.1: Red outline — hand over the wrong bin.</w:t>
      </w:r>
    </w:p>
    <w:p w:rsidR="00000000" w:rsidDel="00000000" w:rsidP="00000000" w:rsidRDefault="00000000" w:rsidRPr="00000000" w14:paraId="00000362">
      <w:pPr>
        <w:spacing w:after="240" w:before="240" w:lineRule="auto"/>
        <w:jc w:val="center"/>
        <w:rPr/>
      </w:pPr>
      <w:r w:rsidDel="00000000" w:rsidR="00000000" w:rsidRPr="00000000">
        <w:rPr/>
        <w:drawing>
          <wp:inline distB="114300" distT="114300" distL="114300" distR="114300">
            <wp:extent cx="5943600" cy="3338322"/>
            <wp:effectExtent b="0" l="0" r="0" t="0"/>
            <wp:docPr id="15"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3.3.2.2.2: Green outline — hand in the correct bin.</w:t>
      </w:r>
    </w:p>
    <w:p w:rsidR="00000000" w:rsidDel="00000000" w:rsidP="00000000" w:rsidRDefault="00000000" w:rsidRPr="00000000" w14:paraId="00000363">
      <w:pPr>
        <w:spacing w:after="240" w:before="240" w:lineRule="auto"/>
        <w:jc w:val="center"/>
        <w:rPr/>
      </w:pPr>
      <w:r w:rsidDel="00000000" w:rsidR="00000000" w:rsidRPr="00000000">
        <w:rPr/>
        <w:drawing>
          <wp:inline distB="114300" distT="114300" distL="114300" distR="114300">
            <wp:extent cx="5943600" cy="3338322"/>
            <wp:effectExtent b="0" l="0" r="0" t="0"/>
            <wp:docPr id="5"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3.3.2.2.3: Target state — only the working bin is active.</w:t>
      </w:r>
    </w:p>
    <w:p w:rsidR="00000000" w:rsidDel="00000000" w:rsidP="00000000" w:rsidRDefault="00000000" w:rsidRPr="00000000" w14:paraId="00000364">
      <w:pPr>
        <w:spacing w:after="240" w:before="240" w:lineRule="auto"/>
        <w:rPr>
          <w:color w:val="ff0000"/>
        </w:rPr>
      </w:pPr>
      <w:r w:rsidDel="00000000" w:rsidR="00000000" w:rsidRPr="00000000">
        <w:rPr>
          <w:rtl w:val="0"/>
        </w:rPr>
        <w:t xml:space="preserve">This subsection should additionally incorporate the HMI iteration driven by usability findings — the six gaps (G1–G6) identified in operator feedback and the corresponding changes mapped in old Table 5.4 — carried forward from the old draft's Section 5.2. </w:t>
      </w:r>
      <w:r w:rsidDel="00000000" w:rsidR="00000000" w:rsidRPr="00000000">
        <w:rPr>
          <w:color w:val="ff0000"/>
          <w:rtl w:val="0"/>
        </w:rPr>
        <w:t xml:space="preserve">[CONTENT NEEDED — placement note: the ground-rules content summary assigns this material to 3.3.2.2, but its natural chronological position is </w:t>
      </w:r>
      <w:r w:rsidDel="00000000" w:rsidR="00000000" w:rsidRPr="00000000">
        <w:rPr>
          <w:i w:val="1"/>
          <w:iCs w:val="1"/>
          <w:color w:val="ff0000"/>
          <w:rtl w:val="0"/>
        </w:rPr>
        <w:t xml:space="preserve">after</w:t>
      </w:r>
      <w:r w:rsidDel="00000000" w:rsidR="00000000" w:rsidRPr="00000000">
        <w:rPr>
          <w:color w:val="ff0000"/>
          <w:rtl w:val="0"/>
        </w:rPr>
        <w:t xml:space="preserve"> the developer testing and user testing phases described in Chapters 4 and 5, since it responds to usability gaps only surfaced during user testing (old Section 5.1.2). Reproducing it here would require presenting the iteration before the findings that motivated it are introduced. Recommend either: (a) leaving a forward cross-reference here and fully placing the G1–G6 iteration content in Chapter 5 (old Section 5.2's original location), or (b) confirming you want it duplicated/summarised in both places. Flagging for your decision rather than silently choosing.]</w:t>
      </w:r>
    </w:p>
    <w:p w:rsidR="00000000" w:rsidDel="00000000" w:rsidP="00000000" w:rsidRDefault="00000000" w:rsidRPr="00000000" w14:paraId="00000365">
      <w:pPr>
        <w:pStyle w:val="Heading5"/>
        <w:keepNext w:val="0"/>
        <w:keepLines w:val="0"/>
        <w:spacing w:after="40" w:lineRule="auto"/>
        <w:rPr>
          <w:b w:val="1"/>
          <w:bCs w:val="1"/>
          <w:sz w:val="20"/>
          <w:szCs w:val="20"/>
          <w:u w:val="none"/>
        </w:rPr>
      </w:pPr>
      <w:bookmarkStart w:colFirst="0" w:colLast="0" w:name="_9tl2ul41s5ar" w:id="55"/>
      <w:bookmarkEnd w:id="55"/>
      <w:r w:rsidDel="00000000" w:rsidR="00000000" w:rsidRPr="00000000">
        <w:rPr>
          <w:b w:val="1"/>
          <w:bCs w:val="1"/>
          <w:sz w:val="20"/>
          <w:szCs w:val="20"/>
          <w:u w:val="none"/>
          <w:rtl w:val="0"/>
        </w:rPr>
        <w:t xml:space="preserve">3.3.2.3 Design Validation</w:t>
      </w:r>
    </w:p>
    <w:p w:rsidR="00000000" w:rsidDel="00000000" w:rsidP="00000000" w:rsidRDefault="00000000" w:rsidRPr="00000000" w14:paraId="00000366">
      <w:pPr>
        <w:spacing w:after="240" w:before="240" w:lineRule="auto"/>
        <w:rPr>
          <w:color w:val="ff0000"/>
        </w:rPr>
      </w:pPr>
      <w:r w:rsidDel="00000000" w:rsidR="00000000" w:rsidRPr="00000000">
        <w:rPr>
          <w:color w:val="ff0000"/>
          <w:rtl w:val="0"/>
        </w:rPr>
        <w:t xml:space="preserve">[CONTENT NEEDED — no source material in current draft: the current draft does not present a separate validation discussion for the frontend HMI at the design stage distinct from the iteration narrative in 3.3.2.2 above. The closest related validation evidence — operator usability ratings (R1–R9) and the TE Connectivity stakeholder's qualitative feedback on the UI — is user-facing, post-integration testing data, and is assigned in the chapter mapping to Chapter 5 (Sections 5.3/5.4) rather than to this design-validation subsection.]</w:t>
      </w:r>
    </w:p>
    <w:p w:rsidR="00000000" w:rsidDel="00000000" w:rsidP="00000000" w:rsidRDefault="00000000" w:rsidRPr="00000000" w14:paraId="00000367">
      <w:pPr>
        <w:pStyle w:val="Heading4"/>
        <w:keepNext w:val="0"/>
        <w:keepLines w:val="0"/>
        <w:spacing w:after="40" w:before="240" w:lineRule="auto"/>
        <w:rPr>
          <w:b w:val="1"/>
          <w:bCs w:val="1"/>
          <w:sz w:val="22"/>
          <w:szCs w:val="22"/>
        </w:rPr>
      </w:pPr>
      <w:bookmarkStart w:colFirst="0" w:colLast="0" w:name="_2j3znu4rxqm2" w:id="56"/>
      <w:bookmarkEnd w:id="56"/>
      <w:r w:rsidDel="00000000" w:rsidR="00000000" w:rsidRPr="00000000">
        <w:rPr>
          <w:b w:val="1"/>
          <w:bCs w:val="1"/>
          <w:sz w:val="22"/>
          <w:szCs w:val="22"/>
          <w:rtl w:val="0"/>
        </w:rPr>
        <w:t xml:space="preserve">3.3.3 Backend Processing Engine</w:t>
      </w:r>
    </w:p>
    <w:p w:rsidR="00000000" w:rsidDel="00000000" w:rsidP="00000000" w:rsidRDefault="00000000" w:rsidRPr="00000000" w14:paraId="00000368">
      <w:pPr>
        <w:pStyle w:val="Heading5"/>
        <w:keepNext w:val="0"/>
        <w:keepLines w:val="0"/>
        <w:spacing w:after="40" w:lineRule="auto"/>
        <w:rPr>
          <w:b w:val="1"/>
          <w:bCs w:val="1"/>
          <w:sz w:val="20"/>
          <w:szCs w:val="20"/>
          <w:u w:val="none"/>
        </w:rPr>
      </w:pPr>
      <w:bookmarkStart w:colFirst="0" w:colLast="0" w:name="_iohok69xisth" w:id="57"/>
      <w:bookmarkEnd w:id="57"/>
      <w:r w:rsidDel="00000000" w:rsidR="00000000" w:rsidRPr="00000000">
        <w:rPr>
          <w:b w:val="1"/>
          <w:bCs w:val="1"/>
          <w:sz w:val="20"/>
          <w:szCs w:val="20"/>
          <w:u w:val="none"/>
          <w:rtl w:val="0"/>
        </w:rPr>
        <w:t xml:space="preserve">3.3.3.1 Requirements</w:t>
      </w:r>
    </w:p>
    <w:p w:rsidR="00000000" w:rsidDel="00000000" w:rsidP="00000000" w:rsidRDefault="00000000" w:rsidRPr="00000000" w14:paraId="00000369">
      <w:pPr>
        <w:spacing w:after="240" w:before="240" w:lineRule="auto"/>
        <w:rPr/>
      </w:pPr>
      <w:r w:rsidDel="00000000" w:rsidR="00000000" w:rsidRPr="00000000">
        <w:rPr>
          <w:rtl w:val="0"/>
        </w:rPr>
        <w:t xml:space="preserve">The backend processing engine is required to ingest hand-landmark tracking and load-cell mass data in real time and evaluate them against pre-loaded order rules (FR-07). It must enforce detection of wrong-part placement (D-02) and missing-part conditions at kit completion (D-03), derive quantity counts from passive weight changes so that new component types can be onboarded by updating configuration data alone, without requiring model retraining (D-07). It must additionally expose logged state transitions and fault events so that supervisory personnel can obtain visibility of kitting status without physically attending the workstation (D-09), and its architecture must support extension to multiple concurrent workstations without fundamental redesign (D-10).</w:t>
      </w:r>
    </w:p>
    <w:p w:rsidR="00000000" w:rsidDel="00000000" w:rsidP="00000000" w:rsidRDefault="00000000" w:rsidRPr="00000000" w14:paraId="0000036A">
      <w:pPr>
        <w:pStyle w:val="Heading5"/>
        <w:keepNext w:val="0"/>
        <w:keepLines w:val="0"/>
        <w:spacing w:after="40" w:lineRule="auto"/>
        <w:rPr>
          <w:b w:val="1"/>
          <w:bCs w:val="1"/>
          <w:sz w:val="20"/>
          <w:szCs w:val="20"/>
          <w:u w:val="none"/>
        </w:rPr>
      </w:pPr>
      <w:bookmarkStart w:colFirst="0" w:colLast="0" w:name="_nlko1vho5567" w:id="58"/>
      <w:bookmarkEnd w:id="58"/>
      <w:r w:rsidDel="00000000" w:rsidR="00000000" w:rsidRPr="00000000">
        <w:rPr>
          <w:b w:val="1"/>
          <w:bCs w:val="1"/>
          <w:sz w:val="20"/>
          <w:szCs w:val="20"/>
          <w:u w:val="none"/>
          <w:rtl w:val="0"/>
        </w:rPr>
        <w:t xml:space="preserve">3.3.3.2 Iteration</w:t>
      </w:r>
    </w:p>
    <w:p w:rsidR="00000000" w:rsidDel="00000000" w:rsidP="00000000" w:rsidRDefault="00000000" w:rsidRPr="00000000" w14:paraId="0000036B">
      <w:pPr>
        <w:spacing w:after="240" w:before="240" w:lineRule="auto"/>
        <w:rPr>
          <w:color w:val="ff0000"/>
        </w:rPr>
      </w:pPr>
      <w:r w:rsidDel="00000000" w:rsidR="00000000" w:rsidRPr="00000000">
        <w:rPr>
          <w:color w:val="ff0000"/>
          <w:rtl w:val="0"/>
        </w:rPr>
        <w:t xml:space="preserve">[CONTENT NEEDED — no source material in current draft: as with the software stack specification (Section 3.3.1.2), the current draft presents the backend processing engine's finite state machine as a single finalised design, with no account of intermediate iterations or alternative approaches considered prior to arriving at the sequential single-bin FSM architecture described in Section 3.3.3.3. No iteration narrative exists elsewhere in the draft to reorganise here.]</w:t>
      </w:r>
    </w:p>
    <w:p w:rsidR="00000000" w:rsidDel="00000000" w:rsidP="00000000" w:rsidRDefault="00000000" w:rsidRPr="00000000" w14:paraId="0000036C">
      <w:pPr>
        <w:pStyle w:val="Heading5"/>
        <w:keepNext w:val="0"/>
        <w:keepLines w:val="0"/>
        <w:spacing w:after="40" w:lineRule="auto"/>
        <w:rPr>
          <w:b w:val="1"/>
          <w:bCs w:val="1"/>
          <w:sz w:val="20"/>
          <w:szCs w:val="20"/>
          <w:u w:val="none"/>
        </w:rPr>
      </w:pPr>
      <w:bookmarkStart w:colFirst="0" w:colLast="0" w:name="_a195lvnlzc4u" w:id="59"/>
      <w:bookmarkEnd w:id="59"/>
      <w:r w:rsidDel="00000000" w:rsidR="00000000" w:rsidRPr="00000000">
        <w:rPr>
          <w:b w:val="1"/>
          <w:bCs w:val="1"/>
          <w:sz w:val="20"/>
          <w:szCs w:val="20"/>
          <w:u w:val="none"/>
          <w:rtl w:val="0"/>
        </w:rPr>
        <w:t xml:space="preserve">3.3.3.3 Design Validation</w:t>
      </w:r>
    </w:p>
    <w:p w:rsidR="00000000" w:rsidDel="00000000" w:rsidP="00000000" w:rsidRDefault="00000000" w:rsidRPr="00000000" w14:paraId="0000036D">
      <w:pPr>
        <w:spacing w:after="240" w:before="240" w:lineRule="auto"/>
        <w:rPr/>
      </w:pPr>
      <w:r w:rsidDel="00000000" w:rsidR="00000000" w:rsidRPr="00000000">
        <w:rPr>
          <w:rtl w:val="0"/>
        </w:rPr>
        <w:t xml:space="preserve">Operating as an asynchronous background service, the backend ingests 30 FPS hand-landmark tracking and continuous load-cell mass data into an in-memory state repository. The core decision logic is governed by a deterministic Finite State Machine (FSM) that evaluates these incoming sensor streams against pre-loaded order rules.</w:t>
      </w:r>
    </w:p>
    <w:p w:rsidR="00000000" w:rsidDel="00000000" w:rsidP="00000000" w:rsidRDefault="00000000" w:rsidRPr="00000000" w14:paraId="0000036E">
      <w:pPr>
        <w:spacing w:after="240" w:before="240" w:lineRule="auto"/>
        <w:rPr/>
      </w:pPr>
      <w:r w:rsidDel="00000000" w:rsidR="00000000" w:rsidRPr="00000000">
        <w:rPr>
          <w:rtl w:val="0"/>
        </w:rPr>
        <w:t xml:space="preserve">Crucially, the FSM enforces a sequential single-bin kitting workflow. It requires the operator to fulfil one specific component type at a time, keeping only one bin "active" in the system state. As the operator picks items, the FSM evaluates signed mass deltas from the load cells against the component's unit weight to track the quantity picked (D-04). Once the target count is reached, the FSM marks the component as complete and sequentially activates the next bin in the order.</w:t>
      </w:r>
    </w:p>
    <w:p w:rsidR="00000000" w:rsidDel="00000000" w:rsidP="00000000" w:rsidRDefault="00000000" w:rsidRPr="00000000" w14:paraId="0000036F">
      <w:pPr>
        <w:spacing w:after="240" w:before="240" w:lineRule="auto"/>
        <w:rPr/>
      </w:pPr>
      <w:r w:rsidDel="00000000" w:rsidR="00000000" w:rsidRPr="00000000">
        <w:rPr>
          <w:rtl w:val="0"/>
        </w:rPr>
        <w:t xml:space="preserve">The FSM continuously tracks this progression and actively flags fault states. If an operator accesses any unprescribed bin while an active bin is still incomplete, the FSM immediately triggers a Wrong-Bin or Out-of-Sequence state (D-01, D-02). Upon order completion, the FSM verifies that all required SKU quantities across all sequence steps have been satisfied before authorizing kit sign-off, ensuring strict missing-part detection (D-03). Because the architecture derives pick counts directly from passive weight changes, new component types are onboarded seamlessly by simply updating the configuration database with the new SKU identity and unit mass (D-07).</w:t>
      </w:r>
    </w:p>
    <w:p w:rsidR="00000000" w:rsidDel="00000000" w:rsidP="00000000" w:rsidRDefault="00000000" w:rsidRPr="00000000" w14:paraId="00000370">
      <w:pPr>
        <w:spacing w:after="240" w:before="240" w:lineRule="auto"/>
        <w:rPr/>
      </w:pPr>
      <w:r w:rsidDel="00000000" w:rsidR="00000000" w:rsidRPr="00000000">
        <w:rPr>
          <w:rtl w:val="0"/>
        </w:rPr>
        <w:t xml:space="preserve">Furthermore, because the backend continuously logs these FSM state transitions and fault triggers, the data can be queried over the local network to provide real-time dashboard visibility to supervisory personnel without requiring them to physically attend the workstation (D-09).</w:t>
      </w:r>
    </w:p>
    <w:p w:rsidR="00000000" w:rsidDel="00000000" w:rsidP="00000000" w:rsidRDefault="00000000" w:rsidRPr="00000000" w14:paraId="00000371">
      <w:pPr>
        <w:pStyle w:val="Heading3"/>
        <w:keepNext w:val="0"/>
        <w:keepLines w:val="0"/>
        <w:spacing w:before="280" w:lineRule="auto"/>
        <w:rPr>
          <w:sz w:val="26"/>
          <w:szCs w:val="26"/>
        </w:rPr>
      </w:pPr>
      <w:bookmarkStart w:colFirst="0" w:colLast="0" w:name="_6eq15bk5nqz9" w:id="60"/>
      <w:bookmarkEnd w:id="60"/>
      <w:r w:rsidDel="00000000" w:rsidR="00000000" w:rsidRPr="00000000">
        <w:rPr>
          <w:sz w:val="26"/>
          <w:szCs w:val="26"/>
          <w:rtl w:val="0"/>
        </w:rPr>
        <w:t xml:space="preserve">3.4 System Integration</w:t>
      </w:r>
    </w:p>
    <w:p w:rsidR="00000000" w:rsidDel="00000000" w:rsidP="00000000" w:rsidRDefault="00000000" w:rsidRPr="00000000" w14:paraId="00000372">
      <w:pPr>
        <w:pStyle w:val="Heading4"/>
        <w:keepNext w:val="0"/>
        <w:keepLines w:val="0"/>
        <w:spacing w:after="40" w:before="240" w:lineRule="auto"/>
        <w:rPr>
          <w:b w:val="1"/>
          <w:bCs w:val="1"/>
          <w:sz w:val="22"/>
          <w:szCs w:val="22"/>
        </w:rPr>
      </w:pPr>
      <w:bookmarkStart w:colFirst="0" w:colLast="0" w:name="_95izv44kruon" w:id="61"/>
      <w:bookmarkEnd w:id="61"/>
      <w:r w:rsidDel="00000000" w:rsidR="00000000" w:rsidRPr="00000000">
        <w:rPr>
          <w:b w:val="1"/>
          <w:bCs w:val="1"/>
          <w:sz w:val="22"/>
          <w:szCs w:val="22"/>
          <w:rtl w:val="0"/>
        </w:rPr>
        <w:t xml:space="preserve">3.4.1 Requirements</w:t>
      </w:r>
    </w:p>
    <w:p w:rsidR="00000000" w:rsidDel="00000000" w:rsidP="00000000" w:rsidRDefault="00000000" w:rsidRPr="00000000" w14:paraId="00000373">
      <w:pPr>
        <w:spacing w:after="240" w:before="240" w:lineRule="auto"/>
        <w:rPr/>
      </w:pPr>
      <w:r w:rsidDel="00000000" w:rsidR="00000000" w:rsidRPr="00000000">
        <w:rPr>
          <w:rtl w:val="0"/>
        </w:rPr>
        <w:t xml:space="preserve">System integration is required to bring the independently prototyped computer vision, load cell, and HMI subsystems (Sections 3.2–3.3) together into a unified real-time pipeline, following the system architecture established in Chapter 2. The integrated pipeline must maintain the frame-rate performance of the sensing subsystems independently of HMI refresh timing, so that neither computer vision inference nor load cell polling is bottlenecked by interface rendering (D-05, W-01). This requirement directly motivated the decoupled orchestration architecture described in Section 3.4.2.</w:t>
      </w:r>
    </w:p>
    <w:p w:rsidR="00000000" w:rsidDel="00000000" w:rsidP="00000000" w:rsidRDefault="00000000" w:rsidRPr="00000000" w14:paraId="00000374">
      <w:pPr>
        <w:pStyle w:val="Heading4"/>
        <w:keepNext w:val="0"/>
        <w:keepLines w:val="0"/>
        <w:spacing w:after="40" w:before="240" w:lineRule="auto"/>
        <w:rPr>
          <w:b w:val="1"/>
          <w:bCs w:val="1"/>
          <w:sz w:val="22"/>
          <w:szCs w:val="22"/>
        </w:rPr>
      </w:pPr>
      <w:bookmarkStart w:colFirst="0" w:colLast="0" w:name="_qqo82q5rv8vy" w:id="62"/>
      <w:bookmarkEnd w:id="62"/>
      <w:r w:rsidDel="00000000" w:rsidR="00000000" w:rsidRPr="00000000">
        <w:rPr>
          <w:b w:val="1"/>
          <w:bCs w:val="1"/>
          <w:sz w:val="22"/>
          <w:szCs w:val="22"/>
          <w:rtl w:val="0"/>
        </w:rPr>
        <w:t xml:space="preserve">3.4.2 Iteration</w:t>
      </w:r>
    </w:p>
    <w:p>
      <w:pPr>
        <w:spacing w:line="276" w:lineRule="auto" w:after="120"/>
      </w:pPr>
      <w:r>
        <w:rPr>
          <w:rFonts w:ascii="Calibri" w:hAnsi="Calibri"/>
          <w:sz w:val="22"/>
        </w:rPr>
        <w:t>The integration of the system directly follows the system architecture established in Chapter 2, merging the structural, electrical, and software components. Rather than undergoing multiple development iterations, the system integration was designed to meet all functional and non-functional requirements in its first version. This single-iteration success was enabled by pre-testing individual components and utilizing a decoupled, thread-safe software architecture. The physical setup of the integrated workstation features the overhead camera mount, the load-cell platform beneath the bins, and the operator-facing HMI dashboard, allowing for passive, real-time kitting validation.</w:t>
      </w:r>
    </w:p>
    <w:p>
      <w:pPr>
        <w:spacing w:line="276" w:lineRule="auto" w:after="120"/>
        <w:jc w:val="center"/>
      </w:pPr>
      <w:r>
        <w:rPr>
          <w:rFonts w:ascii="Calibri" w:hAnsi="Calibri"/>
          <w:b/>
          <w:color w:val="000000"/>
          <w:sz w:val="20"/>
        </w:rPr>
        <w:t>Figure 3.4.2.1: Fully integrated AEGIS workstation setup, transitioning from the CAD model to the physical prototype.</w:t>
      </w:r>
    </w:p>
    <w:p>
      <w:pPr>
        <w:spacing w:line="276" w:lineRule="auto" w:after="120"/>
      </w:pPr>
      <w:r>
        <w:rPr>
          <w:rFonts w:ascii="Calibri" w:hAnsi="Calibri"/>
          <w:sz w:val="22"/>
        </w:rPr>
        <w:t>To coordinate the hardware components, a unified electrical architecture was established. An NVIDIA Jetson AGX Orin serves as the central edge processor, hosting the pipeline. The overhead camera is connected directly to the Jetson via USB 3.0. The load-cell platforms beneath the bins are wired to HX711 24-bit ADCs, which communicate with an ESP32 microcontroller that streams weight data to the Jetson over USB Serial. Real-time audio alerts are supplied by a physical buzzer connected directly to the Jetson's GPIO pins, switched via an NPN transistor driver circuit. Figure 3.4.2.2 shows the wiring and signal pathways.</w:t>
      </w:r>
    </w:p>
    <w:p>
      <w:pPr>
        <w:spacing w:line="276" w:lineRule="auto" w:after="120" w:before="120"/>
        <w:jc w:val="center"/>
      </w:pPr>
      <w:r/>
      <w:r>
        <w:drawing>
          <wp:inline>
            <wp:extent cx="5303520" cy="3331667"/>
            <wp:docPr id="22" name="Picture 22"/>
            <wp:cNvGraphicFramePr>
              <a:graphicFrameLocks noChangeAspect="1"/>
            </wp:cNvGraphicFramePr>
            <a:graphic>
              <a:graphicData uri="http://schemas.openxmlformats.org/drawingml/2006/picture">
                <pic:pic>
                  <pic:nvPicPr>
                    <pic:cNvPr id="0" name="electrical_architecture.png"/>
                    <pic:cNvPicPr/>
                  </pic:nvPicPr>
                  <pic:blipFill>
                    <a:blip r:embed="rId34"/>
                    <a:stretch>
                      <a:fillRect/>
                    </a:stretch>
                  </pic:blipFill>
                  <pic:spPr>
                    <a:xfrm>
                      <a:off x="0" y="0"/>
                      <a:ext cx="5303520" cy="3331667"/>
                    </a:xfrm>
                    <a:prstGeom prst="rect"/>
                  </pic:spPr>
                </pic:pic>
              </a:graphicData>
            </a:graphic>
          </wp:inline>
        </w:drawing>
      </w:r>
    </w:p>
    <w:p>
      <w:pPr>
        <w:spacing w:line="276" w:lineRule="auto" w:after="120"/>
      </w:pPr>
      <w:r>
        <w:rPr>
          <w:rFonts w:ascii="Calibri" w:hAnsi="Calibri"/>
          <w:sz w:val="22"/>
        </w:rPr>
        <w:t>The software integration coordinates the real-time processing loop, executing a deterministic sequence of operations to verify manual kitting picks. The procedural logic proceeds as shown in the system flowchart in Figure 3.4.2.3. First, the camera frame is captured. The YOLOv8-OBB model identifies the active bin coordinates to define spatial geofences. The frame is then passed to the MediaPipe Hand Landmarker to detect hand keypoints. If a hand is present, the assignment engine evaluates its position relative to the geofences, applying the Occlusion Gate to correct for physical shelf-lip blockages. Concurrently, the load-cell thread reads weight changes from the ESP32. The sequential single-bin finite state machine (FSM) combines these inputs to validate the pick-and-place action. If a sequence or quantity fault is detected, the HMI updates its red banner and the GPIO line drives the buzzer. If the pick is valid, the counts are updated, and the HMI displays a green confirmation.</w:t>
      </w:r>
    </w:p>
    <w:p>
      <w:pPr>
        <w:spacing w:line="276" w:lineRule="auto" w:after="120" w:before="120"/>
        <w:jc w:val="center"/>
      </w:pPr>
      <w:r/>
      <w:r>
        <w:drawing>
          <wp:inline>
            <wp:extent cx="5029200" cy="6354674"/>
            <wp:docPr id="23" name="Picture 23"/>
            <wp:cNvGraphicFramePr>
              <a:graphicFrameLocks noChangeAspect="1"/>
            </wp:cNvGraphicFramePr>
            <a:graphic>
              <a:graphicData uri="http://schemas.openxmlformats.org/drawingml/2006/picture">
                <pic:pic>
                  <pic:nvPicPr>
                    <pic:cNvPr id="0" name="system_flowchart.png"/>
                    <pic:cNvPicPr/>
                  </pic:nvPicPr>
                  <pic:blipFill>
                    <a:blip r:embed="rId35"/>
                    <a:stretch>
                      <a:fillRect/>
                    </a:stretch>
                  </pic:blipFill>
                  <pic:spPr>
                    <a:xfrm>
                      <a:off x="0" y="0"/>
                      <a:ext cx="5029200" cy="6354674"/>
                    </a:xfrm>
                    <a:prstGeom prst="rect"/>
                  </pic:spPr>
                </pic:pic>
              </a:graphicData>
            </a:graphic>
          </wp:inline>
        </w:drawing>
      </w:r>
    </w:p>
    <w:p>
      <w:pPr>
        <w:spacing w:line="276" w:lineRule="auto" w:after="120"/>
      </w:pPr>
      <w:r>
        <w:rPr>
          <w:rFonts w:ascii="Calibri" w:hAnsi="Calibri"/>
          <w:sz w:val="22"/>
        </w:rPr>
        <w:t>The computer vision and load cell threads write to a shared PipelineState cache, while the FastAPI web server reads from it independently. This decoupling ensures that the sensing loop runs at full frame rate regardless of HMI refresh timing, as shown in the data flow diagram in Figure 3.4.2.4.</w:t>
      </w:r>
    </w:p>
    <w:p>
      <w:pPr>
        <w:spacing w:line="276" w:lineRule="auto" w:after="120"/>
        <w:jc w:val="center"/>
      </w:pPr>
      <w:r>
        <w:rPr>
          <w:rFonts w:ascii="Calibri" w:hAnsi="Calibri"/>
          <w:b/>
          <w:color w:val="000000"/>
          <w:sz w:val="20"/>
        </w:rPr>
        <w:t>Figure 3.4.2.4: Real-time processing loop data flow diagram.</w:t>
      </w:r>
    </w:p>
    <w:p w:rsidR="00000000" w:rsidDel="00000000" w:rsidP="00000000" w:rsidRDefault="00000000" w:rsidRPr="00000000" w14:paraId="0000037B">
      <w:pPr>
        <w:pStyle w:val="Heading4"/>
        <w:keepNext w:val="0"/>
        <w:keepLines w:val="0"/>
        <w:spacing w:after="40" w:before="240" w:lineRule="auto"/>
        <w:rPr>
          <w:b w:val="1"/>
          <w:bCs w:val="1"/>
          <w:sz w:val="22"/>
          <w:szCs w:val="22"/>
        </w:rPr>
      </w:pPr>
      <w:bookmarkStart w:colFirst="0" w:colLast="0" w:name="_dtikdcq20vhb" w:id="63"/>
      <w:bookmarkEnd w:id="63"/>
      <w:r w:rsidDel="00000000" w:rsidR="00000000" w:rsidRPr="00000000">
        <w:rPr>
          <w:b w:val="1"/>
          <w:bCs w:val="1"/>
          <w:sz w:val="22"/>
          <w:szCs w:val="22"/>
          <w:rtl w:val="0"/>
        </w:rPr>
        <w:t xml:space="preserve">3.4.3 Design Validation</w:t>
      </w:r>
    </w:p>
    <w:p w:rsidR="00000000" w:rsidDel="00000000" w:rsidP="00000000" w:rsidRDefault="00000000" w:rsidRPr="00000000" w14:paraId="0000037C">
      <w:pPr>
        <w:spacing w:after="120" w:before="240" w:lineRule="auto" w:line="276"/>
        <w:rPr>
          <w:color w:val="ff0000"/>
        </w:rPr>
      </w:pPr>
      <w:r/>
      <w:r>
        <w:rPr>
          <w:rFonts w:ascii="Calibri" w:hAnsi="Calibri"/>
          <w:sz w:val="22"/>
        </w:rPr>
        <w:t>To validate the decoupling performance of the system architecture, benchmarking was conducted under two test configurations: (1) running the CV thread alone (without HMI dashboard and load cell polling), and (2) running the CV thread alongside HMI dashboard and load cell polling (full load). The results in Table 3.4.3.1 demonstrate that the real-time processing loop (CV Thread) is fully isolated from user-facing and external device polling processes, preserving a consistent processing rate and low latency.</w:t>
      </w:r>
    </w:p>
    <w:p>
      <w:pPr>
        <w:spacing w:before="240" w:after="80"/>
        <w:jc w:val="center"/>
      </w:pPr>
      <w:r>
        <w:rPr>
          <w:rFonts w:ascii="Calibri" w:hAnsi="Calibri"/>
          <w:b/>
          <w:color w:val="000000"/>
          <w:sz w:val="20"/>
        </w:rPr>
        <w:t>Table 3.4.3.1: Pipeline decoupling validation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872"/>
        <w:gridCol w:w="1872"/>
        <w:gridCol w:w="1872"/>
        <w:gridCol w:w="1872"/>
        <w:gridCol w:w="1872"/>
      </w:tblGrid>
      <w:tr>
        <w:trPr>
          <w:tblHeader/>
        </w:trPr>
        <w:tc>
          <w:tcPr>
            <w:tcW w:type="dxa" w:w="1872"/>
            <w:shd w:val="clear" w:color="auto" w:fill="1F4E79"/>
          </w:tcPr>
          <w:p>
            <w:pPr>
              <w:spacing w:before="60" w:after="60"/>
            </w:pPr>
            <w:r>
              <w:rPr>
                <w:rFonts w:ascii="Calibri" w:hAnsi="Calibri"/>
                <w:b/>
                <w:color w:val="FFFFFF"/>
                <w:sz w:val="18"/>
              </w:rPr>
              <w:t>Metric</w:t>
            </w:r>
          </w:p>
        </w:tc>
        <w:tc>
          <w:tcPr>
            <w:tcW w:type="dxa" w:w="1872"/>
            <w:shd w:val="clear" w:color="auto" w:fill="1F4E79"/>
          </w:tcPr>
          <w:p>
            <w:pPr>
              <w:spacing w:before="60" w:after="60"/>
            </w:pPr>
            <w:r>
              <w:rPr>
                <w:rFonts w:ascii="Calibri" w:hAnsi="Calibri"/>
                <w:b/>
                <w:color w:val="FFFFFF"/>
                <w:sz w:val="18"/>
              </w:rPr>
              <w:t>CV Thread Alone</w:t>
            </w:r>
          </w:p>
        </w:tc>
        <w:tc>
          <w:tcPr>
            <w:tcW w:type="dxa" w:w="1872"/>
            <w:shd w:val="clear" w:color="auto" w:fill="1F4E79"/>
          </w:tcPr>
          <w:p>
            <w:pPr>
              <w:spacing w:before="60" w:after="60"/>
            </w:pPr>
            <w:r>
              <w:rPr>
                <w:rFonts w:ascii="Calibri" w:hAnsi="Calibri"/>
                <w:b/>
                <w:color w:val="FFFFFF"/>
                <w:sz w:val="18"/>
              </w:rPr>
              <w:t>CV Thread + HMI + Load Cell Polling (full load)</w:t>
            </w:r>
          </w:p>
        </w:tc>
        <w:tc>
          <w:tcPr>
            <w:tcW w:type="dxa" w:w="1872"/>
            <w:shd w:val="clear" w:color="auto" w:fill="1F4E79"/>
          </w:tcPr>
          <w:p>
            <w:pPr>
              <w:spacing w:before="60" w:after="60"/>
            </w:pPr>
            <w:r>
              <w:rPr>
                <w:rFonts w:ascii="Calibri" w:hAnsi="Calibri"/>
                <w:b/>
                <w:color w:val="FFFFFF"/>
                <w:sz w:val="18"/>
              </w:rPr>
              <w:t>Δ</w:t>
            </w:r>
          </w:p>
        </w:tc>
        <w:tc>
          <w:tcPr>
            <w:tcW w:type="dxa" w:w="1872"/>
            <w:shd w:val="clear" w:color="auto" w:fill="1F4E79"/>
          </w:tcPr>
          <w:p>
            <w:pPr>
              <w:spacing w:before="60" w:after="60"/>
            </w:pPr>
            <w:r>
              <w:rPr>
                <w:rFonts w:ascii="Calibri" w:hAnsi="Calibri"/>
                <w:b/>
                <w:color w:val="FFFFFF"/>
                <w:sz w:val="18"/>
              </w:rPr>
              <w:t>Notes</w:t>
            </w:r>
          </w:p>
        </w:tc>
      </w:tr>
      <w:tr>
        <w:tc>
          <w:tcPr>
            <w:tcW w:type="dxa" w:w="1872"/>
            <w:shd w:val="clear" w:color="auto" w:fill="F2F4F7"/>
          </w:tcPr>
          <w:p>
            <w:pPr>
              <w:spacing w:before="60" w:after="60"/>
            </w:pPr>
            <w:r>
              <w:rPr>
                <w:rFonts w:ascii="Calibri" w:hAnsi="Calibri"/>
                <w:b/>
                <w:sz w:val="18"/>
              </w:rPr>
              <w:t>CV thread FPS</w:t>
            </w:r>
          </w:p>
        </w:tc>
        <w:tc>
          <w:tcPr>
            <w:tcW w:type="dxa" w:w="1872"/>
            <w:shd w:val="clear" w:color="auto" w:fill="F2F4F7"/>
          </w:tcPr>
          <w:p>
            <w:pPr>
              <w:spacing w:before="60" w:after="60"/>
            </w:pPr>
            <w:r>
              <w:rPr>
                <w:rFonts w:ascii="Calibri" w:hAnsi="Calibri"/>
                <w:sz w:val="18"/>
              </w:rPr>
              <w:t>29.7 FPS</w:t>
            </w:r>
          </w:p>
        </w:tc>
        <w:tc>
          <w:tcPr>
            <w:tcW w:type="dxa" w:w="1872"/>
            <w:shd w:val="clear" w:color="auto" w:fill="F2F4F7"/>
          </w:tcPr>
          <w:p>
            <w:pPr>
              <w:spacing w:before="60" w:after="60"/>
            </w:pPr>
            <w:r>
              <w:rPr>
                <w:rFonts w:ascii="Calibri" w:hAnsi="Calibri"/>
                <w:sz w:val="18"/>
              </w:rPr>
              <w:t>29.6 FPS</w:t>
            </w:r>
          </w:p>
        </w:tc>
        <w:tc>
          <w:tcPr>
            <w:tcW w:type="dxa" w:w="1872"/>
            <w:shd w:val="clear" w:color="auto" w:fill="F2F4F7"/>
          </w:tcPr>
          <w:p>
            <w:pPr>
              <w:spacing w:before="60" w:after="60"/>
            </w:pPr>
            <w:r>
              <w:rPr>
                <w:rFonts w:ascii="Calibri" w:hAnsi="Calibri"/>
                <w:sz w:val="18"/>
              </w:rPr>
              <w:t>-0.1 FPS (-0.4%)</w:t>
            </w:r>
          </w:p>
        </w:tc>
        <w:tc>
          <w:tcPr>
            <w:tcW w:type="dxa" w:w="1872"/>
            <w:shd w:val="clear" w:color="auto" w:fill="F2F4F7"/>
          </w:tcPr>
          <w:p>
            <w:pPr>
              <w:spacing w:before="60" w:after="60"/>
            </w:pPr>
            <w:r>
              <w:rPr>
                <w:rFonts w:ascii="Calibri" w:hAnsi="Calibri"/>
                <w:sz w:val="18"/>
              </w:rPr>
              <w:t>CV processing rate stays identical under full load.</w:t>
            </w:r>
          </w:p>
        </w:tc>
      </w:tr>
      <w:tr>
        <w:tc>
          <w:tcPr>
            <w:tcW w:type="dxa" w:w="1872"/>
            <w:shd w:val="clear" w:color="auto" w:fill="FFFFFF"/>
          </w:tcPr>
          <w:p>
            <w:pPr>
              <w:spacing w:before="60" w:after="60"/>
            </w:pPr>
            <w:r>
              <w:rPr>
                <w:rFonts w:ascii="Calibri" w:hAnsi="Calibri"/>
                <w:b/>
                <w:sz w:val="18"/>
              </w:rPr>
              <w:t>End-to-end alert latency (mean, ms)</w:t>
            </w:r>
          </w:p>
        </w:tc>
        <w:tc>
          <w:tcPr>
            <w:tcW w:type="dxa" w:w="1872"/>
            <w:shd w:val="clear" w:color="auto" w:fill="FFFFFF"/>
          </w:tcPr>
          <w:p>
            <w:pPr>
              <w:spacing w:before="60" w:after="60"/>
            </w:pPr>
            <w:r>
              <w:rPr>
                <w:rFonts w:ascii="Calibri" w:hAnsi="Calibri"/>
                <w:sz w:val="18"/>
              </w:rPr>
              <w:t>13.87 ms</w:t>
            </w:r>
          </w:p>
        </w:tc>
        <w:tc>
          <w:tcPr>
            <w:tcW w:type="dxa" w:w="1872"/>
            <w:shd w:val="clear" w:color="auto" w:fill="FFFFFF"/>
          </w:tcPr>
          <w:p>
            <w:pPr>
              <w:spacing w:before="60" w:after="60"/>
            </w:pPr>
            <w:r>
              <w:rPr>
                <w:rFonts w:ascii="Calibri" w:hAnsi="Calibri"/>
                <w:sz w:val="18"/>
              </w:rPr>
              <w:t>12.75 ms</w:t>
            </w:r>
          </w:p>
        </w:tc>
        <w:tc>
          <w:tcPr>
            <w:tcW w:type="dxa" w:w="1872"/>
            <w:shd w:val="clear" w:color="auto" w:fill="FFFFFF"/>
          </w:tcPr>
          <w:p>
            <w:pPr>
              <w:spacing w:before="60" w:after="60"/>
            </w:pPr>
            <w:r>
              <w:rPr>
                <w:rFonts w:ascii="Calibri" w:hAnsi="Calibri"/>
                <w:sz w:val="18"/>
              </w:rPr>
              <w:t>-1.12 ms</w:t>
            </w:r>
          </w:p>
        </w:tc>
        <w:tc>
          <w:tcPr>
            <w:tcW w:type="dxa" w:w="1872"/>
            <w:shd w:val="clear" w:color="auto" w:fill="FFFFFF"/>
          </w:tcPr>
          <w:p>
            <w:pPr>
              <w:spacing w:before="60" w:after="60"/>
            </w:pPr>
            <w:r>
              <w:rPr>
                <w:rFonts w:ascii="Calibri" w:hAnsi="Calibri"/>
                <w:sz w:val="18"/>
              </w:rPr>
              <w:t>Includes shared memory sync + HTTP serialization.</w:t>
            </w:r>
          </w:p>
        </w:tc>
      </w:tr>
      <w:tr>
        <w:tc>
          <w:tcPr>
            <w:tcW w:type="dxa" w:w="1872"/>
            <w:shd w:val="clear" w:color="auto" w:fill="F2F4F7"/>
          </w:tcPr>
          <w:p>
            <w:pPr>
              <w:spacing w:before="60" w:after="60"/>
            </w:pPr>
            <w:r>
              <w:rPr>
                <w:rFonts w:ascii="Calibri" w:hAnsi="Calibri"/>
                <w:b/>
                <w:sz w:val="18"/>
              </w:rPr>
              <w:t>End-to-end alert latency (max, ms)</w:t>
            </w:r>
          </w:p>
        </w:tc>
        <w:tc>
          <w:tcPr>
            <w:tcW w:type="dxa" w:w="1872"/>
            <w:shd w:val="clear" w:color="auto" w:fill="F2F4F7"/>
          </w:tcPr>
          <w:p>
            <w:pPr>
              <w:spacing w:before="60" w:after="60"/>
            </w:pPr>
            <w:r>
              <w:rPr>
                <w:rFonts w:ascii="Calibri" w:hAnsi="Calibri"/>
                <w:sz w:val="18"/>
              </w:rPr>
              <w:t>29.18 ms</w:t>
            </w:r>
          </w:p>
        </w:tc>
        <w:tc>
          <w:tcPr>
            <w:tcW w:type="dxa" w:w="1872"/>
            <w:shd w:val="clear" w:color="auto" w:fill="F2F4F7"/>
          </w:tcPr>
          <w:p>
            <w:pPr>
              <w:spacing w:before="60" w:after="60"/>
            </w:pPr>
            <w:r>
              <w:rPr>
                <w:rFonts w:ascii="Calibri" w:hAnsi="Calibri"/>
                <w:sz w:val="18"/>
              </w:rPr>
              <w:t>14.82 ms</w:t>
            </w:r>
          </w:p>
        </w:tc>
        <w:tc>
          <w:tcPr>
            <w:tcW w:type="dxa" w:w="1872"/>
            <w:shd w:val="clear" w:color="auto" w:fill="F2F4F7"/>
          </w:tcPr>
          <w:p>
            <w:pPr>
              <w:spacing w:before="60" w:after="60"/>
            </w:pPr>
            <w:r>
              <w:rPr>
                <w:rFonts w:ascii="Calibri" w:hAnsi="Calibri"/>
                <w:sz w:val="18"/>
              </w:rPr>
              <w:t>-14.36 ms</w:t>
            </w:r>
          </w:p>
        </w:tc>
        <w:tc>
          <w:tcPr>
            <w:tcW w:type="dxa" w:w="1872"/>
            <w:shd w:val="clear" w:color="auto" w:fill="F2F4F7"/>
          </w:tcPr>
          <w:p>
            <w:pPr>
              <w:spacing w:before="60" w:after="60"/>
            </w:pPr>
            <w:r>
              <w:rPr>
                <w:rFonts w:ascii="Calibri" w:hAnsi="Calibri"/>
                <w:sz w:val="18"/>
              </w:rPr>
              <w:t>Peak HTTP network query overhead.</w:t>
            </w:r>
          </w:p>
        </w:tc>
      </w:tr>
      <w:tr>
        <w:tc>
          <w:tcPr>
            <w:tcW w:type="dxa" w:w="1872"/>
            <w:shd w:val="clear" w:color="auto" w:fill="FFFFFF"/>
          </w:tcPr>
          <w:p>
            <w:pPr>
              <w:spacing w:before="60" w:after="60"/>
            </w:pPr>
            <w:r>
              <w:rPr>
                <w:rFonts w:ascii="Calibri" w:hAnsi="Calibri"/>
                <w:b/>
                <w:sz w:val="18"/>
              </w:rPr>
              <w:t>HMI refresh responsiveness</w:t>
            </w:r>
          </w:p>
        </w:tc>
        <w:tc>
          <w:tcPr>
            <w:tcW w:type="dxa" w:w="1872"/>
            <w:shd w:val="clear" w:color="auto" w:fill="FFFFFF"/>
          </w:tcPr>
          <w:p>
            <w:pPr>
              <w:spacing w:before="60" w:after="60"/>
            </w:pPr>
            <w:r>
              <w:rPr>
                <w:rFonts w:ascii="Calibri" w:hAnsi="Calibri"/>
                <w:sz w:val="18"/>
              </w:rPr>
              <w:t>N/A (HMI disabled)</w:t>
            </w:r>
          </w:p>
        </w:tc>
        <w:tc>
          <w:tcPr>
            <w:tcW w:type="dxa" w:w="1872"/>
            <w:shd w:val="clear" w:color="auto" w:fill="FFFFFF"/>
          </w:tcPr>
          <w:p>
            <w:pPr>
              <w:spacing w:before="60" w:after="60"/>
            </w:pPr>
            <w:r>
              <w:rPr>
                <w:rFonts w:ascii="Calibri" w:hAnsi="Calibri"/>
                <w:sz w:val="18"/>
              </w:rPr>
              <w:t>2.11 ms mean (3.4 ms max)</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Measures FastAPI responsiveness under full concurrent request load.</w:t>
            </w:r>
          </w:p>
        </w:tc>
      </w:tr>
      <w:tr>
        <w:tc>
          <w:tcPr>
            <w:tcW w:type="dxa" w:w="1872"/>
            <w:shd w:val="clear" w:color="auto" w:fill="F2F4F7"/>
          </w:tcPr>
          <w:p>
            <w:pPr>
              <w:spacing w:before="60" w:after="60"/>
            </w:pPr>
            <w:r>
              <w:rPr>
                <w:rFonts w:ascii="Calibri" w:hAnsi="Calibri"/>
                <w:b/>
                <w:sz w:val="18"/>
              </w:rPr>
              <w:t>CPU utilization (% / cores used)</w:t>
            </w:r>
          </w:p>
        </w:tc>
        <w:tc>
          <w:tcPr>
            <w:tcW w:type="dxa" w:w="1872"/>
            <w:shd w:val="clear" w:color="auto" w:fill="F2F4F7"/>
          </w:tcPr>
          <w:p>
            <w:pPr>
              <w:spacing w:before="60" w:after="60"/>
            </w:pPr>
            <w:r>
              <w:rPr>
                <w:rFonts w:ascii="Calibri" w:hAnsi="Calibri"/>
                <w:sz w:val="18"/>
              </w:rPr>
              <w:t>0.9% / 0.01 cores</w:t>
            </w:r>
          </w:p>
        </w:tc>
        <w:tc>
          <w:tcPr>
            <w:tcW w:type="dxa" w:w="1872"/>
            <w:shd w:val="clear" w:color="auto" w:fill="F2F4F7"/>
          </w:tcPr>
          <w:p>
            <w:pPr>
              <w:spacing w:before="60" w:after="60"/>
            </w:pPr>
            <w:r>
              <w:rPr>
                <w:rFonts w:ascii="Calibri" w:hAnsi="Calibri"/>
                <w:sz w:val="18"/>
              </w:rPr>
              <w:t>6.2% / 0.06 cores</w:t>
            </w:r>
          </w:p>
        </w:tc>
        <w:tc>
          <w:tcPr>
            <w:tcW w:type="dxa" w:w="1872"/>
            <w:shd w:val="clear" w:color="auto" w:fill="F2F4F7"/>
          </w:tcPr>
          <w:p>
            <w:pPr>
              <w:spacing w:before="60" w:after="60"/>
            </w:pPr>
            <w:r>
              <w:rPr>
                <w:rFonts w:ascii="Calibri" w:hAnsi="Calibri"/>
                <w:sz w:val="18"/>
              </w:rPr>
              <w:t>N/A</w:t>
            </w:r>
          </w:p>
        </w:tc>
        <w:tc>
          <w:tcPr>
            <w:tcW w:type="dxa" w:w="1872"/>
            <w:shd w:val="clear" w:color="auto" w:fill="F2F4F7"/>
          </w:tcPr>
          <w:p>
            <w:pPr>
              <w:spacing w:before="60" w:after="60"/>
            </w:pPr>
            <w:r>
              <w:rPr>
                <w:rFonts w:ascii="Calibri" w:hAnsi="Calibri"/>
                <w:sz w:val="18"/>
              </w:rPr>
              <w:t>Demonstrates multi-threaded core distribution.</w:t>
            </w:r>
          </w:p>
        </w:tc>
      </w:tr>
      <w:tr>
        <w:tc>
          <w:tcPr>
            <w:tcW w:type="dxa" w:w="1872"/>
            <w:shd w:val="clear" w:color="auto" w:fill="FFFFFF"/>
          </w:tcPr>
          <w:p>
            <w:pPr>
              <w:spacing w:before="60" w:after="60"/>
            </w:pPr>
            <w:r>
              <w:rPr>
                <w:rFonts w:ascii="Calibri" w:hAnsi="Calibri"/>
                <w:b/>
                <w:sz w:val="18"/>
              </w:rPr>
              <w:t>Load-cell polling rate (Hz)</w:t>
            </w:r>
          </w:p>
        </w:tc>
        <w:tc>
          <w:tcPr>
            <w:tcW w:type="dxa" w:w="1872"/>
            <w:shd w:val="clear" w:color="auto" w:fill="FFFFFF"/>
          </w:tcPr>
          <w:p>
            <w:pPr>
              <w:spacing w:before="60" w:after="60"/>
            </w:pPr>
            <w:r>
              <w:rPr>
                <w:rFonts w:ascii="Calibri" w:hAnsi="Calibri"/>
                <w:sz w:val="18"/>
              </w:rPr>
              <w:t>N/A (Disabled)</w:t>
            </w:r>
          </w:p>
        </w:tc>
        <w:tc>
          <w:tcPr>
            <w:tcW w:type="dxa" w:w="1872"/>
            <w:shd w:val="clear" w:color="auto" w:fill="FFFFFF"/>
          </w:tcPr>
          <w:p>
            <w:pPr>
              <w:spacing w:before="60" w:after="60"/>
            </w:pPr>
            <w:r>
              <w:rPr>
                <w:rFonts w:ascii="Calibri" w:hAnsi="Calibri"/>
                <w:sz w:val="18"/>
              </w:rPr>
              <w:t>11.3 Hz</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Confirms load cell background serial ingestion rate.</w:t>
            </w:r>
          </w:p>
        </w:tc>
      </w:tr>
    </w:tbl>
    <w:p w:rsidR="00000000" w:rsidDel="00000000" w:rsidP="00000000" w:rsidRDefault="00000000" w:rsidRPr="00000000" w14:paraId="0000037D">
      <w:pPr>
        <w:pStyle w:val="Heading2"/>
        <w:keepNext w:val="0"/>
        <w:keepLines w:val="0"/>
        <w:spacing w:after="80" w:lineRule="auto"/>
        <w:rPr>
          <w:sz w:val="34"/>
          <w:szCs w:val="34"/>
        </w:rPr>
      </w:pPr>
      <w:bookmarkStart w:colFirst="0" w:colLast="0" w:name="_rjekp21j6qw4" w:id="64"/>
      <w:bookmarkEnd w:id="64"/>
      <w:r w:rsidDel="00000000" w:rsidR="00000000" w:rsidRPr="00000000">
        <w:br w:type="page"/>
      </w:r>
      <w:r w:rsidDel="00000000" w:rsidR="00000000" w:rsidRPr="00000000">
        <w:rPr>
          <w:rtl w:val="0"/>
        </w:rPr>
      </w:r>
    </w:p>
    <w:p w:rsidR="00000000" w:rsidDel="00000000" w:rsidP="00000000" w:rsidRDefault="00000000" w:rsidRPr="00000000" w14:paraId="0000037E">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37F">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380">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381">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382">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2"/>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spacing w:after="200" w:line="36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spacing w:after="200" w:line="360" w:lineRule="auto"/>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spacing w:after="200" w:line="360" w:lineRule="auto"/>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spacing w:after="200" w:line="36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spacing w:after="200" w:line="360" w:lineRule="auto"/>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spacing w:after="200" w:line="360" w:lineRule="auto"/>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spacing w:after="200" w:line="360" w:lineRule="auto"/>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spacing w:after="200" w:line="360" w:lineRule="auto"/>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spacing w:after="200" w:line="360" w:lineRule="auto"/>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38F">
      <w:pPr>
        <w:spacing w:after="200" w:line="360" w:lineRule="auto"/>
        <w:rPr>
          <w:color w:val="9900ff"/>
        </w:rPr>
      </w:pPr>
      <w:r w:rsidDel="00000000" w:rsidR="00000000" w:rsidRPr="00000000">
        <w:rPr>
          <w:rtl w:val="0"/>
        </w:rPr>
      </w:r>
    </w:p>
    <w:p w:rsidR="00000000" w:rsidDel="00000000" w:rsidP="00000000" w:rsidRDefault="00000000" w:rsidRPr="00000000" w14:paraId="00000390">
      <w:pPr>
        <w:spacing w:after="240" w:before="240" w:lineRule="auto"/>
        <w:jc w:val="center"/>
        <w:rPr/>
      </w:pPr>
      <w:r w:rsidDel="00000000" w:rsidR="00000000" w:rsidRPr="00000000">
        <w:rPr/>
        <w:drawing>
          <wp:inline distB="114300" distT="114300" distL="114300" distR="114300">
            <wp:extent cx="5943600" cy="7241286"/>
            <wp:effectExtent b="0" l="0" r="0" t="0"/>
            <wp:docPr id="9"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24128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391">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392">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393">
      <w:pPr>
        <w:spacing w:after="240" w:before="240" w:lineRule="auto"/>
        <w:rPr/>
      </w:pPr>
      <w:r w:rsidDel="00000000" w:rsidR="00000000" w:rsidRPr="00000000">
        <w:rPr>
          <w:color w:val="9900ff"/>
          <w:rtl w:val="0"/>
        </w:rPr>
        <w:t xml:space="preserve">[FIGURE PLACEHOLDER — already exists in current draft as Figure 4.4, "(a) no hallucination for all blue bins (b) hallucinated bounding box for mixed-colours"; carry over as-is]</w:t>
        <w:br w:type="textWrapping"/>
      </w:r>
      <w:r w:rsidDel="00000000" w:rsidR="00000000" w:rsidRPr="00000000">
        <w:rPr>
          <w:rtl w:val="0"/>
        </w:rPr>
        <w:t xml:space="preserve"> Figure 4.1.1.2: (a) No hallucination for all-blue bins. (b) Hallucinated bounding box for mixed colours.</w:t>
      </w:r>
    </w:p>
    <w:p w:rsidR="00000000" w:rsidDel="00000000" w:rsidP="00000000" w:rsidRDefault="00000000" w:rsidRPr="00000000" w14:paraId="00000394">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395">
      <w:pPr>
        <w:spacing w:after="240" w:before="240" w:lineRule="auto"/>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p>
    <w:p w:rsidR="00000000" w:rsidDel="00000000" w:rsidP="00000000" w:rsidRDefault="00000000" w:rsidRPr="00000000" w14:paraId="00000396">
      <w:pPr>
        <w:spacing w:after="240" w:before="240" w:lineRule="auto"/>
        <w:rPr/>
      </w:pPr>
      <w:r w:rsidDel="00000000" w:rsidR="00000000" w:rsidRPr="00000000">
        <w:rPr>
          <w:color w:val="9900ff"/>
          <w:rtl w:val="0"/>
        </w:rPr>
        <w:t xml:space="preserve">[FIGURE PLACEHOLDER — already exists in current draft as Figure 4.5, "Group B sample detections across item categories and fill levels"; carry over as-is]</w:t>
        <w:br w:type="textWrapping"/>
      </w:r>
      <w:r w:rsidDel="00000000" w:rsidR="00000000" w:rsidRPr="00000000">
        <w:rPr>
          <w:rtl w:val="0"/>
        </w:rPr>
        <w:t xml:space="preserve"> Figure 4.1.1.3: Group B sample detections across item categories and fill levels.</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398">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399">
      <w:pPr>
        <w:spacing w:after="240" w:before="240" w:lineRule="auto"/>
        <w:rPr>
          <w:color w:val="9900ff"/>
        </w:rPr>
      </w:pPr>
      <w:r w:rsidDel="00000000" w:rsidR="00000000" w:rsidRPr="00000000">
        <w:rPr>
          <w:rtl w:val="0"/>
        </w:rPr>
        <w:t xml:space="preserve">Table 4.1.1.2: YOLOv8-OBB validation metrics (Setup V3) — Precision, Recall, mAP50, mAP50-95, and Epochs.</w:t>
        <w:br w:type="textWrapping"/>
      </w:r>
      <w:r w:rsidDel="00000000" w:rsidR="00000000" w:rsidRPr="00000000">
        <w:rPr>
          <w:color w:val="9900ff"/>
          <w:rtl w:val="0"/>
        </w:rPr>
        <w:t xml:space="preserve"> [TABLE PLACEHOLDER — already exists in current draft as Table 4.2, "YOLOv8-OBB validation metrics (Setup V3)"; carry over verbatim, all five metric rows]</w:t>
      </w:r>
    </w:p>
    <w:p w:rsidR="00000000" w:rsidDel="00000000" w:rsidP="00000000" w:rsidRDefault="00000000" w:rsidRPr="00000000" w14:paraId="0000039A">
      <w:pPr>
        <w:spacing w:after="240" w:before="240" w:lineRule="auto"/>
        <w:rPr/>
      </w:pPr>
      <w:r w:rsidDel="00000000" w:rsidR="00000000" w:rsidRPr="00000000">
        <w:rPr>
          <w:color w:val="9900ff"/>
          <w:rtl w:val="0"/>
        </w:rPr>
        <w:t xml:space="preserve">[FIGURE PLACEHOLDER — already exists in current draft as Figure 4.6, "Training curves for Setup V3, showing loss convergence and mAP over epochs"; carry over as-is]</w:t>
        <w:br w:type="textWrapping"/>
      </w:r>
      <w:r w:rsidDel="00000000" w:rsidR="00000000" w:rsidRPr="00000000">
        <w:rPr>
          <w:rtl w:val="0"/>
        </w:rPr>
        <w:t xml:space="preserve"> Figure 4.1.1.4: Training curves for Setup V3, showing loss convergence and mAP over epochs.</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9C">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9D">
      <w:pPr>
        <w:spacing w:after="240" w:before="240" w:lineRule="auto"/>
        <w:rPr/>
      </w:pPr>
      <w:r w:rsidDel="00000000" w:rsidR="00000000" w:rsidRPr="00000000">
        <w:rPr>
          <w:color w:val="9900ff"/>
          <w:rtl w:val="0"/>
        </w:rPr>
        <w:t xml:space="preserve">[FIGURE PLACEHOLDER — already exists in current draft as Figure 4.7, "Lighting characterisation results"; shows (a) lux readings across 9 bins at 8 levels, (b) confidence versus illuminance scatter plot with regression lines, (c) sample detections at approximately 0 lux and 506 lux; carry over as-is]</w:t>
        <w:br w:type="textWrapping"/>
      </w:r>
      <w:r w:rsidDel="00000000" w:rsidR="00000000" w:rsidRPr="00000000">
        <w:rPr>
          <w:rtl w:val="0"/>
        </w:rPr>
        <w:t xml:space="preserve"> Figure 4.1.1.5: Lighting characterisation results. (a) Lux readings across 9 bins at 8 levels. (b) Confidence versus illuminance scatter plot with regression lines. (c) Sample detections at approximately 0 lux and 506 lux.</w:t>
      </w:r>
    </w:p>
    <w:p w:rsidR="00000000" w:rsidDel="00000000" w:rsidP="00000000" w:rsidRDefault="00000000" w:rsidRPr="00000000" w14:paraId="0000039E">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9F">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A0">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A1">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A2">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A3">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A4">
      <w:pPr>
        <w:spacing w:after="240" w:before="240" w:lineRule="auto"/>
        <w:rPr/>
      </w:pPr>
      <w:r w:rsidDel="00000000" w:rsidR="00000000" w:rsidRPr="00000000">
        <w:rPr>
          <w:color w:val="9900ff"/>
          <w:rtl w:val="0"/>
        </w:rPr>
        <w:t xml:space="preserve">[FIGURE PLACEHOLDER — already exists in current draft as Figure 4.8, "Load-cell qualification bench setup"; shows (a) graded reference-mass kit of individually weighed sand bags, each labelled with actual mass, (b) full test bench: ESP32 + HX711, reference scale, red load-cell platform under test, and logging laptop; carry over as-is]</w:t>
      </w:r>
      <w:r w:rsidDel="00000000" w:rsidR="00000000" w:rsidRPr="00000000">
        <w:rPr>
          <w:rtl w:val="0"/>
        </w:rPr>
        <w:br w:type="textWrapping"/>
        <w:t xml:space="preserve"> Figure 4.2.1.1: Load-cell qualification bench setup. (a) Graded reference-mass kit: individually weighed sand bags, each labelled with actual (not nominal) mass. (b) Full test bench: ESP32 + HX711, reference scale, red load-cell platform under test, and logging laptop.</w:t>
      </w:r>
    </w:p>
    <w:p w:rsidR="00000000" w:rsidDel="00000000" w:rsidP="00000000" w:rsidRDefault="00000000" w:rsidRPr="00000000" w14:paraId="000003A5">
      <w:pPr>
        <w:spacing w:after="240" w:before="240" w:lineRule="auto"/>
        <w:rPr>
          <w:color w:val="9900ff"/>
        </w:rPr>
      </w:pPr>
      <w:r w:rsidDel="00000000" w:rsidR="00000000" w:rsidRPr="00000000">
        <w:rPr>
          <w:rtl w:val="0"/>
        </w:rPr>
        <w:t xml:space="preserve">Table 4.2.1.1: Platforms under test — configuration, cell count, wiring, platform geometry, rated capacity, and max test load for the 1 kg, 5 kg, and 10 kg platforms.</w:t>
        <w:br w:type="textWrapping"/>
        <w:t xml:space="preserve"> </w:t>
      </w:r>
      <w:r w:rsidDel="00000000" w:rsidR="00000000" w:rsidRPr="00000000">
        <w:rPr>
          <w:color w:val="9900ff"/>
          <w:rtl w:val="0"/>
        </w:rPr>
        <w:t xml:space="preserve">[TABLE PLACEHOLDER — already exists in current draft as Table 4.3, "Platforms under test"; carry over verbatim, all three configuration rows]</w:t>
      </w:r>
    </w:p>
    <w:p w:rsidR="00000000" w:rsidDel="00000000" w:rsidP="00000000" w:rsidRDefault="00000000" w:rsidRPr="00000000" w14:paraId="000003A6">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A8">
      <w:pPr>
        <w:spacing w:after="240" w:before="240" w:lineRule="auto"/>
        <w:rPr>
          <w:color w:val="9900ff"/>
        </w:rPr>
      </w:pPr>
      <w:r w:rsidDel="00000000" w:rsidR="00000000" w:rsidRPr="00000000">
        <w:rPr>
          <w:rtl w:val="0"/>
        </w:rPr>
        <w:t xml:space="preserve">Table 4.2.1.2: Supplier-stated YZC-133 performance parameters — nonlinearity, hysteresis, repeatability, creep, and zero/temperature drift.</w:t>
        <w:br w:type="textWrapping"/>
      </w:r>
      <w:r w:rsidDel="00000000" w:rsidR="00000000" w:rsidRPr="00000000">
        <w:rPr>
          <w:color w:val="9900ff"/>
          <w:rtl w:val="0"/>
        </w:rPr>
        <w:t xml:space="preserve"> [TABLE PLACEHOLDER — already exists in current draft as the unlabelled parameter table under old Section 4.2.2.1; carry over verbatim, all five parameter rows]</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AB">
      <w:pPr>
        <w:spacing w:after="240" w:before="240" w:lineRule="auto"/>
        <w:rPr>
          <w:color w:val="9900ff"/>
        </w:rPr>
      </w:pPr>
      <w:r w:rsidDel="00000000" w:rsidR="00000000" w:rsidRPr="00000000">
        <w:rPr>
          <w:rtl w:val="0"/>
        </w:rPr>
        <w:t xml:space="preserve">Table 4.2.1.3: Test protocol summary — tier (Capability/Stability/Integration), test ID (A1–A7), measure, and protocol for each qualification test.</w:t>
        <w:br w:type="textWrapping"/>
      </w:r>
      <w:r w:rsidDel="00000000" w:rsidR="00000000" w:rsidRPr="00000000">
        <w:rPr>
          <w:color w:val="9900ff"/>
          <w:rtl w:val="0"/>
        </w:rPr>
        <w:t xml:space="preserve"> [TABLE PLACEHOLDER — already exists in current draft as Table 4.4, "Test protocol summary"; carry over verbatim, all seven test rows]</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AF">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B0">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B1">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B2">
      <w:pPr>
        <w:spacing w:after="240" w:before="240" w:lineRule="auto"/>
        <w:rPr>
          <w:color w:val="9900ff"/>
        </w:rPr>
      </w:pPr>
      <w:r w:rsidDel="00000000" w:rsidR="00000000" w:rsidRPr="00000000">
        <w:rPr>
          <w:rtl w:val="0"/>
        </w:rPr>
        <w:t xml:space="preserve">Table 4.2.1.4: Repeatability standard deviation by platform and load level (50%, 75%, 100% of rated capacity), against scaled per-cell targets.</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A2 repeatability table under old Section 4.2.2.2; carry over verbatim, including the corrected 5 kg/75% value (3.751.151 g → confirmed 3751.151 g, per the source's own correction note)]</w:t>
      </w:r>
    </w:p>
    <w:p w:rsidR="00000000" w:rsidDel="00000000" w:rsidP="00000000" w:rsidRDefault="00000000" w:rsidRPr="00000000" w14:paraId="000003B3">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B5">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B6">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B7">
      <w:pPr>
        <w:spacing w:after="240" w:before="240" w:lineRule="auto"/>
        <w:rPr>
          <w:color w:val="9900ff"/>
        </w:rPr>
      </w:pPr>
      <w:r w:rsidDel="00000000" w:rsidR="00000000" w:rsidRPr="00000000">
        <w:rPr>
          <w:rtl w:val="0"/>
        </w:rPr>
        <w:t xml:space="preserve">Table 4.2.1.5: Warm-up drift by platform at t=0, 10, 20, and 30 minutes, mid-load reference.</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A4 warm-up drift table under old Section 4.2.2.2; carry over verbatim, including the corrected 10 kg t=10min value (source listed +0.90 g drift, inconsistent with the reading itself; confirmed reading of 5009.76 g, giving −0.10 g drift)]</w:t>
      </w:r>
    </w:p>
    <w:p w:rsidR="00000000" w:rsidDel="00000000" w:rsidP="00000000" w:rsidRDefault="00000000" w:rsidRPr="00000000" w14:paraId="000003B8">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BA">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BB">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BC">
      <w:pPr>
        <w:spacing w:after="240" w:before="240" w:lineRule="auto"/>
        <w:rPr>
          <w:color w:val="9900ff"/>
        </w:rPr>
      </w:pPr>
      <w:r w:rsidDel="00000000" w:rsidR="00000000" w:rsidRPr="00000000">
        <w:rPr>
          <w:rtl w:val="0"/>
        </w:rPr>
        <w:t xml:space="preserve">Table 4.2.1.6: Off-centre placement sensitivity by platform — fixed mass, max deviation, and deviation as percentage of mass.</w:t>
        <w:br w:type="textWrapping"/>
      </w:r>
      <w:r w:rsidDel="00000000" w:rsidR="00000000" w:rsidRPr="00000000">
        <w:rPr>
          <w:color w:val="9900ff"/>
          <w:rtl w:val="0"/>
        </w:rPr>
        <w:t xml:space="preserve"> [TABLE PLACEHOLDER — already exists in current draft as the unlabelled A6 table under old Section 4.2.2.2; carry over verbatim, all three platform rows]</w:t>
      </w:r>
    </w:p>
    <w:p w:rsidR="00000000" w:rsidDel="00000000" w:rsidP="00000000" w:rsidRDefault="00000000" w:rsidRPr="00000000" w14:paraId="000003BD">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BE">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C0">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C1">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C2">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C3">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C4">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C5">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C6">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developer-phase (pre-user-testing) evaluation of the frontend HMI distinct from the design-time iteration narrative already presented in Section 3.3.2.2. The HMI evaluation evidence that does exist in the source — the nine-dimension Likert-scale operator ratings (R1–R9), the six usability gaps (G1–G6) identified from operator feedback, and the TE Connectivity stakeholder's qualitative commentary on the UI — is all user-facing testing data collected during the formal user study, and is assigned under the chapter mapping to Chapter 5 (Sections 5.3/5.4), not to this developer-testing subsection. No separate internal/developer-side test protocol for the HMI (e.g. a controlled walkthrough or verification against the alert-latency and correctness criteria in D-05/D-06 prior to user testing) is documented in the source.]</w:t>
      </w:r>
    </w:p>
    <w:p w:rsidR="00000000" w:rsidDel="00000000" w:rsidP="00000000" w:rsidRDefault="00000000" w:rsidRPr="00000000" w14:paraId="000003C7">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C8">
      <w:pPr>
        <w:spacing w:after="240" w:before="240" w:lineRule="auto"/>
        <w:rPr>
          <w:color w:val="ff0000"/>
        </w:rPr>
      </w:pPr>
      <w:r w:rsidDel="00000000" w:rsidR="00000000" w:rsidRPr="00000000">
        <w:rPr>
          <w:color w:val="ff0000"/>
          <w:rtl w:val="0"/>
        </w:rPr>
        <w:t xml:space="preserve">[CONTENT NEEDED — no source material in current draft: without developer-phase test results in Section 4.3.1 to draw on, a requirements validation for the frontend HMI at this stage would have to rely on the same user-testing evidence assigned to Chapter 5, which would duplicate rather than reorganise that content. The formal validation of D-06 (Corrective Guidance) and D-05 (Real-Time Alerting) as they pertain to the HMI is addressed in Chapter 5's requirements validation matrix (old Table 5.5), which does report D-06 as Met on the basis of the HMI iteration in Section 5.2/3.3.2.2.]</w:t>
      </w:r>
    </w:p>
    <w:p w:rsidR="00000000" w:rsidDel="00000000" w:rsidP="00000000" w:rsidRDefault="00000000" w:rsidRPr="00000000" w14:paraId="000003C9">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CA">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CB">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CC">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CD">
      <w:pPr>
        <w:spacing w:after="240" w:before="240" w:lineRule="auto"/>
        <w:rPr>
          <w:color w:val="9900ff"/>
        </w:rPr>
      </w:pPr>
      <w:r w:rsidDel="00000000" w:rsidR="00000000" w:rsidRPr="00000000">
        <w:rPr>
          <w:rtl w:val="0"/>
        </w:rPr>
        <w:t xml:space="preserve">Table 4.4.1.1: Unit test coverage summary (134/134 passing) — statements and coverage percentage by module (placement.py, bin_assignment.py, occlusion_hold.py, grid_allocator.py, grid_calibrator.py, grid_session.py, inventory.py, cycle.py, overall project).</w:t>
        <w:br w:type="textWrapping"/>
      </w:r>
      <w:r w:rsidDel="00000000" w:rsidR="00000000" w:rsidRPr="00000000">
        <w:rPr>
          <w:color w:val="9900ff"/>
          <w:rtl w:val="0"/>
        </w:rPr>
        <w:t xml:space="preserve"> [TABLE PLACEHOLDER — already exists in current draft as Table 4.6, "Unit test coverage summary (134/134 passing)"; carry over verbatim, all module rows plus the overall project row]</w:t>
      </w:r>
    </w:p>
    <w:p w:rsidR="00000000" w:rsidDel="00000000" w:rsidP="00000000" w:rsidRDefault="00000000" w:rsidRPr="00000000" w14:paraId="000003CE">
      <w:pPr>
        <w:spacing w:after="240" w:before="240" w:lineRule="auto"/>
        <w:rPr/>
      </w:pPr>
      <w:r w:rsidDel="00000000" w:rsidR="00000000" w:rsidRPr="00000000">
        <w:rPr>
          <w:color w:val="9900ff"/>
          <w:rtl w:val="0"/>
        </w:rPr>
        <w:t xml:space="preserve">[FIGURE PLACEHOLDER — referenced in current draft as Figure 4.11 but not directly reproduced in the extracted text; based on the surrounding coverage table, this figure likely visualises per-module coverage percentages (e.g. as a bar chart). Needs to be located in or re-derived from the original report file.]</w:t>
        <w:br w:type="textWrapping"/>
      </w:r>
      <w:r w:rsidDel="00000000" w:rsidR="00000000" w:rsidRPr="00000000">
        <w:rPr>
          <w:rtl w:val="0"/>
        </w:rPr>
        <w:t xml:space="preserve"> Figure 4.4.1.1: Unit test coverage by module.</w:t>
      </w:r>
    </w:p>
    <w:p w:rsidR="00000000" w:rsidDel="00000000" w:rsidP="00000000" w:rsidRDefault="00000000" w:rsidRPr="00000000" w14:paraId="000003CF">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D0">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D1">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D2">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D3">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D4">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D5">
      <w:pPr>
        <w:spacing w:after="240" w:before="240" w:lineRule="auto"/>
        <w:rPr>
          <w:color w:val="ff0000"/>
        </w:rPr>
      </w:pPr>
      <w:r w:rsidDel="00000000" w:rsidR="00000000" w:rsidRPr="00000000">
        <w:rPr>
          <w:color w:val="ff0000"/>
          <w:rtl w:val="0"/>
        </w:rPr>
        <w:t xml:space="preserve">[CONTENT NEEDED — no source material in current draft: the current draft's system integration content (old Section 4.1) consists of the architectural description and iteration narrative already reorganised into Section 3.4.2 (pipeline orchestrator, PipelineState object, real-time processing loop, Figures 4.1.1/4.1.2) — it describes </w:t>
      </w:r>
      <w:r w:rsidDel="00000000" w:rsidR="00000000" w:rsidRPr="00000000">
        <w:rPr>
          <w:i w:val="1"/>
          <w:iCs w:val="1"/>
          <w:color w:val="ff0000"/>
          <w:rtl w:val="0"/>
        </w:rPr>
        <w:t xml:space="preserve">what was built</w:t>
      </w:r>
      <w:r w:rsidDel="00000000" w:rsidR="00000000" w:rsidRPr="00000000">
        <w:rPr>
          <w:color w:val="ff0000"/>
          <w:rtl w:val="0"/>
        </w:rPr>
        <w:t xml:space="preserve"> and </w:t>
      </w:r>
      <w:r w:rsidDel="00000000" w:rsidR="00000000" w:rsidRPr="00000000">
        <w:rPr>
          <w:i w:val="1"/>
          <w:iCs w:val="1"/>
          <w:color w:val="ff0000"/>
          <w:rtl w:val="0"/>
        </w:rPr>
        <w:t xml:space="preserve">how it was wired together</w:t>
      </w:r>
      <w:r w:rsidDel="00000000" w:rsidR="00000000" w:rsidRPr="00000000">
        <w:rPr>
          <w:color w:val="ff0000"/>
          <w:rtl w:val="0"/>
        </w:rPr>
        <w:t xml:space="preserve">, but does not report a distinct integration test protocol, pass/fail criteria, or quantitative/qualitative test outcomes (e.g. end-to-end latency measurements, sensor-fusion accuracy under combined load, or a defect log from integration testing) separate from the per-subsystem developer tests already covered in Sections 4.1, 4.2, and 4.4 above. The only end-to-end evaluative evidence in the source that treats the system as a whole is the six-operator usability study and the TE Connectivity stakeholder validation session, both of which are user-facing testing assigned to Chapter 5, not developer-phase system-integration testing.]</w:t>
      </w:r>
    </w:p>
    <w:p w:rsidR="00000000" w:rsidDel="00000000" w:rsidP="00000000" w:rsidRDefault="00000000" w:rsidRPr="00000000" w14:paraId="000003D6">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3D7">
      <w:pPr>
        <w:spacing w:after="240" w:before="240" w:lineRule="auto"/>
        <w:rPr>
          <w:color w:val="ff0000"/>
        </w:rPr>
      </w:pPr>
      <w:r w:rsidDel="00000000" w:rsidR="00000000" w:rsidRPr="00000000">
        <w:rPr>
          <w:color w:val="ff0000"/>
          <w:rtl w:val="0"/>
        </w:rPr>
        <w:t xml:space="preserve">[CONTENT NEEDED — no source material in current draft: without a distinct integration test protocol and results in Section 4.5.1, a requirements validation specific to system-level integration (as opposed to the per-subsystem validations already given in Sections 4.1.2, 4.2.2, and 4.4.2) is not separable from the source material. The closest relevant evidence — D-10 (Scalability), validated in the old draft's requirements matrix on the basis that the pipeline utilises approximately one of twelve available CPU cores under full load with a thread-safe architecture — is carried forward to Chapter 5's requirements validation matrix (Section 5.4 in the new structure) rather than reconstructed here, since no separate developer-phase system-integration test substantiates it independently of that matrix entry.]</w:t>
      </w:r>
    </w:p>
    <w:p w:rsidR="00000000" w:rsidDel="00000000" w:rsidP="00000000" w:rsidRDefault="00000000" w:rsidRPr="00000000" w14:paraId="000003D8">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3D9">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3DA">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w:t>
      </w:r>
    </w:p>
    <w:p w:rsidR="00000000" w:rsidDel="00000000" w:rsidP="00000000" w:rsidRDefault="00000000" w:rsidRPr="00000000" w14:paraId="000003DB">
      <w:pPr>
        <w:spacing w:after="240" w:before="240" w:lineRule="auto"/>
        <w:rPr>
          <w:color w:val="9900ff"/>
        </w:rPr>
      </w:pPr>
      <w:r w:rsidDel="00000000" w:rsidR="00000000" w:rsidRPr="00000000">
        <w:rPr>
          <w:rtl w:val="0"/>
        </w:rPr>
        <w:t xml:space="preserve">Table 5.1.1: Participant schedule and counterbalancing — operator, date, group, and BOM order for the six participants.</w:t>
        <w:br w:type="textWrapping"/>
      </w:r>
      <w:r w:rsidDel="00000000" w:rsidR="00000000" w:rsidRPr="00000000">
        <w:rPr>
          <w:color w:val="9900ff"/>
          <w:rtl w:val="0"/>
        </w:rPr>
        <w:t xml:space="preserve"> [TABLE PLACEHOLDER — already exists in current draft as Table 5.1, "Participant schedule and counterbalancing"; carry over verbatim, all six operator rows]</w:t>
      </w:r>
    </w:p>
    <w:p w:rsidR="00000000" w:rsidDel="00000000" w:rsidP="00000000" w:rsidRDefault="00000000" w:rsidRPr="00000000" w14:paraId="000003DC">
      <w:pPr>
        <w:spacing w:after="240" w:before="240" w:lineRule="auto"/>
        <w:rPr>
          <w:color w:val="9900ff"/>
        </w:rPr>
      </w:pPr>
      <w:r w:rsidDel="00000000" w:rsidR="00000000" w:rsidRPr="00000000">
        <w:rPr>
          <w:color w:val="9900ff"/>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3DD">
      <w:pPr>
        <w:spacing w:after="240" w:before="240" w:lineRule="auto"/>
        <w:rPr/>
      </w:pPr>
      <w:r w:rsidDel="00000000" w:rsidR="00000000" w:rsidRPr="00000000">
        <w:rPr>
          <w:color w:val="9900ff"/>
          <w:rtl w:val="0"/>
        </w:rPr>
        <w:t xml:space="preserve">[FIGURE PLACEHOLDER — already exists in current draft as Figure 5.1, "Usability study setup"; shows (a) an operator interacting with the AEGIS system during a kitting task, (b) the paper-based non-AEGIS condition; carry over as-is]</w:t>
        <w:br w:type="textWrapping"/>
      </w:r>
      <w:r w:rsidDel="00000000" w:rsidR="00000000" w:rsidRPr="00000000">
        <w:rPr>
          <w:rtl w:val="0"/>
        </w:rPr>
        <w:t xml:space="preserve"> Figure 5.1.1: Usability study setup. (a) Operator interacting with the AEGIS system during a kitting task. (b) Paper-based non-AEGIS condition.</w:t>
      </w:r>
    </w:p>
    <w:p w:rsidR="00000000" w:rsidDel="00000000" w:rsidP="00000000" w:rsidRDefault="00000000" w:rsidRPr="00000000" w14:paraId="000003DE">
      <w:pPr>
        <w:spacing w:after="240" w:before="240" w:lineRule="auto"/>
        <w:rPr/>
      </w:pPr>
      <w:r w:rsidDel="00000000" w:rsidR="00000000" w:rsidRPr="00000000">
        <w:rPr>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3DF">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3E0">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3E1">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3E3">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3E4">
      <w:pPr>
        <w:spacing w:after="240" w:before="240" w:lineRule="auto"/>
        <w:rPr>
          <w:color w:val="9900ff"/>
        </w:rPr>
      </w:pPr>
      <w:r w:rsidDel="00000000" w:rsidR="00000000" w:rsidRPr="00000000">
        <w:rPr>
          <w:rtl w:val="0"/>
        </w:rPr>
        <w:t xml:space="preserve">Table 5.2.1.1: Total cycle time per operator, AEGIS vs. non-AEGIS (seconds), with Δ and % change, including mean and median.</w:t>
        <w:br w:type="textWrapping"/>
      </w:r>
      <w:r w:rsidDel="00000000" w:rsidR="00000000" w:rsidRPr="00000000">
        <w:rPr>
          <w:color w:val="9900ff"/>
          <w:rtl w:val="0"/>
        </w:rPr>
        <w:t xml:space="preserve"> [TABLE PLACEHOLDER — already exists in current draft as Table 5.1.3-1 ("System" and "Control" columns); carry over the underlying data verbatim, relabelling the "System" column header as "AEGIS" and the "Control" column header as "Non-AEGIS"; all eight operator rows plus mean/median summary rows and the footnote on mean-of-percentages vs. percentage-of-means]</w:t>
      </w:r>
    </w:p>
    <w:p w:rsidR="00000000" w:rsidDel="00000000" w:rsidP="00000000" w:rsidRDefault="00000000" w:rsidRPr="00000000" w14:paraId="000003E5">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3E6">
      <w:pPr>
        <w:spacing w:after="240" w:before="240" w:lineRule="auto"/>
        <w:rPr/>
      </w:pPr>
      <w:r w:rsidDel="00000000" w:rsidR="00000000" w:rsidRPr="00000000">
        <w:rPr>
          <w:color w:val="9900ff"/>
          <w:rtl w:val="0"/>
        </w:rPr>
        <w:t xml:space="preserve">[FIGURE PLACEHOLDER — already exists in current draft as Figure 5.1.3-1, "paired System-vs-Control cycle time chart (all 8 operators)"; relabel axis/legend as AEGIS vs. Non-AEGIS; carry over underlying data as-is]</w:t>
        <w:br w:type="textWrapping"/>
      </w:r>
      <w:r w:rsidDel="00000000" w:rsidR="00000000" w:rsidRPr="00000000">
        <w:rPr>
          <w:rtl w:val="0"/>
        </w:rPr>
        <w:t xml:space="preserve"> Figure 5.2.1.1: Paired AEGIS-vs-non-AEGIS cycle time chart (all 8 operators).</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3E8">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3E9">
      <w:pPr>
        <w:spacing w:after="240" w:before="240" w:lineRule="auto"/>
        <w:rPr>
          <w:color w:val="9900ff"/>
        </w:rPr>
      </w:pPr>
      <w:r w:rsidDel="00000000" w:rsidR="00000000" w:rsidRPr="00000000">
        <w:rPr>
          <w:rtl w:val="0"/>
        </w:rPr>
        <w:t xml:space="preserve">Table 5.2.1.2: Mean cycle time by BOM and condition (n = 6), including total picks, non-AEGIS/AEGIS mean CT, Δ, % overhead, and CT/pick for both conditions.</w:t>
        <w:br w:type="textWrapping"/>
      </w:r>
      <w:r w:rsidDel="00000000" w:rsidR="00000000" w:rsidRPr="00000000">
        <w:rPr>
          <w:color w:val="9900ff"/>
          <w:rtl w:val="0"/>
        </w:rPr>
        <w:t xml:space="preserve"> [TABLE PLACEHOLDER — already exists in current draft as Table 5.1.3-2; relabel "Control" and "System" columns as "Non-AEGIS" and "AEGIS"; carry over data verbatim, all three BOM rows]</w:t>
      </w:r>
    </w:p>
    <w:p w:rsidR="00000000" w:rsidDel="00000000" w:rsidP="00000000" w:rsidRDefault="00000000" w:rsidRPr="00000000" w14:paraId="000003EA">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3EB">
      <w:pPr>
        <w:spacing w:after="240" w:before="240" w:lineRule="auto"/>
        <w:rPr/>
      </w:pPr>
      <w:r w:rsidDel="00000000" w:rsidR="00000000" w:rsidRPr="00000000">
        <w:rPr>
          <w:color w:val="9900ff"/>
          <w:rtl w:val="0"/>
        </w:rPr>
        <w:t xml:space="preserve">[FIGURE PLACEHOLDER — already exists in current draft as Figure 5.1.3-2, "mean cycle time by BOM, Control vs. System"; relabel legend as Non-AEGIS vs. AEGIS; carry over data as-is]</w:t>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3ED">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3EE">
      <w:pPr>
        <w:spacing w:after="240" w:before="240" w:lineRule="auto"/>
        <w:rPr>
          <w:color w:val="9900ff"/>
        </w:rPr>
      </w:pPr>
      <w:r w:rsidDel="00000000" w:rsidR="00000000" w:rsidRPr="00000000">
        <w:rPr>
          <w:rtl w:val="0"/>
        </w:rPr>
        <w:t xml:space="preserve">Table 5.2.1.3: Total picks, total mass, mass/pick, and mean cycle time by BOM (n = 6), including CT/kg for both conditions.</w:t>
        <w:br w:type="textWrapping"/>
      </w:r>
      <w:r w:rsidDel="00000000" w:rsidR="00000000" w:rsidRPr="00000000">
        <w:rPr>
          <w:color w:val="9900ff"/>
          <w:rtl w:val="0"/>
        </w:rPr>
        <w:t xml:space="preserve"> [TABLE PLACEHOLDER — already exists in current draft as Table 5.1.3-3; relabel "Control" and "System" columns as "Non-AEGIS" and "AEGIS"; carry over data verbatim, all three BOM rows]</w:t>
      </w:r>
    </w:p>
    <w:p w:rsidR="00000000" w:rsidDel="00000000" w:rsidP="00000000" w:rsidRDefault="00000000" w:rsidRPr="00000000" w14:paraId="000003EF">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3F0">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3F1">
      <w:pPr>
        <w:spacing w:after="240" w:before="240" w:lineRule="auto"/>
        <w:rPr/>
      </w:pPr>
      <w:r w:rsidDel="00000000" w:rsidR="00000000" w:rsidRPr="00000000">
        <w:rPr>
          <w:color w:val="9900ff"/>
          <w:rtl w:val="0"/>
        </w:rPr>
        <w:t xml:space="preserve">[FIGURE PLACEHOLDER — already exists in current draft as Figure 5.1.3-3, "Cycle time vs. total mass handled by operator"; relabel legend as Non-AEGIS vs. AEGIS; carry over data as-is]</w:t>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3F2">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3F4">
      <w:pPr>
        <w:spacing w:after="240" w:before="240" w:lineRule="auto"/>
        <w:rPr>
          <w:color w:val="9900ff"/>
        </w:rPr>
      </w:pPr>
      <w:r w:rsidDel="00000000" w:rsidR="00000000" w:rsidRPr="00000000">
        <w:rPr>
          <w:rtl w:val="0"/>
        </w:rPr>
        <w:t xml:space="preserve">Table 5.2.1.4: Set-level mass, size mix, and cycle time per pick (n = 6), across all ten sets, listing pick count, total mass, mass/pick, non-Small share, and non-AEGIS/AEGIS CT/pick.</w:t>
        <w:br w:type="textWrapping"/>
      </w:r>
      <w:r w:rsidDel="00000000" w:rsidR="00000000" w:rsidRPr="00000000">
        <w:rPr>
          <w:color w:val="9900ff"/>
          <w:rtl w:val="0"/>
        </w:rPr>
        <w:t xml:space="preserve"> [TABLE PLACEHOLDER — already exists in current draft as Table 5.1.3-4; relabel "Control" and "System" columns as "Non-AEGIS" and "AEGIS"; carry over data verbatim, all ten set rows]</w:t>
      </w:r>
    </w:p>
    <w:p w:rsidR="00000000" w:rsidDel="00000000" w:rsidP="00000000" w:rsidRDefault="00000000" w:rsidRPr="00000000" w14:paraId="000003F5">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3F6">
      <w:pPr>
        <w:spacing w:after="240" w:before="240" w:lineRule="auto"/>
        <w:rPr/>
      </w:pPr>
      <w:r w:rsidDel="00000000" w:rsidR="00000000" w:rsidRPr="00000000">
        <w:rPr>
          <w:color w:val="9900ff"/>
          <w:rtl w:val="0"/>
        </w:rPr>
        <w:t xml:space="preserve">[FIGURE PLACEHOLDER — already exists in current draft as Figure 5.1.3-4, "Cycle time per pick vs. mass per pick, by set"; relabel legend as Non-AEGIS vs. AEGIS; carry over data as-is]</w:t>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3F8">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3F9">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3FA">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3FB">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3FC">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3FD">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3FE">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3FF">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400">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401">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402">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403">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404">
      <w:pPr>
        <w:spacing w:after="240" w:before="240" w:lineRule="auto"/>
        <w:rPr>
          <w:color w:val="9900ff"/>
        </w:rPr>
      </w:pPr>
      <w:r w:rsidDel="00000000" w:rsidR="00000000" w:rsidRPr="00000000">
        <w:rPr>
          <w:rtl w:val="0"/>
        </w:rPr>
        <w:t xml:space="preserve">Table 5.3.1.1: Operator ratings (1 = poor/strongly disagree, 5 = excellent/strongly agree), across nine rating dimensions (R1–R9), with mean, range, and n for each.</w:t>
        <w:br w:type="textWrapping"/>
      </w:r>
      <w:r w:rsidDel="00000000" w:rsidR="00000000" w:rsidRPr="00000000">
        <w:rPr>
          <w:color w:val="9900ff"/>
          <w:rtl w:val="0"/>
        </w:rPr>
        <w:t xml:space="preserve"> [TABLE PLACEHOLDER — already exists in current draft as Table 5.2, "Operator ratings"; carry over verbatim, all nine dimension rows, including the footnote noting R7 was not scored for one operator who did not trigger any errors during live runs (n = 5)]</w:t>
      </w:r>
    </w:p>
    <w:p w:rsidR="00000000" w:rsidDel="00000000" w:rsidP="00000000" w:rsidRDefault="00000000" w:rsidRPr="00000000" w14:paraId="00000405">
      <w:pPr>
        <w:spacing w:after="240" w:before="240" w:lineRule="auto"/>
        <w:rPr/>
      </w:pPr>
      <w:r w:rsidDel="00000000" w:rsidR="00000000" w:rsidRPr="00000000">
        <w:rPr>
          <w:color w:val="9900ff"/>
          <w:rtl w:val="0"/>
        </w:rPr>
        <w:t xml:space="preserve">[FIGURE PLACEHOLDER — already exists in current draft as Figure 5.2, "Rating distribution across the nine dimensions, showing means and individual data points"; carry over as-is]</w:t>
        <w:br w:type="textWrapping"/>
      </w:r>
      <w:r w:rsidDel="00000000" w:rsidR="00000000" w:rsidRPr="00000000">
        <w:rPr>
          <w:rtl w:val="0"/>
        </w:rPr>
        <w:t xml:space="preserve"> Figure 5.3.1.1: Rating distribution across the nine dimensions, showing means and individual data points.</w:t>
      </w:r>
    </w:p>
    <w:p w:rsidR="00000000" w:rsidDel="00000000" w:rsidP="00000000" w:rsidRDefault="00000000" w:rsidRPr="00000000" w14:paraId="00000406">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407">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408">
      <w:pPr>
        <w:spacing w:after="240" w:before="240" w:lineRule="auto"/>
        <w:rPr>
          <w:color w:val="9900ff"/>
        </w:rPr>
      </w:pPr>
      <w:r w:rsidDel="00000000" w:rsidR="00000000" w:rsidRPr="00000000">
        <w:rPr>
          <w:rtl w:val="0"/>
        </w:rPr>
        <w:t xml:space="preserve">Table 5.3.1.2: Usability gaps identified from operator feedback (G1–G6), listing issue, frequency, and a representative quote for each.</w:t>
        <w:br w:type="textWrapping"/>
      </w:r>
      <w:r w:rsidDel="00000000" w:rsidR="00000000" w:rsidRPr="00000000">
        <w:rPr>
          <w:color w:val="9900ff"/>
          <w:rtl w:val="0"/>
        </w:rPr>
        <w:t xml:space="preserve"> [TABLE PLACEHOLDER — already exists in current draft as Table 5.3, "Usability gaps identified from operator feedback"; carry over verbatim, all six gap rows]</w:t>
      </w:r>
    </w:p>
    <w:p w:rsidR="00000000" w:rsidDel="00000000" w:rsidP="00000000" w:rsidRDefault="00000000" w:rsidRPr="00000000" w14:paraId="0000040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40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40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40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40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40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40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41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411">
      <w:pPr>
        <w:spacing w:after="240" w:before="240" w:lineRule="auto"/>
        <w:rPr/>
      </w:pPr>
      <w:r w:rsidDel="00000000" w:rsidR="00000000" w:rsidRPr="00000000">
        <w:rPr>
          <w:color w:val="9900ff"/>
          <w:rtl w:val="0"/>
        </w:rPr>
        <w:t xml:space="preserve">[FIGURE PLACEHOLDER — already exists in current draft as Figure 5.4, "TE Connectivity stakeholder testing the AEGIS prototype during the final validation session"; carry over as-is]</w:t>
        <w:br w:type="textWrapping"/>
      </w:r>
      <w:r w:rsidDel="00000000" w:rsidR="00000000" w:rsidRPr="00000000">
        <w:rPr>
          <w:rtl w:val="0"/>
        </w:rPr>
        <w:t xml:space="preserve"> Figure 5.4.1.1: TE Connectivity stakeholder testing the AEGIS prototype during the final validation session.</w:t>
      </w:r>
    </w:p>
    <w:p w:rsidR="00000000" w:rsidDel="00000000" w:rsidP="00000000" w:rsidRDefault="00000000" w:rsidRPr="00000000" w14:paraId="00000412">
      <w:pPr>
        <w:spacing w:after="240" w:before="240" w:lineRule="auto"/>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labour time compared to their current end-of-line weighing measures.</w:t>
      </w:r>
    </w:p>
    <w:p w:rsidR="00000000" w:rsidDel="00000000" w:rsidP="00000000" w:rsidRDefault="00000000" w:rsidRPr="00000000" w14:paraId="0000041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41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 — branching out tedious, light-item kitting into a separate process line — was discussed and deemed a viable solution.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415">
      <w:pPr>
        <w:spacing w:after="240" w:before="240" w:lineRule="auto"/>
        <w:rPr>
          <w:color w:val="9900ff"/>
        </w:rPr>
      </w:pPr>
      <w:r w:rsidDel="00000000" w:rsidR="00000000" w:rsidRPr="00000000">
        <w:rPr>
          <w:rtl w:val="0"/>
        </w:rPr>
        <w:t xml:space="preserve">Table 5.4.1.1: Summary of stakeholder feedback and recommended actions, across four categories (System Readiness, Error Prevention, Limitations, Future Scope).</w:t>
        <w:br w:type="textWrapping"/>
      </w:r>
      <w:r w:rsidDel="00000000" w:rsidR="00000000" w:rsidRPr="00000000">
        <w:rPr>
          <w:color w:val="9900ff"/>
          <w:rtl w:val="0"/>
        </w:rPr>
        <w:t xml:space="preserve"> [TABLE PLACEHOLDER — already exists in current draft as Table 5.6, "Summary of stakeholder feedback and recommended actions"; carry over verbatim, all four category rows]</w:t>
      </w:r>
    </w:p>
    <w:p w:rsidR="00000000" w:rsidDel="00000000" w:rsidP="00000000" w:rsidRDefault="00000000" w:rsidRPr="00000000" w14:paraId="00000416">
      <w:pPr>
        <w:spacing w:after="240" w:before="240" w:lineRule="auto"/>
        <w:rPr/>
      </w:pPr>
      <w:r w:rsidDel="00000000" w:rsidR="00000000" w:rsidRPr="00000000">
        <w:rPr>
          <w:rtl w:val="0"/>
        </w:rPr>
        <w:t xml:space="preserve">The full interview transcript from which this feedback was drawn is provided in Appendix C.</w:t>
      </w:r>
    </w:p>
    <w:p w:rsidR="00000000" w:rsidDel="00000000" w:rsidP="00000000" w:rsidRDefault="00000000" w:rsidRPr="00000000" w14:paraId="00000417">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418">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419">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41A">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41B">
      <w:pPr>
        <w:spacing w:after="240" w:before="240" w:lineRule="auto"/>
        <w:rPr>
          <w:color w:val="9900ff"/>
        </w:rPr>
      </w:pPr>
      <w:r w:rsidDel="00000000" w:rsidR="00000000" w:rsidRPr="00000000">
        <w:rPr>
          <w:rtl w:val="0"/>
        </w:rPr>
        <w:t xml:space="preserve">Table 5.4.2.1: Requirements validation matrix — status (Met/Partial) and verification evidence for D-01 through D-10.</w:t>
        <w:br w:type="textWrapping"/>
      </w:r>
      <w:r w:rsidDel="00000000" w:rsidR="00000000" w:rsidRPr="00000000">
        <w:rPr>
          <w:color w:val="9900ff"/>
          <w:rtl w:val="0"/>
        </w:rPr>
        <w:t xml:space="preserve"> [TABLE PLACEHOLDER — already exists in current draft as Table 5.5, "Requirements validation matrix"; carry over verbatim, all eleven requirement rows, preserving original Met/Partial statuses and verification evidence text]</w:t>
      </w:r>
    </w:p>
    <w:p w:rsidR="00000000" w:rsidDel="00000000" w:rsidP="00000000" w:rsidRDefault="00000000" w:rsidRPr="00000000" w14:paraId="0000041C">
      <w:pPr>
        <w:pStyle w:val="Heading2"/>
        <w:keepNext w:val="0"/>
        <w:keepLines w:val="0"/>
        <w:spacing w:after="80" w:lineRule="auto"/>
        <w:rPr>
          <w:sz w:val="34"/>
          <w:szCs w:val="34"/>
        </w:rPr>
      </w:pPr>
      <w:bookmarkStart w:colFirst="0" w:colLast="0" w:name="_pb4w3gusfbrt" w:id="92"/>
      <w:bookmarkEnd w:id="92"/>
      <w:r w:rsidDel="00000000" w:rsidR="00000000" w:rsidRPr="00000000">
        <w:rPr>
          <w:sz w:val="34"/>
          <w:szCs w:val="34"/>
          <w:rtl w:val="0"/>
        </w:rPr>
        <w:t xml:space="preserve">Chapter 6: System Cost and Return on Investment</w:t>
      </w:r>
    </w:p>
    <w:p w:rsidR="00000000" w:rsidDel="00000000" w:rsidP="00000000" w:rsidRDefault="00000000" w:rsidRPr="00000000" w14:paraId="0000041D">
      <w:pPr>
        <w:pStyle w:val="Heading3"/>
        <w:keepNext w:val="0"/>
        <w:keepLines w:val="0"/>
        <w:spacing w:before="280" w:lineRule="auto"/>
        <w:rPr>
          <w:sz w:val="26"/>
          <w:szCs w:val="26"/>
        </w:rPr>
      </w:pPr>
      <w:bookmarkStart w:colFirst="0" w:colLast="0" w:name="_ual4kx6kyubh" w:id="93"/>
      <w:bookmarkEnd w:id="93"/>
      <w:r w:rsidDel="00000000" w:rsidR="00000000" w:rsidRPr="00000000">
        <w:rPr>
          <w:sz w:val="26"/>
          <w:szCs w:val="26"/>
          <w:rtl w:val="0"/>
        </w:rPr>
        <w:t xml:space="preserve">6.1 Costing Methodology and Scope</w:t>
      </w:r>
    </w:p>
    <w:p w:rsidR="00000000" w:rsidDel="00000000" w:rsidP="00000000" w:rsidRDefault="00000000" w:rsidRPr="00000000" w14:paraId="0000041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41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420">
      <w:pPr>
        <w:spacing w:after="240" w:before="240" w:lineRule="auto"/>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p>
    <w:p w:rsidR="00000000" w:rsidDel="00000000" w:rsidP="00000000" w:rsidRDefault="00000000" w:rsidRPr="00000000" w14:paraId="00000421">
      <w:pPr>
        <w:spacing w:after="240" w:before="240" w:lineRule="auto"/>
        <w:rPr>
          <w:color w:val="ff0000"/>
        </w:rPr>
      </w:pPr>
      <w:r w:rsidDel="00000000" w:rsidR="00000000" w:rsidRPr="00000000">
        <w:rPr>
          <w:color w:val="ff0000"/>
          <w:rtl w:val="0"/>
        </w:rPr>
        <w:t xml:space="preserve">[CONTENT NEEDED — new paragraph per your ground rules for 6.1: a paragraph establishing that this cost analysis is standardised on Singapore rates rather than China, since AEGIS is intended for cross-country deployment and the cell workstation was established (Chapter 1) as the consistent unit across plants — making a single reference locale more meaningful than a plant-specific one. This paragraph is newly drafted rather than sourced, consistent with facts already established in Chapter 1 (cross-plant variability, workstation as the consistent unit) and the existing SGD-denominated costing convention above. Flagging per the ground rules rather than inserting silently — confirm wording below or provide your own:</w:t>
      </w:r>
    </w:p>
    <w:p w:rsidR="00000000" w:rsidDel="00000000" w:rsidP="00000000" w:rsidRDefault="00000000" w:rsidRPr="00000000" w14:paraId="00000422">
      <w:pPr>
        <w:spacing w:after="240" w:before="240" w:lineRule="auto"/>
        <w:rPr>
          <w:color w:val="ff0000"/>
        </w:rPr>
      </w:pPr>
      <w:r w:rsidDel="00000000" w:rsidR="00000000" w:rsidRPr="00000000">
        <w:rPr>
          <w:color w:val="ff0000"/>
          <w:rtl w:val="0"/>
        </w:rPr>
        <w:t xml:space="preserve">Draft: "This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w:t>
      </w:r>
    </w:p>
    <w:p w:rsidR="00000000" w:rsidDel="00000000" w:rsidP="00000000" w:rsidRDefault="00000000" w:rsidRPr="00000000" w14:paraId="00000423">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425">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426">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427">
      <w:pPr>
        <w:pStyle w:val="Heading3"/>
        <w:keepNext w:val="0"/>
        <w:keepLines w:val="0"/>
        <w:spacing w:before="280" w:lineRule="auto"/>
        <w:rPr>
          <w:sz w:val="26"/>
          <w:szCs w:val="26"/>
        </w:rPr>
      </w:pPr>
      <w:bookmarkStart w:colFirst="0" w:colLast="0" w:name="_p79990jrpc9q" w:id="94"/>
      <w:bookmarkEnd w:id="94"/>
      <w:r w:rsidDel="00000000" w:rsidR="00000000" w:rsidRPr="00000000">
        <w:rPr>
          <w:sz w:val="26"/>
          <w:szCs w:val="26"/>
          <w:rtl w:val="0"/>
        </w:rPr>
        <w:t xml:space="preserve">6.2 Extended Bill of Materials</w:t>
      </w:r>
    </w:p>
    <w:p w:rsidR="00000000" w:rsidDel="00000000" w:rsidP="00000000" w:rsidRDefault="00000000" w:rsidRPr="00000000" w14:paraId="00000428">
      <w:pPr>
        <w:pStyle w:val="Heading4"/>
        <w:keepNext w:val="0"/>
        <w:keepLines w:val="0"/>
        <w:spacing w:after="40" w:before="240" w:lineRule="auto"/>
        <w:rPr>
          <w:b w:val="1"/>
          <w:bCs w:val="1"/>
          <w:sz w:val="22"/>
          <w:szCs w:val="22"/>
        </w:rPr>
      </w:pPr>
      <w:bookmarkStart w:colFirst="0" w:colLast="0" w:name="_bz3p2xa1ecn8" w:id="95"/>
      <w:bookmarkEnd w:id="95"/>
      <w:r w:rsidDel="00000000" w:rsidR="00000000" w:rsidRPr="00000000">
        <w:rPr>
          <w:b w:val="1"/>
          <w:bCs w:val="1"/>
          <w:sz w:val="22"/>
          <w:szCs w:val="22"/>
          <w:rtl w:val="0"/>
        </w:rPr>
        <w:t xml:space="preserve">6.2.1 Core System Components</w:t>
      </w:r>
    </w:p>
    <w:p w:rsidR="00000000" w:rsidDel="00000000" w:rsidP="00000000" w:rsidRDefault="00000000" w:rsidRPr="00000000" w14:paraId="00000429">
      <w:pPr>
        <w:spacing w:after="240" w:before="240" w:lineRule="auto"/>
        <w:rPr>
          <w:color w:val="9900ff"/>
        </w:rPr>
      </w:pPr>
      <w:r w:rsidDel="00000000" w:rsidR="00000000" w:rsidRPr="00000000">
        <w:rPr>
          <w:rtl w:val="0"/>
        </w:rPr>
        <w:t xml:space="preserve">Table 6.2.1.1: Core station components, both tiers (distributor quotes), across six component categories (Camera, Edge compute, Microcontroller/IO, Monitor/HMI, Key input, Buzzer), with base-tier and industrial-tier costs and a fixed-cost subtotal.</w:t>
        <w:br w:type="textWrapping"/>
      </w:r>
      <w:r w:rsidDel="00000000" w:rsidR="00000000" w:rsidRPr="00000000">
        <w:rPr>
          <w:color w:val="9900ff"/>
          <w:rtl w:val="0"/>
        </w:rPr>
        <w:t xml:space="preserve"> [TABLE PLACEHOLDER — already exists in current draft as Table 6.1, "Core station components, both tiers"; carry over verbatim, all six component rows plus the "Core station fixed" subtotal row]</w:t>
      </w:r>
    </w:p>
    <w:p w:rsidR="00000000" w:rsidDel="00000000" w:rsidP="00000000" w:rsidRDefault="00000000" w:rsidRPr="00000000" w14:paraId="0000042A">
      <w:pPr>
        <w:pStyle w:val="Heading4"/>
        <w:keepNext w:val="0"/>
        <w:keepLines w:val="0"/>
        <w:spacing w:after="40" w:before="240" w:lineRule="auto"/>
        <w:rPr>
          <w:b w:val="1"/>
          <w:bCs w:val="1"/>
          <w:sz w:val="22"/>
          <w:szCs w:val="22"/>
        </w:rPr>
      </w:pPr>
      <w:bookmarkStart w:colFirst="0" w:colLast="0" w:name="_yvn78kfo387y" w:id="96"/>
      <w:bookmarkEnd w:id="96"/>
      <w:r w:rsidDel="00000000" w:rsidR="00000000" w:rsidRPr="00000000">
        <w:rPr>
          <w:b w:val="1"/>
          <w:bCs w:val="1"/>
          <w:sz w:val="22"/>
          <w:szCs w:val="22"/>
          <w:rtl w:val="0"/>
        </w:rPr>
        <w:t xml:space="preserve">6.2.2 Supplementary Components</w:t>
      </w:r>
    </w:p>
    <w:p w:rsidR="00000000" w:rsidDel="00000000" w:rsidP="00000000" w:rsidRDefault="00000000" w:rsidRPr="00000000" w14:paraId="0000042B">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42C">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42D">
      <w:pPr>
        <w:spacing w:after="240" w:before="240" w:lineRule="auto"/>
        <w:rPr>
          <w:color w:val="9900ff"/>
        </w:rPr>
      </w:pPr>
      <w:r w:rsidDel="00000000" w:rsidR="00000000" w:rsidRPr="00000000">
        <w:rPr>
          <w:rtl w:val="0"/>
        </w:rPr>
        <w:t xml:space="preserve">Table 6.2.2.1: Previously-unaccounted per-station items, listing item, midpoint cost, range, and basis for each of eleven categories (frame, bin platforms, locking hardware, mounts, lighting, storage rack, wiring, integration attachments, software, extra storage hardware, misc consumables), plus an additions subtotal.</w:t>
        <w:br w:type="textWrapping"/>
      </w:r>
      <w:r w:rsidDel="00000000" w:rsidR="00000000" w:rsidRPr="00000000">
        <w:rPr>
          <w:color w:val="9900ff"/>
          <w:rtl w:val="0"/>
        </w:rPr>
        <w:t xml:space="preserve"> [TABLE PLACEHOLDER — already exists in current draft as Table 6.2, "Previously-unaccounted per-station items"; carry over verbatim, all eleven item rows plus the "Additions subtotal" row]</w:t>
      </w:r>
    </w:p>
    <w:p w:rsidR="00000000" w:rsidDel="00000000" w:rsidP="00000000" w:rsidRDefault="00000000" w:rsidRPr="00000000" w14:paraId="0000042E">
      <w:pPr>
        <w:pStyle w:val="Heading4"/>
        <w:keepNext w:val="0"/>
        <w:keepLines w:val="0"/>
        <w:spacing w:after="40" w:before="240" w:lineRule="auto"/>
        <w:rPr>
          <w:b w:val="1"/>
          <w:bCs w:val="1"/>
          <w:sz w:val="22"/>
          <w:szCs w:val="22"/>
        </w:rPr>
      </w:pPr>
      <w:bookmarkStart w:colFirst="0" w:colLast="0" w:name="_drscdx3e8x0" w:id="97"/>
      <w:bookmarkEnd w:id="97"/>
      <w:r w:rsidDel="00000000" w:rsidR="00000000" w:rsidRPr="00000000">
        <w:rPr>
          <w:b w:val="1"/>
          <w:bCs w:val="1"/>
          <w:sz w:val="22"/>
          <w:szCs w:val="22"/>
          <w:rtl w:val="0"/>
        </w:rPr>
        <w:t xml:space="preserve">6.2.3 Scalability Cost</w:t>
      </w:r>
    </w:p>
    <w:p w:rsidR="00000000" w:rsidDel="00000000" w:rsidP="00000000" w:rsidRDefault="00000000" w:rsidRPr="00000000" w14:paraId="0000042F">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standalone "scalability cost" discussion distinct from (a) the per-bin marginal cost already covered in Section 6.2.2 above, and (b) the NRE amortisation-across-fleet-size discussion, which the ground-rules content mapping assigns to Section 6.2.4 (Development and Maintenance) rather than here. The closest relevant figures — per-station development cost falling from S$6,803 at 10 units to S$680 at 100 units — are development/NRE figures, not a distinct scalability-of-hardware cost, and are presented under 6.2.4 to avoid duplicating that content in two subsections.]</w:t>
      </w:r>
    </w:p>
    <w:p w:rsidR="00000000" w:rsidDel="00000000" w:rsidP="00000000" w:rsidRDefault="00000000" w:rsidRPr="00000000" w14:paraId="00000430">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6.2.4 Development and Maintenance Cost</w:t>
      </w:r>
    </w:p>
    <w:p w:rsidR="00000000" w:rsidDel="00000000" w:rsidP="00000000" w:rsidRDefault="00000000" w:rsidRPr="00000000" w14:paraId="00000431">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432">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433">
      <w:pPr>
        <w:spacing w:after="240" w:before="240" w:lineRule="auto"/>
        <w:rPr>
          <w:color w:val="9900ff"/>
        </w:rPr>
      </w:pPr>
      <w:r w:rsidDel="00000000" w:rsidR="00000000" w:rsidRPr="00000000">
        <w:rPr>
          <w:rtl w:val="0"/>
        </w:rPr>
        <w:t xml:space="preserve">Table 6.2.4.1: NRE cost by effort level (12, 18, and 24 person-months), in SGD.</w:t>
        <w:br w:type="textWrapping"/>
      </w:r>
      <w:r w:rsidDel="00000000" w:rsidR="00000000" w:rsidRPr="00000000">
        <w:rPr>
          <w:color w:val="9900ff"/>
          <w:rtl w:val="0"/>
        </w:rPr>
        <w:t xml:space="preserve"> [TABLE PLACEHOLDER — already exists in current draft as the unlabelled NRE table under old Section 6.2.4; carry over verbatim, all three effort rows]</w:t>
      </w:r>
    </w:p>
    <w:p w:rsidR="00000000" w:rsidDel="00000000" w:rsidP="00000000" w:rsidRDefault="00000000" w:rsidRPr="00000000" w14:paraId="00000434">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435">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436">
      <w:pPr>
        <w:spacing w:after="240" w:before="240" w:lineRule="auto"/>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 — per-station development cost vs. deployment fleet size.</w:t>
      </w:r>
    </w:p>
    <w:p w:rsidR="00000000" w:rsidDel="00000000" w:rsidP="00000000" w:rsidRDefault="00000000" w:rsidRPr="00000000" w14:paraId="00000437">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6.2.5 Cost Summary</w:t>
      </w:r>
    </w:p>
    <w:p w:rsidR="00000000" w:rsidDel="00000000" w:rsidP="00000000" w:rsidRDefault="00000000" w:rsidRPr="00000000" w14:paraId="00000438">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439">
      <w:pPr>
        <w:spacing w:after="240" w:before="240" w:lineRule="auto"/>
        <w:rPr>
          <w:color w:val="9900ff"/>
        </w:rPr>
      </w:pPr>
      <w:r w:rsidDel="00000000" w:rsidR="00000000" w:rsidRPr="00000000">
        <w:rPr>
          <w:rtl w:val="0"/>
        </w:rPr>
        <w:t xml:space="preserve">Table 6.2.5.1: Per-station total cost of ownership, both tiers, buffer included — core station, sensing (9 bins), additions, hardware subtotal, +20% buffer, maintenance, and NRE.</w:t>
        <w:br w:type="textWrapping"/>
      </w:r>
      <w:r w:rsidDel="00000000" w:rsidR="00000000" w:rsidRPr="00000000">
        <w:rPr>
          <w:color w:val="9900ff"/>
          <w:rtl w:val="0"/>
        </w:rPr>
        <w:t xml:space="preserve"> [TABLE PLACEHOLDER — already exists in current draft as Table 6.3, "Per-station total cost of ownership, both tiers, buffer included"; carry over verbatim, all rows including the "+20% buffer" and "NRE (amortised, indicative)" rows]</w:t>
      </w:r>
    </w:p>
    <w:p w:rsidR="00000000" w:rsidDel="00000000" w:rsidP="00000000" w:rsidRDefault="00000000" w:rsidRPr="00000000" w14:paraId="0000043A">
      <w:pPr>
        <w:spacing w:after="240" w:before="240" w:lineRule="auto"/>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 (core / sensing / additions / buffer), base vs. industrial tier.</w:t>
      </w:r>
    </w:p>
    <w:p w:rsidR="00000000" w:rsidDel="00000000" w:rsidP="00000000" w:rsidRDefault="00000000" w:rsidRPr="00000000" w14:paraId="0000043B">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43C">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43D">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43E">
      <w:pPr>
        <w:spacing w:after="240" w:before="240" w:lineRule="auto"/>
        <w:rPr>
          <w:color w:val="9900ff"/>
        </w:rPr>
      </w:pPr>
      <w:r w:rsidDel="00000000" w:rsidR="00000000" w:rsidRPr="00000000">
        <w:rPr>
          <w:rtl w:val="0"/>
        </w:rPr>
        <w:t xml:space="preserve">Table 6.3.1.1: Per-cell annual COPQ band, at base FX (1.29) and worst-case FX (1.25), across conservative (6 cells) and optimistic (4 cells) distribution assumptions.</w:t>
        <w:br w:type="textWrapping"/>
      </w:r>
      <w:r w:rsidDel="00000000" w:rsidR="00000000" w:rsidRPr="00000000">
        <w:rPr>
          <w:color w:val="9900ff"/>
          <w:rtl w:val="0"/>
        </w:rPr>
        <w:t xml:space="preserve"> [TABLE PLACEHOLDER — already exists in current draft as Table 6.4, "Per-cell annual COPQ band"; carry over verbatim, both FX rows]</w:t>
      </w:r>
    </w:p>
    <w:p w:rsidR="00000000" w:rsidDel="00000000" w:rsidP="00000000" w:rsidRDefault="00000000" w:rsidRPr="00000000" w14:paraId="0000043F">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440">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442">
      <w:pPr>
        <w:spacing w:after="240" w:before="240" w:lineRule="auto"/>
        <w:rPr>
          <w:color w:val="9900ff"/>
        </w:rPr>
      </w:pPr>
      <w:r w:rsidDel="00000000" w:rsidR="00000000" w:rsidRPr="00000000">
        <w:rPr>
          <w:rtl w:val="0"/>
        </w:rPr>
        <w:t xml:space="preserve">Table 6.3.2.1: Payback, hardware-only (NRE excluded), across five scenarios (base-tier best/mid/worst, industrial mid/worst), listing cost, net benefit/year, and payback period.</w:t>
        <w:br w:type="textWrapping"/>
      </w:r>
      <w:r w:rsidDel="00000000" w:rsidR="00000000" w:rsidRPr="00000000">
        <w:rPr>
          <w:color w:val="9900ff"/>
          <w:rtl w:val="0"/>
        </w:rPr>
        <w:t xml:space="preserve"> [TABLE PLACEHOLDER — already exists in current draft as Table 6.5, "Payback, hardware-only (NRE excluded)"; carry over verbatim, all five scenario rows. Note: the worst-case row stacks every pessimistic assumption simultaneously]</w:t>
      </w:r>
    </w:p>
    <w:p w:rsidR="00000000" w:rsidDel="00000000" w:rsidP="00000000" w:rsidRDefault="00000000" w:rsidRPr="00000000" w14:paraId="00000443">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444">
      <w:pPr>
        <w:spacing w:after="240" w:before="240" w:lineRule="auto"/>
        <w:rPr>
          <w:color w:val="9900ff"/>
        </w:rPr>
      </w:pPr>
      <w:r w:rsidDel="00000000" w:rsidR="00000000" w:rsidRPr="00000000">
        <w:rPr>
          <w:rtl w:val="0"/>
        </w:rPr>
        <w:t xml:space="preserve">Table 6.3.2.2: Base-tier payback sensitivity grid, COPQ (low/mid/high) × error-reduction fraction (50%/75%/90%).</w:t>
        <w:br w:type="textWrapping"/>
      </w:r>
      <w:r w:rsidDel="00000000" w:rsidR="00000000" w:rsidRPr="00000000">
        <w:rPr>
          <w:color w:val="9900ff"/>
          <w:rtl w:val="0"/>
        </w:rPr>
        <w:t xml:space="preserve"> [TABLE PLACEHOLDER — already exists in current draft as Table 6.6, "Base-tier payback sensitivity grid"; carry over verbatim, all three COPQ rows]</w:t>
      </w:r>
    </w:p>
    <w:p w:rsidR="00000000" w:rsidDel="00000000" w:rsidP="00000000" w:rsidRDefault="00000000" w:rsidRPr="00000000" w14:paraId="00000445">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446">
      <w:pPr>
        <w:spacing w:after="240" w:before="240" w:lineRule="auto"/>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 across best / mid / worst scenarios, with break-even crossings marked.</w:t>
      </w:r>
    </w:p>
    <w:p w:rsidR="00000000" w:rsidDel="00000000" w:rsidP="00000000" w:rsidRDefault="00000000" w:rsidRPr="00000000" w14:paraId="00000447">
      <w:pPr>
        <w:spacing w:after="240" w:before="240" w:lineRule="auto"/>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 base tier, with the W-02 ceiling and a three-year-horizon contour overlaid.</w:t>
      </w:r>
    </w:p>
    <w:p w:rsidR="00000000" w:rsidDel="00000000" w:rsidP="00000000" w:rsidRDefault="00000000" w:rsidRPr="00000000" w14:paraId="00000448">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449">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44A">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44B">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44C">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44D">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44E">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44F">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450">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451">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452">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453">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454">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455">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456">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457">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458">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459">
      <w:pPr>
        <w:spacing w:after="240" w:before="240" w:lineRule="auto"/>
        <w:rPr>
          <w:color w:val="ff0000"/>
        </w:rPr>
      </w:pPr>
      <w:r w:rsidDel="00000000" w:rsidR="00000000" w:rsidRPr="00000000">
        <w:rPr>
          <w:rtl w:val="0"/>
        </w:rPr>
        <w:t xml:space="preserve">To practically validate this scalability, a secondary, expanded workstation setup was constructed. </w:t>
      </w:r>
      <w:r w:rsidDel="00000000" w:rsidR="00000000" w:rsidRPr="00000000">
        <w:rPr>
          <w:color w:val="ff0000"/>
          <w:rtl w:val="0"/>
        </w:rPr>
        <w:t xml:space="preserve">[CONTENT NEEDED — no source material in current draft: the original text contains an unresolved placeholder here — "[PLACEHOLDER: Insert brief description of the new setup's physical dimensions and increased bin capacity]" — which cannot be reorganised from existing content.]</w:t>
      </w:r>
    </w:p>
    <w:p w:rsidR="00000000" w:rsidDel="00000000" w:rsidP="00000000" w:rsidRDefault="00000000" w:rsidRPr="00000000" w14:paraId="0000045A">
      <w:pPr>
        <w:spacing w:after="240" w:before="240" w:lineRule="auto"/>
        <w:rPr>
          <w:color w:val="ff0000"/>
        </w:rPr>
      </w:pPr>
      <w:r w:rsidDel="00000000" w:rsidR="00000000" w:rsidRPr="00000000">
        <w:rPr>
          <w:rtl w:val="0"/>
        </w:rPr>
        <w:t xml:space="preserve">Deployments on this expanded setup demonstrated that the core architecture seamlessly supports higher throughput. </w:t>
      </w:r>
      <w:r w:rsidDel="00000000" w:rsidR="00000000" w:rsidRPr="00000000">
        <w:rPr>
          <w:color w:val="ff0000"/>
          <w:rtl w:val="0"/>
        </w:rPr>
        <w:t xml:space="preserve">[CONTENT NEEDED — no source material in current draft: the original text contains a second unresolved placeholder here — "[PLACEHOLDER: Insert specific validation metrics, e.g., latency impact or CPU overhead, proving it scaled successfully]" — which cannot be reorganised from existing content.]</w:t>
      </w:r>
    </w:p>
    <w:p w:rsidR="00000000" w:rsidDel="00000000" w:rsidP="00000000" w:rsidRDefault="00000000" w:rsidRPr="00000000" w14:paraId="0000045B">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45C">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45D">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45E">
      <w:pPr>
        <w:spacing w:after="240" w:before="240" w:lineRule="auto"/>
        <w:rPr>
          <w:color w:val="9900ff"/>
        </w:rPr>
      </w:pPr>
      <w:r w:rsidDel="00000000" w:rsidR="00000000" w:rsidRPr="00000000">
        <w:rPr>
          <w:rtl w:val="0"/>
        </w:rPr>
        <w:t xml:space="preserve">Table 7.4.1: Future development directions, listing priority (High/Medium/Low), direction, and description, across five identified areas (multi-workstation orchestration, MES integration, light-item resolution, bin colour generalisation, predictive analytics).</w:t>
        <w:br w:type="textWrapping"/>
      </w:r>
      <w:r w:rsidDel="00000000" w:rsidR="00000000" w:rsidRPr="00000000">
        <w:rPr>
          <w:color w:val="9900ff"/>
          <w:rtl w:val="0"/>
        </w:rPr>
        <w:t xml:space="preserve"> [TABLE PLACEHOLDER — already exists in current draft as Table 6.1 (mislabelled with the same number as the Chapter 6 core-components table in the source), "Future development directions"; carry over verbatim, all five direction rows]</w:t>
      </w:r>
    </w:p>
    <w:p w:rsidR="00000000" w:rsidDel="00000000" w:rsidP="00000000" w:rsidRDefault="00000000" w:rsidRPr="00000000" w14:paraId="0000045F">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460">
      <w:pPr>
        <w:pStyle w:val="Heading2"/>
        <w:keepNext w:val="0"/>
        <w:keepLines w:val="0"/>
        <w:spacing w:after="80" w:lineRule="auto"/>
        <w:rPr>
          <w:sz w:val="34"/>
          <w:szCs w:val="34"/>
        </w:rPr>
      </w:pPr>
      <w:bookmarkStart w:colFirst="0" w:colLast="0" w:name="_jr9b71fb4143" w:id="110"/>
      <w:bookmarkEnd w:id="110"/>
      <w:r w:rsidDel="00000000" w:rsidR="00000000" w:rsidRPr="00000000">
        <w:rPr>
          <w:sz w:val="34"/>
          <w:szCs w:val="34"/>
          <w:rtl w:val="0"/>
        </w:rPr>
        <w:t xml:space="preserve">Chapter 8: Conclusion</w:t>
      </w:r>
    </w:p>
    <w:p w:rsidR="00000000" w:rsidDel="00000000" w:rsidP="00000000" w:rsidRDefault="00000000" w:rsidRPr="00000000" w14:paraId="00000461">
      <w:pPr>
        <w:spacing w:after="240" w:before="240" w:lineRule="auto"/>
        <w:rPr>
          <w:color w:val="ff0000"/>
        </w:rPr>
      </w:pPr>
      <w:r w:rsidDel="00000000" w:rsidR="00000000" w:rsidRPr="00000000">
        <w:rPr>
          <w:color w:val="ff0000"/>
          <w:rtl w:val="0"/>
        </w:rPr>
        <w:t xml:space="preserve">[CONTENT NEEDED — no source material in current draft: the current draft has no standalone conclusion section distinct from the Summary of Validation (old Section 7.1, reorganised into Section 7.1 of the new structure). Per your ground rules, a short closing synthesis may be drafted here only if it can be built purely from facts already stated elsewhere in the report, with no new claims introduced.</w:t>
      </w:r>
    </w:p>
    <w:p w:rsidR="00000000" w:rsidDel="00000000" w:rsidP="00000000" w:rsidRDefault="00000000" w:rsidRPr="00000000" w14:paraId="00000462">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463">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464">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465">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466">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467">
      <w:pPr>
        <w:pStyle w:val="Heading2"/>
        <w:keepNext w:val="0"/>
        <w:keepLines w:val="0"/>
        <w:spacing w:after="80" w:lineRule="auto"/>
        <w:rPr>
          <w:sz w:val="34"/>
          <w:szCs w:val="34"/>
        </w:rPr>
      </w:pPr>
      <w:bookmarkStart w:colFirst="0" w:colLast="0" w:name="_hdfukgfwvqou" w:id="111"/>
      <w:bookmarkEnd w:id="111"/>
      <w:r w:rsidDel="00000000" w:rsidR="00000000" w:rsidRPr="00000000">
        <w:rPr>
          <w:sz w:val="34"/>
          <w:szCs w:val="34"/>
          <w:rtl w:val="0"/>
        </w:rPr>
        <w:t xml:space="preserve">Chapter 9: Reflections and Lessons Learned</w:t>
      </w:r>
    </w:p>
    <w:p w:rsidR="00000000" w:rsidDel="00000000" w:rsidP="00000000" w:rsidRDefault="00000000" w:rsidRPr="00000000" w14:paraId="00000468">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469">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46A">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46B">
      <w:pPr>
        <w:pStyle w:val="Heading2"/>
        <w:keepNext w:val="0"/>
        <w:keepLines w:val="0"/>
        <w:spacing w:after="80" w:lineRule="auto"/>
        <w:rPr>
          <w:sz w:val="34"/>
          <w:szCs w:val="34"/>
        </w:rPr>
      </w:pPr>
      <w:bookmarkStart w:colFirst="0" w:colLast="0" w:name="_9wf4ydvv4lsz" w:id="112"/>
      <w:bookmarkEnd w:id="112"/>
      <w:r w:rsidDel="00000000" w:rsidR="00000000" w:rsidRPr="00000000">
        <w:rPr>
          <w:sz w:val="34"/>
          <w:szCs w:val="34"/>
          <w:rtl w:val="0"/>
        </w:rPr>
        <w:t xml:space="preserve">References</w:t>
      </w:r>
    </w:p>
    <w:p w:rsidR="00000000" w:rsidDel="00000000" w:rsidP="00000000" w:rsidRDefault="00000000" w:rsidRPr="00000000" w14:paraId="0000046C">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46D">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46E">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46F">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470">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471">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472">
      <w:pPr>
        <w:spacing w:after="240" w:before="240" w:lineRule="auto"/>
        <w:rPr/>
      </w:pPr>
      <w:r w:rsidDel="00000000" w:rsidR="00000000" w:rsidRPr="00000000">
        <w:rPr>
          <w:rtl w:val="0"/>
        </w:rPr>
        <w:t xml:space="preserve">[7] Google, "Hand landmarker," Google AI Edge. [Online]. Available: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473">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474">
      <w:pPr>
        <w:pStyle w:val="Heading2"/>
        <w:keepNext w:val="0"/>
        <w:keepLines w:val="0"/>
        <w:spacing w:after="80" w:lineRule="auto"/>
        <w:rPr>
          <w:sz w:val="34"/>
          <w:szCs w:val="34"/>
        </w:rPr>
      </w:pPr>
      <w:bookmarkStart w:colFirst="0" w:colLast="0" w:name="_e32ghvmjld7v" w:id="113"/>
      <w:bookmarkEnd w:id="113"/>
      <w:r w:rsidDel="00000000" w:rsidR="00000000" w:rsidRPr="00000000">
        <w:rPr>
          <w:sz w:val="34"/>
          <w:szCs w:val="34"/>
          <w:rtl w:val="0"/>
        </w:rPr>
        <w:t xml:space="preserve">Appendices</w:t>
      </w:r>
    </w:p>
    <w:p w:rsidR="00000000" w:rsidDel="00000000" w:rsidP="00000000" w:rsidRDefault="00000000" w:rsidRPr="00000000" w14:paraId="00000475">
      <w:pPr>
        <w:pStyle w:val="Heading3"/>
        <w:keepNext w:val="0"/>
        <w:keepLines w:val="0"/>
        <w:spacing w:before="280" w:lineRule="auto"/>
        <w:rPr>
          <w:sz w:val="26"/>
          <w:szCs w:val="26"/>
        </w:rPr>
      </w:pPr>
      <w:bookmarkStart w:colFirst="0" w:colLast="0" w:name="_2lzl8l6ccfvs" w:id="114"/>
      <w:bookmarkEnd w:id="114"/>
      <w:r w:rsidDel="00000000" w:rsidR="00000000" w:rsidRPr="00000000">
        <w:rPr>
          <w:sz w:val="26"/>
          <w:szCs w:val="26"/>
          <w:rtl w:val="0"/>
        </w:rPr>
        <w:t xml:space="preserve">Appendix A: Possible Scenarios</w:t>
      </w:r>
    </w:p>
    <w:p w:rsidR="00000000" w:rsidDel="00000000" w:rsidP="00000000" w:rsidRDefault="00000000" w:rsidRPr="00000000" w14:paraId="00000476">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477">
      <w:pPr>
        <w:pStyle w:val="Heading3"/>
        <w:keepNext w:val="0"/>
        <w:keepLines w:val="0"/>
        <w:spacing w:before="280" w:lineRule="auto"/>
        <w:rPr>
          <w:sz w:val="26"/>
          <w:szCs w:val="26"/>
        </w:rPr>
      </w:pPr>
      <w:bookmarkStart w:colFirst="0" w:colLast="0" w:name="_na3y3k1uloje" w:id="115"/>
      <w:bookmarkEnd w:id="115"/>
      <w:r w:rsidDel="00000000" w:rsidR="00000000" w:rsidRPr="00000000">
        <w:rPr>
          <w:sz w:val="26"/>
          <w:szCs w:val="26"/>
          <w:rtl w:val="0"/>
        </w:rPr>
        <w:t xml:space="preserve">Appendix B: Workstation Set-up</w:t>
      </w:r>
    </w:p>
    <w:p w:rsidR="00000000" w:rsidDel="00000000" w:rsidP="00000000" w:rsidRDefault="00000000" w:rsidRPr="00000000" w14:paraId="00000478">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479">
      <w:pPr>
        <w:pStyle w:val="Heading3"/>
        <w:keepNext w:val="0"/>
        <w:keepLines w:val="0"/>
        <w:spacing w:before="280" w:lineRule="auto"/>
        <w:rPr>
          <w:sz w:val="26"/>
          <w:szCs w:val="26"/>
        </w:rPr>
      </w:pPr>
      <w:bookmarkStart w:colFirst="0" w:colLast="0" w:name="_kmxv7lezbnq8" w:id="116"/>
      <w:bookmarkEnd w:id="116"/>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47A">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47B">
      <w:pPr>
        <w:pStyle w:val="Heading3"/>
        <w:keepNext w:val="0"/>
        <w:keepLines w:val="0"/>
        <w:spacing w:before="280" w:lineRule="auto"/>
        <w:rPr>
          <w:sz w:val="26"/>
          <w:szCs w:val="26"/>
        </w:rPr>
      </w:pPr>
      <w:bookmarkStart w:colFirst="0" w:colLast="0" w:name="_fj7jmyrw1y70" w:id="117"/>
      <w:bookmarkEnd w:id="117"/>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47C">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sectPr>
      <w:headerReference r:id="rId31" w:type="first"/>
      <w:footerReference r:id="rId32" w:type="default"/>
      <w:footerReference r:id="rId3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1" w:date="2026-07-25T04:50:55Z">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0" w:date="2026-07-25T04:37:27Z">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Kailer811" w:id="2" w:date="2026-07-25T05:27:24Z">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83">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1.jp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9.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developers.google.com/edge/media%EE%80%80pipe/solutions/vision/hand_landmarker" TargetMode="External"/><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header" Target="header1.xml"/><Relationship Id="rId30" Type="http://schemas.openxmlformats.org/officeDocument/2006/relationships/hyperlink" Target="https://developers.google.com/edge/media%EE%80%80pipe/solutions/vision/hand_landmarker" TargetMode="External"/><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image" Target="media/image20.jp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21.jpg"/><Relationship Id="rId16" Type="http://schemas.openxmlformats.org/officeDocument/2006/relationships/image" Target="media/image18.png"/><Relationship Id="rId19" Type="http://schemas.openxmlformats.org/officeDocument/2006/relationships/image" Target="media/image4.png"/><Relationship Id="rId18" Type="http://schemas.openxmlformats.org/officeDocument/2006/relationships/image" Target="media/image8.jp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