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Testing, Evaluation and Iterations</w:t>
      </w:r>
    </w:p>
    <w:p>
      <w:r>
        <w:rPr>
          <w:rFonts w:ascii="Times New Roman" w:hAnsi="Times New Roman"/>
          <w:b w:val="0"/>
          <w:i w:val="0"/>
          <w:sz w:val="24"/>
        </w:rPr>
        <w:t>This chapter documents the functional testing conducted on each subsystem under controlled laboratory conditions, as well as the design iterations that emerged from the test results. System-level user testing is addressed in Chapter 5.</w:t>
      </w:r>
    </w:p>
    <w:p>
      <w:pPr>
        <w:pStyle w:val="Heading2"/>
      </w:pPr>
      <w:r>
        <w:t>4.1 System Integration</w:t>
      </w:r>
    </w:p>
    <w:p>
      <w:r>
        <w:rPr>
          <w:rFonts w:ascii="Times New Roman" w:hAnsi="Times New Roman"/>
          <w:b w:val="0"/>
          <w:i w:val="0"/>
          <w:sz w:val="24"/>
        </w:rPr>
        <w:t>A pipeline orchestrator coordinates data flow between the CV, load cell, and HMI subsystems. At startup, a two-snapshot calibration process establishes the spatial context for the session, as illustrated in Figure 4.1.</w:t>
      </w:r>
    </w:p>
    <w:p>
      <w:r>
        <w:rPr>
          <w:rFonts w:ascii="Times New Roman" w:hAnsi="Times New Roman"/>
          <w:b w:val="0"/>
          <w:i w:val="0"/>
          <w:sz w:val="24"/>
        </w:rPr>
        <w:t>The first snapshot identifies the nine bin slots through the grid calibrator module. The second snapshot registers which slots contain physical bins, locking oriented-bounding-box (OBB) geofences for the remainder of the session.</w:t>
      </w:r>
    </w:p>
    <w:p>
      <w:r>
        <w:rPr>
          <w:rFonts w:ascii="Times New Roman" w:hAnsi="Times New Roman"/>
          <w:b w:val="0"/>
          <w:i w:val="0"/>
          <w:sz w:val="24"/>
        </w:rPr>
        <w:t>Once calibrated, the real-time processing loop executes continuously. Each frame follows the sequence shown in Figure 4.2: camera capture, hand tracking, bin assignment, weight delta evaluation, FSM state update, and HMI refresh.</w:t>
      </w:r>
    </w:p>
    <w:p>
      <w:r>
        <w:rPr>
          <w:rFonts w:ascii="Times New Roman" w:hAnsi="Times New Roman"/>
          <w:b w:val="0"/>
          <w:i w:val="0"/>
          <w:sz w:val="24"/>
        </w:rPr>
        <w:t>The CV and load cell threads write to a shared PipelineState object, while the FastAPI web server reads from it independently. This decoupling ensures that the sensing loop runs at full frame rate regardless of HMI refresh timing.</w:t>
      </w:r>
    </w:p>
    <w:p>
      <w:pPr>
        <w:jc w:val="center"/>
      </w:pPr>
      <w:r>
        <w:rPr>
          <w:i/>
          <w:color w:val="969696"/>
          <w:sz w:val="22"/>
        </w:rPr>
        <w:t>[INSERT FIGURE HERE]</w:t>
      </w:r>
    </w:p>
    <w:p>
      <w:pPr>
        <w:spacing w:after="240"/>
        <w:jc w:val="center"/>
      </w:pPr>
      <w:r>
        <w:rPr>
          <w:rFonts w:ascii="Times New Roman" w:hAnsi="Times New Roman"/>
          <w:i/>
          <w:sz w:val="20"/>
        </w:rPr>
        <w:t>Figure 4.1: Two-snapshot calibration process. (a) First snapshot: grid slot identification. (b) Second snapshot: active bin registration with locked OBB geofences.</w:t>
      </w:r>
    </w:p>
    <w:p>
      <w:pPr>
        <w:jc w:val="center"/>
      </w:pPr>
      <w:r>
        <w:rPr>
          <w:i/>
          <w:color w:val="969696"/>
          <w:sz w:val="22"/>
        </w:rPr>
        <w:t>[INSERT FIGURE HERE]</w:t>
      </w:r>
    </w:p>
    <w:p>
      <w:pPr>
        <w:spacing w:after="240"/>
        <w:jc w:val="center"/>
      </w:pPr>
      <w:r>
        <w:rPr>
          <w:rFonts w:ascii="Times New Roman" w:hAnsi="Times New Roman"/>
          <w:i/>
          <w:sz w:val="20"/>
        </w:rPr>
        <w:t>Figure 4.2: Real-time processing loop data flow diagram.</w:t>
      </w:r>
    </w:p>
    <w:p>
      <w:pPr>
        <w:pStyle w:val="Heading2"/>
      </w:pPr>
      <w:r>
        <w:t>4.2 Sensors</w:t>
      </w:r>
    </w:p>
    <w:p>
      <w:pPr>
        <w:pStyle w:val="Heading3"/>
      </w:pPr>
      <w:r>
        <w:t>4.2.1 Computer Vision</w:t>
      </w:r>
    </w:p>
    <w:p>
      <w:pPr>
        <w:pStyle w:val="Heading4"/>
      </w:pPr>
      <w:r>
        <w:t>4.2.1.1 Testing Framework</w:t>
      </w:r>
    </w:p>
    <w:p>
      <w:r>
        <w:rPr>
          <w:rFonts w:ascii="Times New Roman" w:hAnsi="Times New Roman"/>
          <w:b w:val="0"/>
          <w:i w:val="0"/>
          <w:sz w:val="24"/>
        </w:rPr>
        <w:t>The CV detector was evaluated using a layer-by-layer permutation protocol designed to test invariance to bin position, colour, and fill level. Testing proceeded across three setup groups, each isolating one variable. The test conditions are summarised in Table 4.1.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20"/>
              </w:rPr>
              <w:t>Group</w:t>
            </w:r>
          </w:p>
        </w:tc>
        <w:tc>
          <w:tcPr>
            <w:tcW w:type="dxa" w:w="2880"/>
          </w:tcPr>
          <w:p>
            <w:pPr>
              <w:jc w:val="center"/>
            </w:pPr>
            <w:r>
              <w:rPr>
                <w:rFonts w:ascii="Times New Roman" w:hAnsi="Times New Roman"/>
                <w:b/>
                <w:sz w:val="20"/>
              </w:rPr>
              <w:t>Variable Tested</w:t>
            </w:r>
          </w:p>
        </w:tc>
        <w:tc>
          <w:tcPr>
            <w:tcW w:type="dxa" w:w="2880"/>
          </w:tcPr>
          <w:p>
            <w:pPr>
              <w:jc w:val="center"/>
            </w:pPr>
            <w:r>
              <w:rPr>
                <w:rFonts w:ascii="Times New Roman" w:hAnsi="Times New Roman"/>
                <w:b/>
                <w:sz w:val="20"/>
              </w:rPr>
              <w:t>Conditions</w:t>
            </w:r>
          </w:p>
        </w:tc>
      </w:tr>
      <w:tr>
        <w:tc>
          <w:tcPr>
            <w:tcW w:type="dxa" w:w="2880"/>
          </w:tcPr>
          <w:p>
            <w:r>
              <w:rPr>
                <w:rFonts w:ascii="Times New Roman" w:hAnsi="Times New Roman"/>
                <w:sz w:val="20"/>
              </w:rPr>
              <w:t>A</w:t>
            </w:r>
          </w:p>
        </w:tc>
        <w:tc>
          <w:tcPr>
            <w:tcW w:type="dxa" w:w="2880"/>
          </w:tcPr>
          <w:p>
            <w:r>
              <w:rPr>
                <w:rFonts w:ascii="Times New Roman" w:hAnsi="Times New Roman"/>
                <w:sz w:val="20"/>
              </w:rPr>
              <w:t>Bin colour and layout</w:t>
            </w:r>
          </w:p>
        </w:tc>
        <w:tc>
          <w:tcPr>
            <w:tcW w:type="dxa" w:w="2880"/>
          </w:tcPr>
          <w:p>
            <w:r>
              <w:rPr>
                <w:rFonts w:ascii="Times New Roman" w:hAnsi="Times New Roman"/>
                <w:sz w:val="20"/>
              </w:rPr>
              <w:t>A1: 9 blue bins (baseline); A2: mixed red/green/blue; A3: blue + mixed set</w:t>
            </w:r>
          </w:p>
        </w:tc>
      </w:tr>
      <w:tr>
        <w:tc>
          <w:tcPr>
            <w:tcW w:type="dxa" w:w="2880"/>
          </w:tcPr>
          <w:p>
            <w:r>
              <w:rPr>
                <w:rFonts w:ascii="Times New Roman" w:hAnsi="Times New Roman"/>
                <w:sz w:val="20"/>
              </w:rPr>
              <w:t>B</w:t>
            </w:r>
          </w:p>
        </w:tc>
        <w:tc>
          <w:tcPr>
            <w:tcW w:type="dxa" w:w="2880"/>
          </w:tcPr>
          <w:p>
            <w:r>
              <w:rPr>
                <w:rFonts w:ascii="Times New Roman" w:hAnsi="Times New Roman"/>
                <w:sz w:val="20"/>
              </w:rPr>
              <w:t>Bin contents and fill level</w:t>
            </w:r>
          </w:p>
        </w:tc>
        <w:tc>
          <w:tcPr>
            <w:tcW w:type="dxa" w:w="2880"/>
          </w:tcPr>
          <w:p>
            <w:r>
              <w:rPr>
                <w:rFonts w:ascii="Times New Roman" w:hAnsi="Times New Roman"/>
                <w:sz w:val="20"/>
              </w:rPr>
              <w:t>7 item categories at 3 fill levels (empty, partial, full). Items tested: matte connectors, reflective brackets, shiny screws, PVC pipes, copper rods, dark connectors, mixed items</w:t>
            </w:r>
          </w:p>
        </w:tc>
      </w:tr>
      <w:tr>
        <w:tc>
          <w:tcPr>
            <w:tcW w:type="dxa" w:w="2880"/>
          </w:tcPr>
          <w:p>
            <w:r>
              <w:rPr>
                <w:rFonts w:ascii="Times New Roman" w:hAnsi="Times New Roman"/>
                <w:sz w:val="20"/>
              </w:rPr>
              <w:t>Lighting</w:t>
            </w:r>
          </w:p>
        </w:tc>
        <w:tc>
          <w:tcPr>
            <w:tcW w:type="dxa" w:w="2880"/>
          </w:tcPr>
          <w:p>
            <w:r>
              <w:rPr>
                <w:rFonts w:ascii="Times New Roman" w:hAnsi="Times New Roman"/>
                <w:sz w:val="20"/>
              </w:rPr>
              <w:t>Ambient illuminance</w:t>
            </w:r>
          </w:p>
        </w:tc>
        <w:tc>
          <w:tcPr>
            <w:tcW w:type="dxa" w:w="2880"/>
          </w:tcPr>
          <w:p>
            <w:r>
              <w:rPr>
                <w:rFonts w:ascii="Times New Roman" w:hAnsi="Times New Roman"/>
                <w:sz w:val="20"/>
              </w:rPr>
              <w:t>8 levels from approximately 0 lux to 506 lux; 9 bins measured per level (72 readings total)</w:t>
            </w:r>
          </w:p>
        </w:tc>
      </w:tr>
    </w:tbl>
    <w:p/>
    <w:p>
      <w:r>
        <w:rPr>
          <w:rFonts w:ascii="Times New Roman" w:hAnsi="Times New Roman"/>
          <w:b w:val="0"/>
          <w:i/>
          <w:sz w:val="20"/>
        </w:rPr>
        <w:t>Table 4.1: CV testing conditions.</w:t>
      </w:r>
    </w:p>
    <w:p>
      <w:pPr>
        <w:jc w:val="center"/>
      </w:pPr>
      <w:r>
        <w:rPr>
          <w:i/>
          <w:color w:val="969696"/>
          <w:sz w:val="22"/>
        </w:rPr>
        <w:t>[INSERT FIGURE HERE]</w:t>
      </w:r>
    </w:p>
    <w:p>
      <w:pPr>
        <w:spacing w:after="240"/>
        <w:jc w:val="center"/>
      </w:pPr>
      <w:r>
        <w:rPr>
          <w:rFonts w:ascii="Times New Roman" w:hAnsi="Times New Roman"/>
          <w:i/>
          <w:sz w:val="20"/>
        </w:rPr>
        <w:t>Figure 4.3: CV test setups. (a) Group A baseline with all blue bins. (b) Group A2 with mixed colours. (c) Group B with varied items at different fill levels. (d) Lighting sweep with lux meter.</w:t>
      </w:r>
    </w:p>
    <w:p>
      <w:pPr>
        <w:pStyle w:val="Heading4"/>
      </w:pPr>
      <w:r>
        <w:t>4.2.1.2 Evaluation Results</w:t>
      </w:r>
    </w:p>
    <w:p>
      <w:r>
        <w:rPr>
          <w:rFonts w:ascii="Times New Roman" w:hAnsi="Times New Roman"/>
          <w:b/>
          <w:i w:val="0"/>
          <w:sz w:val="24"/>
        </w:rPr>
        <w:t>Group A Results</w:t>
      </w:r>
    </w:p>
    <w:p>
      <w:r>
        <w:rPr>
          <w:rFonts w:ascii="Times New Roman" w:hAnsi="Times New Roman"/>
          <w:b w:val="0"/>
          <w:i w:val="0"/>
          <w:sz w:val="24"/>
        </w:rPr>
        <w:t>Under condition A1, the model achieved 100% detection across 20 sample frames. When non-blue bins were introduced under conditions A2 and A3, detection accuracy decreased to 80% and 85% respectively, as shown in Figure 4.4. Analysis of the failure cases revealed hallucinated bounding boxes when non-blue rims were present. This finding informed the decision to standardise on blue bins for the deployment configuration.</w:t>
      </w:r>
    </w:p>
    <w:p>
      <w:pPr>
        <w:jc w:val="center"/>
      </w:pPr>
      <w:r>
        <w:rPr>
          <w:i/>
          <w:color w:val="969696"/>
          <w:sz w:val="22"/>
        </w:rPr>
        <w:t>[INSERT FIGURE HERE]</w:t>
      </w:r>
    </w:p>
    <w:p>
      <w:pPr>
        <w:spacing w:after="240"/>
        <w:jc w:val="center"/>
      </w:pPr>
      <w:r>
        <w:rPr>
          <w:rFonts w:ascii="Times New Roman" w:hAnsi="Times New Roman"/>
          <w:i/>
          <w:sz w:val="20"/>
        </w:rPr>
        <w:t>Figure 4.4: Group A detection results. (a) A1: 100% detection. (b) A2: hallucinated bounding box example. (c) Accuracy comparison across the three conditions.</w:t>
      </w:r>
    </w:p>
    <w:p>
      <w:r>
        <w:rPr>
          <w:rFonts w:ascii="Times New Roman" w:hAnsi="Times New Roman"/>
          <w:b/>
          <w:i w:val="0"/>
          <w:sz w:val="24"/>
        </w:rPr>
        <w:t>Group B Results</w:t>
      </w:r>
    </w:p>
    <w:p>
      <w:r>
        <w:rPr>
          <w:rFonts w:ascii="Times New Roman" w:hAnsi="Times New Roman"/>
          <w:b w:val="0"/>
          <w:i w:val="0"/>
          <w:sz w:val="24"/>
        </w:rPr>
        <w:t>With standardised blue bins, detection held at 100% across all seven item categories at every fill level, including copper rods protruding above the bin rim, as shown in Figure 4.5. This confirms that the model is rim-centric and content-invariant.</w:t>
      </w:r>
    </w:p>
    <w:p>
      <w:pPr>
        <w:jc w:val="center"/>
      </w:pPr>
      <w:r>
        <w:rPr>
          <w:i/>
          <w:color w:val="969696"/>
          <w:sz w:val="22"/>
        </w:rPr>
        <w:t>[INSERT FIGURE HERE]</w:t>
      </w:r>
    </w:p>
    <w:p>
      <w:pPr>
        <w:spacing w:after="240"/>
        <w:jc w:val="center"/>
      </w:pPr>
      <w:r>
        <w:rPr>
          <w:rFonts w:ascii="Times New Roman" w:hAnsi="Times New Roman"/>
          <w:i/>
          <w:sz w:val="20"/>
        </w:rPr>
        <w:t>Figure 4.5: Group B sample detections across item categories and fill levels.</w:t>
      </w:r>
    </w:p>
    <w:p>
      <w:r>
        <w:rPr>
          <w:rFonts w:ascii="Times New Roman" w:hAnsi="Times New Roman"/>
          <w:b/>
          <w:i w:val="0"/>
          <w:sz w:val="24"/>
        </w:rPr>
        <w:t>Model Validation Metrics</w:t>
      </w:r>
    </w:p>
    <w:p>
      <w:r>
        <w:rPr>
          <w:rFonts w:ascii="Times New Roman" w:hAnsi="Times New Roman"/>
          <w:b w:val="0"/>
          <w:i w:val="0"/>
          <w:sz w:val="24"/>
        </w:rPr>
        <w:t>The fullness-varied model (Setup V3) achieved the validation metrics shown in Table 4.2. Training curves are presented in Figure 4.6.</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0"/>
              </w:rPr>
              <w:t>Metric</w:t>
            </w:r>
          </w:p>
        </w:tc>
        <w:tc>
          <w:tcPr>
            <w:tcW w:type="dxa" w:w="4320"/>
          </w:tcPr>
          <w:p>
            <w:pPr>
              <w:jc w:val="center"/>
            </w:pPr>
            <w:r>
              <w:rPr>
                <w:rFonts w:ascii="Times New Roman" w:hAnsi="Times New Roman"/>
                <w:b/>
                <w:sz w:val="20"/>
              </w:rPr>
              <w:t>Value</w:t>
            </w:r>
          </w:p>
        </w:tc>
      </w:tr>
      <w:tr>
        <w:tc>
          <w:tcPr>
            <w:tcW w:type="dxa" w:w="4320"/>
          </w:tcPr>
          <w:p>
            <w:r>
              <w:rPr>
                <w:rFonts w:ascii="Times New Roman" w:hAnsi="Times New Roman"/>
                <w:sz w:val="20"/>
              </w:rPr>
              <w:t>Precision</w:t>
            </w:r>
          </w:p>
        </w:tc>
        <w:tc>
          <w:tcPr>
            <w:tcW w:type="dxa" w:w="4320"/>
          </w:tcPr>
          <w:p>
            <w:r>
              <w:rPr>
                <w:rFonts w:ascii="Times New Roman" w:hAnsi="Times New Roman"/>
                <w:sz w:val="20"/>
              </w:rPr>
              <w:t>0.999</w:t>
            </w:r>
          </w:p>
        </w:tc>
      </w:tr>
      <w:tr>
        <w:tc>
          <w:tcPr>
            <w:tcW w:type="dxa" w:w="4320"/>
          </w:tcPr>
          <w:p>
            <w:r>
              <w:rPr>
                <w:rFonts w:ascii="Times New Roman" w:hAnsi="Times New Roman"/>
                <w:sz w:val="20"/>
              </w:rPr>
              <w:t>Recall</w:t>
            </w:r>
          </w:p>
        </w:tc>
        <w:tc>
          <w:tcPr>
            <w:tcW w:type="dxa" w:w="4320"/>
          </w:tcPr>
          <w:p>
            <w:r>
              <w:rPr>
                <w:rFonts w:ascii="Times New Roman" w:hAnsi="Times New Roman"/>
                <w:sz w:val="20"/>
              </w:rPr>
              <w:t>1.000</w:t>
            </w:r>
          </w:p>
        </w:tc>
      </w:tr>
      <w:tr>
        <w:tc>
          <w:tcPr>
            <w:tcW w:type="dxa" w:w="4320"/>
          </w:tcPr>
          <w:p>
            <w:r>
              <w:rPr>
                <w:rFonts w:ascii="Times New Roman" w:hAnsi="Times New Roman"/>
                <w:sz w:val="20"/>
              </w:rPr>
              <w:t>mAP50</w:t>
            </w:r>
          </w:p>
        </w:tc>
        <w:tc>
          <w:tcPr>
            <w:tcW w:type="dxa" w:w="4320"/>
          </w:tcPr>
          <w:p>
            <w:r>
              <w:rPr>
                <w:rFonts w:ascii="Times New Roman" w:hAnsi="Times New Roman"/>
                <w:sz w:val="20"/>
              </w:rPr>
              <w:t>0.995</w:t>
            </w:r>
          </w:p>
        </w:tc>
      </w:tr>
      <w:tr>
        <w:tc>
          <w:tcPr>
            <w:tcW w:type="dxa" w:w="4320"/>
          </w:tcPr>
          <w:p>
            <w:r>
              <w:rPr>
                <w:rFonts w:ascii="Times New Roman" w:hAnsi="Times New Roman"/>
                <w:sz w:val="20"/>
              </w:rPr>
              <w:t>mAP50-95</w:t>
            </w:r>
          </w:p>
        </w:tc>
        <w:tc>
          <w:tcPr>
            <w:tcW w:type="dxa" w:w="4320"/>
          </w:tcPr>
          <w:p>
            <w:r>
              <w:rPr>
                <w:rFonts w:ascii="Times New Roman" w:hAnsi="Times New Roman"/>
                <w:sz w:val="20"/>
              </w:rPr>
              <w:t>0.935</w:t>
            </w:r>
          </w:p>
        </w:tc>
      </w:tr>
      <w:tr>
        <w:tc>
          <w:tcPr>
            <w:tcW w:type="dxa" w:w="4320"/>
          </w:tcPr>
          <w:p>
            <w:r>
              <w:rPr>
                <w:rFonts w:ascii="Times New Roman" w:hAnsi="Times New Roman"/>
                <w:sz w:val="20"/>
              </w:rPr>
              <w:t>Epochs</w:t>
            </w:r>
          </w:p>
        </w:tc>
        <w:tc>
          <w:tcPr>
            <w:tcW w:type="dxa" w:w="4320"/>
          </w:tcPr>
          <w:p>
            <w:r>
              <w:rPr>
                <w:rFonts w:ascii="Times New Roman" w:hAnsi="Times New Roman"/>
                <w:sz w:val="20"/>
              </w:rPr>
              <w:t>55 (early stopping at epoch 54)</w:t>
            </w:r>
          </w:p>
        </w:tc>
      </w:tr>
    </w:tbl>
    <w:p/>
    <w:p>
      <w:r>
        <w:rPr>
          <w:rFonts w:ascii="Times New Roman" w:hAnsi="Times New Roman"/>
          <w:b w:val="0"/>
          <w:i/>
          <w:sz w:val="20"/>
        </w:rPr>
        <w:t>Table 4.2: YOLOv8-OBB validation metrics (Setup V3).</w:t>
      </w:r>
    </w:p>
    <w:p>
      <w:pPr>
        <w:jc w:val="center"/>
      </w:pPr>
      <w:r>
        <w:rPr>
          <w:i/>
          <w:color w:val="969696"/>
          <w:sz w:val="22"/>
        </w:rPr>
        <w:t>[INSERT FIGURE HERE]</w:t>
      </w:r>
    </w:p>
    <w:p>
      <w:pPr>
        <w:spacing w:after="240"/>
        <w:jc w:val="center"/>
      </w:pPr>
      <w:r>
        <w:rPr>
          <w:rFonts w:ascii="Times New Roman" w:hAnsi="Times New Roman"/>
          <w:i/>
          <w:sz w:val="20"/>
        </w:rPr>
        <w:t>Figure 4.6: Training curves for Setup V3, showing loss convergence and mAP over epochs.</w:t>
      </w:r>
    </w:p>
    <w:p>
      <w:r>
        <w:rPr>
          <w:rFonts w:ascii="Times New Roman" w:hAnsi="Times New Roman"/>
          <w:b/>
          <w:i w:val="0"/>
          <w:sz w:val="24"/>
        </w:rPr>
        <w:t>Lighting Characterisation</w:t>
      </w:r>
    </w:p>
    <w:p>
      <w:r>
        <w:rPr>
          <w:rFonts w:ascii="Times New Roman" w:hAnsi="Times New Roman"/>
          <w:b w:val="0"/>
          <w:i w:val="0"/>
          <w:sz w:val="24"/>
        </w:rPr>
        <w:t>Detection held at 100% across all 72 readings, including near-darkness at approximately 0 lux. As shown in Figure 4.7, confidence correlated weakly with illuminance (Pearson r = 0.27 linear, r = 0.40 log-lux) and the trend was non-monotonic. The rim-centric detector is not lighting-limited over the station's operating range, satisfying FR-09.</w:t>
      </w:r>
    </w:p>
    <w:p>
      <w:pPr>
        <w:jc w:val="center"/>
      </w:pPr>
      <w:r>
        <w:rPr>
          <w:i/>
          <w:color w:val="969696"/>
          <w:sz w:val="22"/>
        </w:rPr>
        <w:t>[INSERT FIGURE HERE]</w:t>
      </w:r>
    </w:p>
    <w:p>
      <w:pPr>
        <w:spacing w:after="240"/>
        <w:jc w:val="center"/>
      </w:pPr>
      <w:r>
        <w:rPr>
          <w:rFonts w:ascii="Times New Roman" w:hAnsi="Times New Roman"/>
          <w:i/>
          <w:sz w:val="20"/>
        </w:rPr>
        <w:t>Figure 4.7: Lighting characterisation results. (a) Lux readings across 9 bins at 8 levels. (b) Confidence versus illuminance scatter plot. (c) Sample detections at approximately 0 lux and 506 lux.</w:t>
      </w:r>
    </w:p>
    <w:p>
      <w:r>
        <w:rPr>
          <w:rFonts w:ascii="Times New Roman" w:hAnsi="Times New Roman"/>
          <w:sz w:val="24"/>
        </w:rPr>
        <w:t>4.2.2 Load Cells</w:t>
      </w:r>
    </w:p>
    <w:p>
      <w:r>
        <w:rPr>
          <w:rFonts w:ascii="Times New Roman" w:hAnsi="Times New Roman"/>
          <w:sz w:val="24"/>
        </w:rPr>
        <w:t>4.2.2.1 Testing Framework</w:t>
      </w:r>
    </w:p>
    <w:p>
      <w:r>
        <w:rPr>
          <w:rFonts w:ascii="Times New Roman" w:hAnsi="Times New Roman"/>
          <w:sz w:val="24"/>
        </w:rPr>
        <w:t>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
        <w:rPr>
          <w:rFonts w:ascii="Times New Roman" w:hAnsi="Times New Roman"/>
          <w:sz w:val="24"/>
        </w:rPr>
        <w:t>Platforms under test.</w:t>
      </w:r>
    </w:p>
    <w:p>
      <w:r>
        <w:rPr>
          <w:rFonts w:ascii="Times New Roman" w:hAnsi="Times New Roman"/>
          <w:sz w:val="24"/>
        </w:rPr>
        <w:t>For the 5 kg and 10 kg platforms, three individual load cells share one rigid base and one bin, with bridge outputs summed in hardware ahead of the HX711 — each platform reports one combined weight, not three independent readings.</w:t>
      </w:r>
    </w:p>
    <w:p>
      <w:r>
        <w:rPr>
          <w:rFonts w:ascii="Times New Roman" w:hAnsi="Times New Roman"/>
          <w:sz w:val="24"/>
        </w:rPr>
        <w:t>Load cell hardware.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
        <w:rPr>
          <w:rFonts w:ascii="Times New Roman" w:hAnsi="Times New Roman"/>
          <w:sz w:val="24"/>
        </w:rPr>
        <w:t>Reference equipment.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
        <w:rPr>
          <w:rFonts w:ascii="Times New Roman" w:hAnsi="Times New Roman"/>
          <w:sz w:val="24"/>
        </w:rPr>
        <w:t>Test scope.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
        <w:rPr>
          <w:rFonts w:ascii="Times New Roman" w:hAnsi="Times New Roman"/>
          <w:sz w:val="24"/>
        </w:rPr>
        <w:t>Test protocol summary.</w:t>
      </w:r>
    </w:p>
    <w:p>
      <w:r>
        <w:rPr>
          <w:rFonts w:ascii="Times New Roman" w:hAnsi="Times New Roman"/>
          <w:sz w:val="24"/>
        </w:rPr>
        <w:t>Test A7 does not appear in the underlying qualification data and is intentionally absent from this report.</w:t>
      </w:r>
    </w:p>
    <w:p>
      <w:r>
        <w:rPr>
          <w:rFonts w:ascii="Times New Roman" w:hAnsi="Times New Roman"/>
          <w:sz w:val="24"/>
        </w:rPr>
        <w:t>Interpreting results against a target. The YZC-133 figures above are per-cell and supplier-published, not independently verified, so they are used below only as an approximate reference —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
        <w:rPr>
          <w:rFonts w:ascii="Times New Roman" w:hAnsi="Times New Roman"/>
          <w:sz w:val="24"/>
        </w:rPr>
        <w:t>4.2.2.2 Evaluation Results</w:t>
      </w:r>
    </w:p>
    <w:p>
      <w:r>
        <w:rPr>
          <w:rFonts w:ascii="Times New Roman" w:hAnsi="Times New Roman"/>
          <w:sz w:val="24"/>
        </w:rPr>
        <w:t>Capability</w:t>
      </w:r>
    </w:p>
    <w:p>
      <w:r>
        <w:rPr>
          <w:rFonts w:ascii="Times New Roman" w:hAnsi="Times New Roman"/>
          <w:sz w:val="24"/>
        </w:rPr>
        <w:t>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
        <w:rPr>
          <w:rFonts w:ascii="Times New Roman" w:hAnsi="Times New Roman"/>
          <w:sz w:val="24"/>
        </w:rPr>
        <w:t>A2 — Repeatability. Against the scaled per-cell targets (0.5 g / 2.5 g / 5.0 g):</w:t>
      </w:r>
    </w:p>
    <w:p>
      <w:r>
        <w:rPr>
          <w:rFonts w:ascii="Times New Roman" w:hAnsi="Times New Roman"/>
          <w:sz w:val="24"/>
        </w:rPr>
        <w:t>The 5 kg, 75% row uses a corrected value: Trial 4 was logged as 2751.151 g, inconsistent with the other four trials (~3750 g) and the row's own printed mean/SD; the confirmed correct value of 3751.151 g is used above.</w:t>
      </w:r>
    </w:p>
    <w:p>
      <w:r>
        <w:rPr>
          <w:rFonts w:ascii="Times New Roman" w:hAnsi="Times New Roman"/>
          <w:sz w:val="24"/>
        </w:rPr>
        <w:t>The 1 kg platform stays within target at every load level tested. The 5 kg and 10 kg platforms sit close to or within target at 50%, then exceed it at 75–100%.</w:t>
      </w:r>
    </w:p>
    <w:p>
      <w:r>
        <w:rPr>
          <w:rFonts w:ascii="Times New Roman" w:hAnsi="Times New Roman"/>
          <w:sz w:val="24"/>
        </w:rPr>
        <w:t>A3 — Hysteresis. Max |up − down| deviation: 0.087 g (1 kg, at 500 g), 5.44 g (5 kg, at 2500 g), 16.99 g (10 kg, at 7500 g) — against scaled targets of 0.5 g, 2.5 g, and 5.0 g respectively.</w:t>
      </w:r>
    </w:p>
    <w:p>
      <w:r>
        <w:rPr>
          <w:rFonts w:ascii="Times New Roman" w:hAnsi="Times New Roman"/>
          <w:sz w:val="24"/>
        </w:rPr>
        <w:t>Stability</w:t>
      </w:r>
    </w:p>
    <w:p>
      <w:r>
        <w:rPr>
          <w:rFonts w:ascii="Times New Roman" w:hAnsi="Times New Roman"/>
          <w:sz w:val="24"/>
        </w:rPr>
        <w:t>A4 — Warm-up drift. All three configs shown at matched timestamps (5 kg/10 kg were logged at coarser 10-minute intervals in the source data; the 1 kg series is shown at the same four points for a fair comparison):</w:t>
      </w:r>
    </w:p>
    <w:p>
      <w:r>
        <w:rPr>
          <w:rFonts w:ascii="Times New Roman" w:hAnsi="Times New Roman"/>
          <w:sz w:val="24"/>
        </w:rPr>
        <w:t>Corrected: the source data listed +0.90 g drift at this point, inconsistent with the reading itself; the reading (5009.76 g) was confirmed correct, giving a drift of −0.10 g.</w:t>
      </w:r>
    </w:p>
    <w:p>
      <w:r>
        <w:rPr>
          <w:rFonts w:ascii="Times New Roman" w:hAnsi="Times New Roman"/>
          <w:sz w:val="24"/>
        </w:rPr>
        <w:t>None of the three platforms show a clear plateau within the 30-minute window: the 1 kg and 10 kg platforms are still trending at t=30; the 5 kg platform's apparent easing between t=20 and t=30 is based on only two points past its peak.</w:t>
      </w:r>
    </w:p>
    <w:p>
      <w:r>
        <w:rPr>
          <w:rFonts w:ascii="Times New Roman" w:hAnsi="Times New Roman"/>
          <w:sz w:val="24"/>
        </w:rPr>
        <w:t>A5 — Creep. At 100% load: 1 kg = +0.055% (+0.55 g) over 15 min; 5 kg = +0.035% (+1.76 g); 10 kg = −0.058% (−5.80 g). These figures are not directly comparable to the supplier's creep spec, which is rated over a 3-minute window rather than the 15 minutes tested here.</w:t>
      </w:r>
    </w:p>
    <w:p>
      <w:r>
        <w:rPr>
          <w:rFonts w:ascii="Times New Roman" w:hAnsi="Times New Roman"/>
          <w:sz w:val="24"/>
        </w:rPr>
        <w:t>Integration</w:t>
      </w:r>
    </w:p>
    <w:p>
      <w:r>
        <w:rPr>
          <w:rFonts w:ascii="Times New Roman" w:hAnsi="Times New Roman"/>
          <w:sz w:val="24"/>
        </w:rPr>
        <w:t>A6 — Off-centre / placement sensitivity.</w:t>
      </w:r>
    </w:p>
    <w:p>
      <w:r>
        <w:rPr>
          <w:rFonts w:ascii="Times New Roman" w:hAnsi="Times New Roman"/>
          <w:sz w:val="24"/>
        </w:rPr>
        <w:t>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
        <w:rPr>
          <w:rFonts w:ascii="Times New Roman" w:hAnsi="Times New Roman"/>
          <w:sz w:val="24"/>
        </w:rPr>
        <w:t>A8 — Settling time. All three platforms settled in under 1 second at every step size tested (1 kg: ~0.4 s; 5 kg: 0.4–0.6 s; 10 kg: 0.4–0.6 s, increasing modestly with step size).</w:t>
      </w:r>
    </w:p>
    <w:p>
      <w:r>
        <w:rPr>
          <w:rFonts w:ascii="Times New Roman" w:hAnsi="Times New Roman"/>
          <w:sz w:val="24"/>
        </w:rPr>
        <w:t>Observed pattern</w:t>
      </w:r>
    </w:p>
    <w:p>
      <w:r>
        <w:rPr>
          <w:rFonts w:ascii="Times New Roman" w:hAnsi="Times New Roman"/>
          <w:sz w:val="24"/>
        </w:rPr>
        <w:t>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pPr>
        <w:pStyle w:val="Heading2"/>
      </w:pPr>
      <w:r>
        <w:t>4.3 Backend Verification (Unit Testing)</w:t>
      </w:r>
    </w:p>
    <w:p>
      <w:pPr>
        <w:pStyle w:val="Heading3"/>
      </w:pPr>
      <w:r>
        <w:t>4.3.1 Testing Framework</w:t>
      </w:r>
    </w:p>
    <w:p>
      <w:r>
        <w:rPr>
          <w:rFonts w:ascii="Times New Roman" w:hAnsi="Times New Roman"/>
          <w:b w:val="0"/>
          <w:i w:val="0"/>
          <w:sz w:val="24"/>
        </w:rPr>
        <w:t>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Test cases cover the following categories:</w:t>
      </w:r>
    </w:p>
    <w:p>
      <w:pPr>
        <w:pStyle w:val="ListBullet"/>
      </w:pPr>
      <w:r>
        <w:rPr>
          <w:rFonts w:ascii="Times New Roman" w:hAnsi="Times New Roman"/>
          <w:sz w:val="22"/>
        </w:rPr>
        <w:t>Bin activation and debounce confirmation window.</w:t>
      </w:r>
    </w:p>
    <w:p>
      <w:pPr>
        <w:pStyle w:val="ListBullet"/>
      </w:pPr>
      <w:r>
        <w:rPr>
          <w:rFonts w:ascii="Times New Roman" w:hAnsi="Times New Roman"/>
          <w:sz w:val="22"/>
        </w:rPr>
        <w:t>Placement counting, target-reached completion, and bin banking.</w:t>
      </w:r>
    </w:p>
    <w:p>
      <w:pPr>
        <w:pStyle w:val="ListBullet"/>
      </w:pPr>
      <w:r>
        <w:rPr>
          <w:rFonts w:ascii="Times New Roman" w:hAnsi="Times New Roman"/>
          <w:sz w:val="22"/>
        </w:rPr>
        <w:t>All four fault types (Overpack, Out-of-Sequence, Wrong-Bin, Returned-to-Wrong-Bin) and their auto-clear conditions.</w:t>
      </w:r>
    </w:p>
    <w:p>
      <w:pPr>
        <w:pStyle w:val="ListBullet"/>
      </w:pPr>
      <w:r>
        <w:rPr>
          <w:rFonts w:ascii="Times New Roman" w:hAnsi="Times New Roman"/>
          <w:sz w:val="22"/>
        </w:rPr>
        <w:t>Edge cases: post-tare settle windows, sensor drift compensation, transient dips, and light-item crediting floors derived from the qualification results in Section 4.2.2.</w:t>
      </w:r>
    </w:p>
    <w:p>
      <w:pPr>
        <w:pStyle w:val="Heading3"/>
      </w:pPr>
      <w:r>
        <w:t>4.3.2 Evaluation Results</w:t>
      </w:r>
    </w:p>
    <w:p>
      <w:r>
        <w:rPr>
          <w:rFonts w:ascii="Times New Roman" w:hAnsi="Times New Roman"/>
          <w:b w:val="0"/>
          <w:i w:val="0"/>
          <w:sz w:val="24"/>
        </w:rPr>
        <w:t>All 134 test cases across 16 modules pass. Coverage results are presented in Table 4.3 and Figure 4.8.</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20"/>
              </w:rPr>
              <w:t>Module</w:t>
            </w:r>
          </w:p>
        </w:tc>
        <w:tc>
          <w:tcPr>
            <w:tcW w:type="dxa" w:w="2880"/>
          </w:tcPr>
          <w:p>
            <w:pPr>
              <w:jc w:val="center"/>
            </w:pPr>
            <w:r>
              <w:rPr>
                <w:rFonts w:ascii="Times New Roman" w:hAnsi="Times New Roman"/>
                <w:b/>
                <w:sz w:val="20"/>
              </w:rPr>
              <w:t>Statements</w:t>
            </w:r>
          </w:p>
        </w:tc>
        <w:tc>
          <w:tcPr>
            <w:tcW w:type="dxa" w:w="2880"/>
          </w:tcPr>
          <w:p>
            <w:pPr>
              <w:jc w:val="center"/>
            </w:pPr>
            <w:r>
              <w:rPr>
                <w:rFonts w:ascii="Times New Roman" w:hAnsi="Times New Roman"/>
                <w:b/>
                <w:sz w:val="20"/>
              </w:rPr>
              <w:t>Coverage</w:t>
            </w:r>
          </w:p>
        </w:tc>
      </w:tr>
      <w:tr>
        <w:tc>
          <w:tcPr>
            <w:tcW w:type="dxa" w:w="2880"/>
          </w:tcPr>
          <w:p>
            <w:r>
              <w:rPr>
                <w:rFonts w:ascii="Times New Roman" w:hAnsi="Times New Roman"/>
                <w:sz w:val="20"/>
              </w:rPr>
              <w:t>placement.py (FSM core)</w:t>
            </w:r>
          </w:p>
        </w:tc>
        <w:tc>
          <w:tcPr>
            <w:tcW w:type="dxa" w:w="2880"/>
          </w:tcPr>
          <w:p>
            <w:r>
              <w:rPr>
                <w:rFonts w:ascii="Times New Roman" w:hAnsi="Times New Roman"/>
                <w:sz w:val="20"/>
              </w:rPr>
              <w:t>196</w:t>
            </w:r>
          </w:p>
        </w:tc>
        <w:tc>
          <w:tcPr>
            <w:tcW w:type="dxa" w:w="2880"/>
          </w:tcPr>
          <w:p>
            <w:r>
              <w:rPr>
                <w:rFonts w:ascii="Times New Roman" w:hAnsi="Times New Roman"/>
                <w:sz w:val="20"/>
              </w:rPr>
              <w:t>98%</w:t>
            </w:r>
          </w:p>
        </w:tc>
      </w:tr>
      <w:tr>
        <w:tc>
          <w:tcPr>
            <w:tcW w:type="dxa" w:w="2880"/>
          </w:tcPr>
          <w:p>
            <w:r>
              <w:rPr>
                <w:rFonts w:ascii="Times New Roman" w:hAnsi="Times New Roman"/>
                <w:sz w:val="20"/>
              </w:rPr>
              <w:t>bin_assignment.py</w:t>
            </w:r>
          </w:p>
        </w:tc>
        <w:tc>
          <w:tcPr>
            <w:tcW w:type="dxa" w:w="2880"/>
          </w:tcPr>
          <w:p>
            <w:r>
              <w:rPr>
                <w:rFonts w:ascii="Times New Roman" w:hAnsi="Times New Roman"/>
                <w:sz w:val="20"/>
              </w:rPr>
              <w:t>260</w:t>
            </w:r>
          </w:p>
        </w:tc>
        <w:tc>
          <w:tcPr>
            <w:tcW w:type="dxa" w:w="2880"/>
          </w:tcPr>
          <w:p>
            <w:r>
              <w:rPr>
                <w:rFonts w:ascii="Times New Roman" w:hAnsi="Times New Roman"/>
                <w:sz w:val="20"/>
              </w:rPr>
              <w:t>83%</w:t>
            </w:r>
          </w:p>
        </w:tc>
      </w:tr>
      <w:tr>
        <w:tc>
          <w:tcPr>
            <w:tcW w:type="dxa" w:w="2880"/>
          </w:tcPr>
          <w:p>
            <w:r>
              <w:rPr>
                <w:rFonts w:ascii="Times New Roman" w:hAnsi="Times New Roman"/>
                <w:sz w:val="20"/>
              </w:rPr>
              <w:t>occlusion_hold.py</w:t>
            </w:r>
          </w:p>
        </w:tc>
        <w:tc>
          <w:tcPr>
            <w:tcW w:type="dxa" w:w="2880"/>
          </w:tcPr>
          <w:p>
            <w:r>
              <w:rPr>
                <w:rFonts w:ascii="Times New Roman" w:hAnsi="Times New Roman"/>
                <w:sz w:val="20"/>
              </w:rPr>
              <w:t>35</w:t>
            </w:r>
          </w:p>
        </w:tc>
        <w:tc>
          <w:tcPr>
            <w:tcW w:type="dxa" w:w="2880"/>
          </w:tcPr>
          <w:p>
            <w:r>
              <w:rPr>
                <w:rFonts w:ascii="Times New Roman" w:hAnsi="Times New Roman"/>
                <w:sz w:val="20"/>
              </w:rPr>
              <w:t>100%</w:t>
            </w:r>
          </w:p>
        </w:tc>
      </w:tr>
      <w:tr>
        <w:tc>
          <w:tcPr>
            <w:tcW w:type="dxa" w:w="2880"/>
          </w:tcPr>
          <w:p>
            <w:r>
              <w:rPr>
                <w:rFonts w:ascii="Times New Roman" w:hAnsi="Times New Roman"/>
                <w:sz w:val="20"/>
              </w:rPr>
              <w:t>grid_allocator.py</w:t>
            </w:r>
          </w:p>
        </w:tc>
        <w:tc>
          <w:tcPr>
            <w:tcW w:type="dxa" w:w="2880"/>
          </w:tcPr>
          <w:p>
            <w:r>
              <w:rPr>
                <w:rFonts w:ascii="Times New Roman" w:hAnsi="Times New Roman"/>
                <w:sz w:val="20"/>
              </w:rPr>
              <w:t>107</w:t>
            </w:r>
          </w:p>
        </w:tc>
        <w:tc>
          <w:tcPr>
            <w:tcW w:type="dxa" w:w="2880"/>
          </w:tcPr>
          <w:p>
            <w:r>
              <w:rPr>
                <w:rFonts w:ascii="Times New Roman" w:hAnsi="Times New Roman"/>
                <w:sz w:val="20"/>
              </w:rPr>
              <w:t>93%</w:t>
            </w:r>
          </w:p>
        </w:tc>
      </w:tr>
      <w:tr>
        <w:tc>
          <w:tcPr>
            <w:tcW w:type="dxa" w:w="2880"/>
          </w:tcPr>
          <w:p>
            <w:r>
              <w:rPr>
                <w:rFonts w:ascii="Times New Roman" w:hAnsi="Times New Roman"/>
                <w:sz w:val="20"/>
              </w:rPr>
              <w:t>grid_calibrator.py</w:t>
            </w:r>
          </w:p>
        </w:tc>
        <w:tc>
          <w:tcPr>
            <w:tcW w:type="dxa" w:w="2880"/>
          </w:tcPr>
          <w:p>
            <w:r>
              <w:rPr>
                <w:rFonts w:ascii="Times New Roman" w:hAnsi="Times New Roman"/>
                <w:sz w:val="20"/>
              </w:rPr>
              <w:t>79</w:t>
            </w:r>
          </w:p>
        </w:tc>
        <w:tc>
          <w:tcPr>
            <w:tcW w:type="dxa" w:w="2880"/>
          </w:tcPr>
          <w:p>
            <w:r>
              <w:rPr>
                <w:rFonts w:ascii="Times New Roman" w:hAnsi="Times New Roman"/>
                <w:sz w:val="20"/>
              </w:rPr>
              <w:t>96%</w:t>
            </w:r>
          </w:p>
        </w:tc>
      </w:tr>
      <w:tr>
        <w:tc>
          <w:tcPr>
            <w:tcW w:type="dxa" w:w="2880"/>
          </w:tcPr>
          <w:p>
            <w:r>
              <w:rPr>
                <w:rFonts w:ascii="Times New Roman" w:hAnsi="Times New Roman"/>
                <w:sz w:val="20"/>
              </w:rPr>
              <w:t>grid_session.py</w:t>
            </w:r>
          </w:p>
        </w:tc>
        <w:tc>
          <w:tcPr>
            <w:tcW w:type="dxa" w:w="2880"/>
          </w:tcPr>
          <w:p>
            <w:r>
              <w:rPr>
                <w:rFonts w:ascii="Times New Roman" w:hAnsi="Times New Roman"/>
                <w:sz w:val="20"/>
              </w:rPr>
              <w:t>74</w:t>
            </w:r>
          </w:p>
        </w:tc>
        <w:tc>
          <w:tcPr>
            <w:tcW w:type="dxa" w:w="2880"/>
          </w:tcPr>
          <w:p>
            <w:r>
              <w:rPr>
                <w:rFonts w:ascii="Times New Roman" w:hAnsi="Times New Roman"/>
                <w:sz w:val="20"/>
              </w:rPr>
              <w:t>95%</w:t>
            </w:r>
          </w:p>
        </w:tc>
      </w:tr>
      <w:tr>
        <w:tc>
          <w:tcPr>
            <w:tcW w:type="dxa" w:w="2880"/>
          </w:tcPr>
          <w:p>
            <w:r>
              <w:rPr>
                <w:rFonts w:ascii="Times New Roman" w:hAnsi="Times New Roman"/>
                <w:sz w:val="20"/>
              </w:rPr>
              <w:t>inventory.py</w:t>
            </w:r>
          </w:p>
        </w:tc>
        <w:tc>
          <w:tcPr>
            <w:tcW w:type="dxa" w:w="2880"/>
          </w:tcPr>
          <w:p>
            <w:r>
              <w:rPr>
                <w:rFonts w:ascii="Times New Roman" w:hAnsi="Times New Roman"/>
                <w:sz w:val="20"/>
              </w:rPr>
              <w:t>45</w:t>
            </w:r>
          </w:p>
        </w:tc>
        <w:tc>
          <w:tcPr>
            <w:tcW w:type="dxa" w:w="2880"/>
          </w:tcPr>
          <w:p>
            <w:r>
              <w:rPr>
                <w:rFonts w:ascii="Times New Roman" w:hAnsi="Times New Roman"/>
                <w:sz w:val="20"/>
              </w:rPr>
              <w:t>78%</w:t>
            </w:r>
          </w:p>
        </w:tc>
      </w:tr>
      <w:tr>
        <w:tc>
          <w:tcPr>
            <w:tcW w:type="dxa" w:w="2880"/>
          </w:tcPr>
          <w:p>
            <w:r>
              <w:rPr>
                <w:rFonts w:ascii="Times New Roman" w:hAnsi="Times New Roman"/>
                <w:sz w:val="20"/>
              </w:rPr>
              <w:t>cycle.py</w:t>
            </w:r>
          </w:p>
        </w:tc>
        <w:tc>
          <w:tcPr>
            <w:tcW w:type="dxa" w:w="2880"/>
          </w:tcPr>
          <w:p>
            <w:r>
              <w:rPr>
                <w:rFonts w:ascii="Times New Roman" w:hAnsi="Times New Roman"/>
                <w:sz w:val="20"/>
              </w:rPr>
              <w:t>39</w:t>
            </w:r>
          </w:p>
        </w:tc>
        <w:tc>
          <w:tcPr>
            <w:tcW w:type="dxa" w:w="2880"/>
          </w:tcPr>
          <w:p>
            <w:r>
              <w:rPr>
                <w:rFonts w:ascii="Times New Roman" w:hAnsi="Times New Roman"/>
                <w:sz w:val="20"/>
              </w:rPr>
              <w:t>100%</w:t>
            </w:r>
          </w:p>
        </w:tc>
      </w:tr>
      <w:tr>
        <w:tc>
          <w:tcPr>
            <w:tcW w:type="dxa" w:w="2880"/>
          </w:tcPr>
          <w:p>
            <w:r>
              <w:rPr>
                <w:rFonts w:ascii="Times New Roman" w:hAnsi="Times New Roman"/>
                <w:sz w:val="20"/>
              </w:rPr>
              <w:t>Overall project</w:t>
            </w:r>
          </w:p>
        </w:tc>
        <w:tc>
          <w:tcPr>
            <w:tcW w:type="dxa" w:w="2880"/>
          </w:tcPr>
          <w:p>
            <w:r>
              <w:rPr>
                <w:rFonts w:ascii="Times New Roman" w:hAnsi="Times New Roman"/>
                <w:sz w:val="20"/>
              </w:rPr>
              <w:t>2,569</w:t>
            </w:r>
          </w:p>
        </w:tc>
        <w:tc>
          <w:tcPr>
            <w:tcW w:type="dxa" w:w="2880"/>
          </w:tcPr>
          <w:p>
            <w:r>
              <w:rPr>
                <w:rFonts w:ascii="Times New Roman" w:hAnsi="Times New Roman"/>
                <w:sz w:val="20"/>
              </w:rPr>
              <w:t>50%</w:t>
            </w:r>
          </w:p>
        </w:tc>
      </w:tr>
    </w:tbl>
    <w:p/>
    <w:p>
      <w:r>
        <w:rPr>
          <w:rFonts w:ascii="Times New Roman" w:hAnsi="Times New Roman"/>
          <w:b w:val="0"/>
          <w:i/>
          <w:sz w:val="20"/>
        </w:rPr>
        <w:t>Table 4.3: Unit test coverage summary (134/134 passing).</w:t>
      </w:r>
    </w:p>
    <w:p>
      <w:r>
        <w:rPr>
          <w:rFonts w:ascii="Times New Roman" w:hAnsi="Times New Roman"/>
          <w:b w:val="0"/>
          <w:i w:val="0"/>
          <w:sz w:val="24"/>
        </w:rPr>
        <w:t>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pPr>
        <w:jc w:val="center"/>
      </w:pPr>
      <w:r>
        <w:rPr>
          <w:i/>
          <w:color w:val="969696"/>
          <w:sz w:val="22"/>
        </w:rPr>
        <w:t>[INSERT FIGURE HERE]</w:t>
      </w:r>
    </w:p>
    <w:p>
      <w:pPr>
        <w:spacing w:after="240"/>
        <w:jc w:val="center"/>
      </w:pPr>
      <w:r>
        <w:rPr>
          <w:rFonts w:ascii="Times New Roman" w:hAnsi="Times New Roman"/>
          <w:i/>
          <w:sz w:val="20"/>
        </w:rPr>
        <w:t>Figure 4.8: (a) Pytest terminal output showing 134/134 tests passing. (b) Coverage report summary for the core verification modules.</w:t>
      </w:r>
    </w:p>
    <w:p>
      <w:pPr>
        <w:pStyle w:val="Heading2"/>
      </w:pPr>
      <w:r>
        <w:t>4.4 Developer-Phase Iterations</w:t>
      </w:r>
    </w:p>
    <w:p>
      <w:r>
        <w:rPr>
          <w:rFonts w:ascii="Times New Roman" w:hAnsi="Times New Roman"/>
          <w:b w:val="0"/>
          <w:i w:val="0"/>
          <w:sz w:val="24"/>
        </w:rPr>
        <w:t>Two significant iterations arose from the functional testing phase. Both follow a structured gap-to-solution-to-validation pattern.</w:t>
      </w:r>
    </w:p>
    <w:p>
      <w:pPr>
        <w:pStyle w:val="Heading3"/>
      </w:pPr>
      <w:r>
        <w:t>4.4.1 Hardware Iteration: Load Cell Platform Redesign</w:t>
      </w:r>
    </w:p>
    <w:p>
      <w:r>
        <w:rPr>
          <w:rFonts w:ascii="Times New Roman" w:hAnsi="Times New Roman"/>
          <w:b w:val="0"/>
          <w:i w:val="0"/>
          <w:sz w:val="24"/>
        </w:rPr>
        <w:t>Gap: Bench testing revealed that a single cantilever load cell could not support larger bins without tipping, while expanding the platform on a single-point cell introduced extreme off-centre measurement errors [Table 4.5].</w:t>
      </w:r>
    </w:p>
    <w:p>
      <w:r>
        <w:rPr>
          <w:rFonts w:ascii="Times New Roman" w:hAnsi="Times New Roman"/>
          <w:b w:val="0"/>
          <w:i w:val="0"/>
          <w:sz w:val="24"/>
        </w:rPr>
        <w:t>Solution: The platform was redesigned as a three-point summed load cell triangle for medium and large bin configurations. This configuration stabilises the centre of gravity within the support triangle while the HX711 summation circuit maintains a single-channel interface to the microcontroller, preserving full software compatibility.</w:t>
      </w:r>
    </w:p>
    <w:p>
      <w:pPr>
        <w:jc w:val="center"/>
      </w:pPr>
      <w:r>
        <w:rPr>
          <w:i/>
          <w:color w:val="969696"/>
          <w:sz w:val="22"/>
        </w:rPr>
        <w:t>[INSERT FIGURE HERE]</w:t>
      </w:r>
    </w:p>
    <w:p>
      <w:pPr>
        <w:spacing w:after="240"/>
        <w:jc w:val="center"/>
      </w:pPr>
      <w:r>
        <w:rPr>
          <w:rFonts w:ascii="Times New Roman" w:hAnsi="Times New Roman"/>
          <w:i/>
          <w:sz w:val="20"/>
        </w:rPr>
        <w:t>Figure 4.9: Load cell platform evolution. (a) Initial single-cell cantilever platform exhibiting tipping instability. (b) Final three-point triangle configuration with stable bin seating.</w:t>
      </w:r>
    </w:p>
    <w:p>
      <w:pPr>
        <w:pStyle w:val="Heading3"/>
      </w:pPr>
      <w:r>
        <w:t>4.4.2 Software Iteration: Occlusion Gate</w:t>
      </w:r>
    </w:p>
    <w:p>
      <w:r>
        <w:rPr>
          <w:rFonts w:ascii="Times New Roman" w:hAnsi="Times New Roman"/>
          <w:b w:val="0"/>
          <w:i w:val="0"/>
          <w:sz w:val="24"/>
        </w:rPr>
        <w:t>Gap: During integration testing, a critical computer vision error was identified when operators reached into the bottom row of bins. The shelf lip of the two-tier rack physically occludes the operator's fingertips, causing MediaPipe to extrapolate the index fingertip upward into the geofence of the top-tier bins. This produced false "Out-of-Sequence" and "Wrong-Bin" alarms, as illustrated in Figure 4.10a-b.</w:t>
      </w:r>
    </w:p>
    <w:p>
      <w:r>
        <w:rPr>
          <w:rFonts w:ascii="Times New Roman" w:hAnsi="Times New Roman"/>
          <w:b w:val="0"/>
          <w:i w:val="0"/>
          <w:sz w:val="24"/>
        </w:rPr>
        <w:t>Solution: An Occlusion Gate was implemented within the bin assignment engine. The gate verifies the position of the hand's proximal anchors (wrist landmark and MCP knuckle centroid), which remain visible below the shelf lip even when the distal joints are occluded. When these anchors are detected at or below the bottom-bin boundary, the gate overrides any fingertip-derived top-bin assignment and forces the correct bottom-bin assignment [Figure 4.10c].</w:t>
      </w:r>
    </w:p>
    <w:p>
      <w:r>
        <w:rPr>
          <w:rFonts w:ascii="Times New Roman" w:hAnsi="Times New Roman"/>
          <w:b w:val="0"/>
          <w:i w:val="0"/>
          <w:sz w:val="24"/>
        </w:rPr>
        <w:t>A stateful Occlusion Hold module was additionally developed to address complete hand disappearance behind the shelf lip. The hold module maintains the last-known bottom-bin assignment for a configurable timeout (default: 500 ms), releasing only when the hand reappears.</w:t>
      </w:r>
    </w:p>
    <w:p>
      <w:r>
        <w:rPr>
          <w:rFonts w:ascii="Times New Roman" w:hAnsi="Times New Roman"/>
          <w:b w:val="0"/>
          <w:i w:val="0"/>
          <w:sz w:val="24"/>
        </w:rPr>
        <w:t>Both modules are covered by the unit test suite: 22 test cases for the gate and 12 for the hold, all passing. The combined effect eliminated the false-alarm issue in subsequent integration testing.</w:t>
      </w:r>
    </w:p>
    <w:p>
      <w:pPr>
        <w:jc w:val="center"/>
      </w:pPr>
      <w:r>
        <w:rPr>
          <w:i/>
          <w:color w:val="969696"/>
          <w:sz w:val="22"/>
        </w:rPr>
        <w:t>[INSERT FIGURE HERE]</w:t>
      </w:r>
    </w:p>
    <w:p>
      <w:pPr>
        <w:spacing w:after="240"/>
        <w:jc w:val="center"/>
      </w:pPr>
      <w:r>
        <w:rPr>
          <w:rFonts w:ascii="Times New Roman" w:hAnsi="Times New Roman"/>
          <w:i/>
          <w:sz w:val="20"/>
        </w:rPr>
        <w:t>Figure 4.10: Occlusion Gate operation. (a) Side-view schematic showing the shelf lip occluding fingertips during a bottom-bin reach. (b) Without the gate: false top-bin assignment. (c) With the gate: proximal anchor detection overrides to the correct bottom bin.</w:t>
      </w:r>
    </w:p>
    <w:p>
      <w:r>
        <w:br w:type="page"/>
      </w:r>
    </w:p>
    <w:p>
      <w:pPr>
        <w:pStyle w:val="Heading1"/>
      </w:pPr>
      <w:r>
        <w:t>Chapter 5: User Testing &amp; Validation</w:t>
      </w:r>
    </w:p>
    <w:p>
      <w:r>
        <w:rPr>
          <w:rFonts w:ascii="Times New Roman" w:hAnsi="Times New Roman"/>
          <w:b w:val="0"/>
          <w:i w:val="0"/>
          <w:sz w:val="24"/>
        </w:rPr>
        <w:t>This chapter presents system-level validation of the integrated prototype, comprising a developer user study, the HMI iteration driven by operator feedback, a final stakeholder validation with TE Connectivity, and the formal requirements traceability matrix.</w:t>
      </w:r>
    </w:p>
    <w:p>
      <w:pPr>
        <w:pStyle w:val="Heading2"/>
      </w:pPr>
      <w:r>
        <w:t>5.1 Usability Study</w:t>
      </w:r>
    </w:p>
    <w:p>
      <w:pPr>
        <w:pStyle w:val="Heading3"/>
      </w:pPr>
      <w:r>
        <w:t>5.1.1 Testing Framework</w:t>
      </w:r>
    </w:p>
    <w:p>
      <w:r>
        <w:rPr>
          <w:rFonts w:ascii="Times New Roman" w:hAnsi="Times New Roman"/>
          <w:b w:val="0"/>
          <w:i w:val="0"/>
          <w:sz w:val="24"/>
        </w:rPr>
        <w:t>The integrated system was evaluated through a structured usability study with six operators conducted between 8 and 13 July 2026. The study employed a within-subjects, counterbalanced design in which each operator completed a paper-based Control block and an AEGIS System block with three bills of materials (BOMs) per block. Block order was counterbalanced across participants to control for learning effects. The participant schedule is shown in Table 5.1.</w:t>
      </w:r>
    </w:p>
    <w:p>
      <w:r>
        <w:rPr>
          <w:rFonts w:ascii="Times New Roman" w:hAnsi="Times New Roman"/>
          <w:b w:val="0"/>
          <w:i w:val="0"/>
          <w:sz w:val="24"/>
        </w:rPr>
        <w:t>Each session comprised three phases: (1) a structured alert walkthrough across all four fault types, (2) a rating interview across nine dimensions scored on a 1 to 5 Likert scale, and (3) an open-ended interview capturing free-form feedback. The nine dimensions were selected to separate task communication (what and how many to pack) from exception communication (warnings, errors, and corrective instructions).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Operator</w:t>
            </w:r>
          </w:p>
        </w:tc>
        <w:tc>
          <w:tcPr>
            <w:tcW w:type="dxa" w:w="2160"/>
          </w:tcPr>
          <w:p>
            <w:pPr>
              <w:jc w:val="center"/>
            </w:pPr>
            <w:r>
              <w:rPr>
                <w:rFonts w:ascii="Times New Roman" w:hAnsi="Times New Roman"/>
                <w:b/>
                <w:sz w:val="20"/>
              </w:rPr>
              <w:t>Date</w:t>
            </w:r>
          </w:p>
        </w:tc>
        <w:tc>
          <w:tcPr>
            <w:tcW w:type="dxa" w:w="2160"/>
          </w:tcPr>
          <w:p>
            <w:pPr>
              <w:jc w:val="center"/>
            </w:pPr>
            <w:r>
              <w:rPr>
                <w:rFonts w:ascii="Times New Roman" w:hAnsi="Times New Roman"/>
                <w:b/>
                <w:sz w:val="20"/>
              </w:rPr>
              <w:t>Group</w:t>
            </w:r>
          </w:p>
        </w:tc>
        <w:tc>
          <w:tcPr>
            <w:tcW w:type="dxa" w:w="2160"/>
          </w:tcPr>
          <w:p>
            <w:pPr>
              <w:jc w:val="center"/>
            </w:pPr>
            <w:r>
              <w:rPr>
                <w:rFonts w:ascii="Times New Roman" w:hAnsi="Times New Roman"/>
                <w:b/>
                <w:sz w:val="20"/>
              </w:rPr>
              <w:t>BOM Order</w:t>
            </w:r>
          </w:p>
        </w:tc>
      </w:tr>
      <w:tr>
        <w:tc>
          <w:tcPr>
            <w:tcW w:type="dxa" w:w="2160"/>
          </w:tcPr>
          <w:p>
            <w:r>
              <w:rPr>
                <w:rFonts w:ascii="Times New Roman" w:hAnsi="Times New Roman"/>
                <w:sz w:val="20"/>
              </w:rPr>
              <w:t>Benny</w:t>
            </w:r>
          </w:p>
        </w:tc>
        <w:tc>
          <w:tcPr>
            <w:tcW w:type="dxa" w:w="2160"/>
          </w:tcPr>
          <w:p>
            <w:r>
              <w:rPr>
                <w:rFonts w:ascii="Times New Roman" w:hAnsi="Times New Roman"/>
                <w:sz w:val="20"/>
              </w:rPr>
              <w:t>8 Jul</w:t>
            </w:r>
          </w:p>
        </w:tc>
        <w:tc>
          <w:tcPr>
            <w:tcW w:type="dxa" w:w="2160"/>
          </w:tcPr>
          <w:p>
            <w:r>
              <w:rPr>
                <w:rFonts w:ascii="Times New Roman" w:hAnsi="Times New Roman"/>
                <w:sz w:val="20"/>
              </w:rPr>
              <w:t>*</w:t>
            </w:r>
          </w:p>
        </w:tc>
        <w:tc>
          <w:tcPr>
            <w:tcW w:type="dxa" w:w="2160"/>
          </w:tcPr>
          <w:p>
            <w:r>
              <w:rPr>
                <w:rFonts w:ascii="Times New Roman" w:hAnsi="Times New Roman"/>
                <w:sz w:val="20"/>
              </w:rPr>
              <w:t>1, 2, 3</w:t>
            </w:r>
          </w:p>
        </w:tc>
      </w:tr>
      <w:tr>
        <w:tc>
          <w:tcPr>
            <w:tcW w:type="dxa" w:w="2160"/>
          </w:tcPr>
          <w:p>
            <w:r>
              <w:rPr>
                <w:rFonts w:ascii="Times New Roman" w:hAnsi="Times New Roman"/>
                <w:sz w:val="20"/>
              </w:rPr>
              <w:t>Chloe</w:t>
            </w:r>
          </w:p>
        </w:tc>
        <w:tc>
          <w:tcPr>
            <w:tcW w:type="dxa" w:w="2160"/>
          </w:tcPr>
          <w:p>
            <w:r>
              <w:rPr>
                <w:rFonts w:ascii="Times New Roman" w:hAnsi="Times New Roman"/>
                <w:sz w:val="20"/>
              </w:rPr>
              <w:t>8 Jul</w:t>
            </w:r>
          </w:p>
        </w:tc>
        <w:tc>
          <w:tcPr>
            <w:tcW w:type="dxa" w:w="2160"/>
          </w:tcPr>
          <w:p>
            <w:r>
              <w:rPr>
                <w:rFonts w:ascii="Times New Roman" w:hAnsi="Times New Roman"/>
                <w:sz w:val="20"/>
              </w:rPr>
              <w:t>B</w:t>
            </w:r>
          </w:p>
        </w:tc>
        <w:tc>
          <w:tcPr>
            <w:tcW w:type="dxa" w:w="2160"/>
          </w:tcPr>
          <w:p>
            <w:r>
              <w:rPr>
                <w:rFonts w:ascii="Times New Roman" w:hAnsi="Times New Roman"/>
                <w:sz w:val="20"/>
              </w:rPr>
              <w:t>2, 3, 1</w:t>
            </w:r>
          </w:p>
        </w:tc>
      </w:tr>
      <w:tr>
        <w:tc>
          <w:tcPr>
            <w:tcW w:type="dxa" w:w="2160"/>
          </w:tcPr>
          <w:p>
            <w:r>
              <w:rPr>
                <w:rFonts w:ascii="Times New Roman" w:hAnsi="Times New Roman"/>
                <w:sz w:val="20"/>
              </w:rPr>
              <w:t>Ming Zhan</w:t>
            </w:r>
          </w:p>
        </w:tc>
        <w:tc>
          <w:tcPr>
            <w:tcW w:type="dxa" w:w="2160"/>
          </w:tcPr>
          <w:p>
            <w:r>
              <w:rPr>
                <w:rFonts w:ascii="Times New Roman" w:hAnsi="Times New Roman"/>
                <w:sz w:val="20"/>
              </w:rPr>
              <w:t>8 Jul</w:t>
            </w:r>
          </w:p>
        </w:tc>
        <w:tc>
          <w:tcPr>
            <w:tcW w:type="dxa" w:w="2160"/>
          </w:tcPr>
          <w:p>
            <w:r>
              <w:rPr>
                <w:rFonts w:ascii="Times New Roman" w:hAnsi="Times New Roman"/>
                <w:sz w:val="20"/>
              </w:rPr>
              <w:t>B</w:t>
            </w:r>
          </w:p>
        </w:tc>
        <w:tc>
          <w:tcPr>
            <w:tcW w:type="dxa" w:w="2160"/>
          </w:tcPr>
          <w:p>
            <w:r>
              <w:rPr>
                <w:rFonts w:ascii="Times New Roman" w:hAnsi="Times New Roman"/>
                <w:sz w:val="20"/>
              </w:rPr>
              <w:t>2, 1, 3</w:t>
            </w:r>
          </w:p>
        </w:tc>
      </w:tr>
      <w:tr>
        <w:tc>
          <w:tcPr>
            <w:tcW w:type="dxa" w:w="2160"/>
          </w:tcPr>
          <w:p>
            <w:r>
              <w:rPr>
                <w:rFonts w:ascii="Times New Roman" w:hAnsi="Times New Roman"/>
                <w:sz w:val="20"/>
              </w:rPr>
              <w:t>Song Yi</w:t>
            </w:r>
          </w:p>
        </w:tc>
        <w:tc>
          <w:tcPr>
            <w:tcW w:type="dxa" w:w="2160"/>
          </w:tcPr>
          <w:p>
            <w:r>
              <w:rPr>
                <w:rFonts w:ascii="Times New Roman" w:hAnsi="Times New Roman"/>
                <w:sz w:val="20"/>
              </w:rPr>
              <w:t>9 Jul</w:t>
            </w:r>
          </w:p>
        </w:tc>
        <w:tc>
          <w:tcPr>
            <w:tcW w:type="dxa" w:w="2160"/>
          </w:tcPr>
          <w:p>
            <w:r>
              <w:rPr>
                <w:rFonts w:ascii="Times New Roman" w:hAnsi="Times New Roman"/>
                <w:sz w:val="20"/>
              </w:rPr>
              <w:t>A</w:t>
            </w:r>
          </w:p>
        </w:tc>
        <w:tc>
          <w:tcPr>
            <w:tcW w:type="dxa" w:w="2160"/>
          </w:tcPr>
          <w:p>
            <w:r>
              <w:rPr>
                <w:rFonts w:ascii="Times New Roman" w:hAnsi="Times New Roman"/>
                <w:sz w:val="20"/>
              </w:rPr>
              <w:t>2, 1, 3</w:t>
            </w:r>
          </w:p>
        </w:tc>
      </w:tr>
      <w:tr>
        <w:tc>
          <w:tcPr>
            <w:tcW w:type="dxa" w:w="2160"/>
          </w:tcPr>
          <w:p>
            <w:r>
              <w:rPr>
                <w:rFonts w:ascii="Times New Roman" w:hAnsi="Times New Roman"/>
                <w:sz w:val="20"/>
              </w:rPr>
              <w:t>Royce</w:t>
            </w:r>
          </w:p>
        </w:tc>
        <w:tc>
          <w:tcPr>
            <w:tcW w:type="dxa" w:w="2160"/>
          </w:tcPr>
          <w:p>
            <w:r>
              <w:rPr>
                <w:rFonts w:ascii="Times New Roman" w:hAnsi="Times New Roman"/>
                <w:sz w:val="20"/>
              </w:rPr>
              <w:t>10 Jul</w:t>
            </w:r>
          </w:p>
        </w:tc>
        <w:tc>
          <w:tcPr>
            <w:tcW w:type="dxa" w:w="2160"/>
          </w:tcPr>
          <w:p>
            <w:r>
              <w:rPr>
                <w:rFonts w:ascii="Times New Roman" w:hAnsi="Times New Roman"/>
                <w:sz w:val="20"/>
              </w:rPr>
              <w:t>A</w:t>
            </w:r>
          </w:p>
        </w:tc>
        <w:tc>
          <w:tcPr>
            <w:tcW w:type="dxa" w:w="2160"/>
          </w:tcPr>
          <w:p>
            <w:r>
              <w:rPr>
                <w:rFonts w:ascii="Times New Roman" w:hAnsi="Times New Roman"/>
                <w:sz w:val="20"/>
              </w:rPr>
              <w:t>3, 2, 1</w:t>
            </w:r>
          </w:p>
        </w:tc>
      </w:tr>
      <w:tr>
        <w:tc>
          <w:tcPr>
            <w:tcW w:type="dxa" w:w="2160"/>
          </w:tcPr>
          <w:p>
            <w:r>
              <w:rPr>
                <w:rFonts w:ascii="Times New Roman" w:hAnsi="Times New Roman"/>
                <w:sz w:val="20"/>
              </w:rPr>
              <w:t>Jack</w:t>
            </w:r>
          </w:p>
        </w:tc>
        <w:tc>
          <w:tcPr>
            <w:tcW w:type="dxa" w:w="2160"/>
          </w:tcPr>
          <w:p>
            <w:r>
              <w:rPr>
                <w:rFonts w:ascii="Times New Roman" w:hAnsi="Times New Roman"/>
                <w:sz w:val="20"/>
              </w:rPr>
              <w:t>13 Jul</w:t>
            </w:r>
          </w:p>
        </w:tc>
        <w:tc>
          <w:tcPr>
            <w:tcW w:type="dxa" w:w="2160"/>
          </w:tcPr>
          <w:p>
            <w:r>
              <w:rPr>
                <w:rFonts w:ascii="Times New Roman" w:hAnsi="Times New Roman"/>
                <w:sz w:val="20"/>
              </w:rPr>
              <w:t>B</w:t>
            </w:r>
          </w:p>
        </w:tc>
        <w:tc>
          <w:tcPr>
            <w:tcW w:type="dxa" w:w="2160"/>
          </w:tcPr>
          <w:p>
            <w:r>
              <w:rPr>
                <w:rFonts w:ascii="Times New Roman" w:hAnsi="Times New Roman"/>
                <w:sz w:val="20"/>
              </w:rPr>
              <w:t>1, 3, 2</w:t>
            </w:r>
          </w:p>
        </w:tc>
      </w:tr>
    </w:tbl>
    <w:p/>
    <w:p>
      <w:r>
        <w:rPr>
          <w:rFonts w:ascii="Times New Roman" w:hAnsi="Times New Roman"/>
          <w:b w:val="0"/>
          <w:i/>
          <w:sz w:val="20"/>
        </w:rPr>
        <w:t>Table 5.1: Participant schedule. *Benny's session used an earlier protocol (pilot).</w:t>
      </w:r>
    </w:p>
    <w:p>
      <w:pPr>
        <w:jc w:val="center"/>
      </w:pPr>
      <w:r>
        <w:rPr>
          <w:i/>
          <w:color w:val="969696"/>
          <w:sz w:val="22"/>
        </w:rPr>
        <w:t>[INSERT FIGURE HERE]</w:t>
      </w:r>
    </w:p>
    <w:p>
      <w:pPr>
        <w:spacing w:after="240"/>
        <w:jc w:val="center"/>
      </w:pPr>
      <w:r>
        <w:rPr>
          <w:rFonts w:ascii="Times New Roman" w:hAnsi="Times New Roman"/>
          <w:i/>
          <w:sz w:val="20"/>
        </w:rPr>
        <w:t>Figure 5.1: Usability study setup. (a) Operator using AEGIS during a kitting task. (b) Paper-based control condition. (c) Interview setup.</w:t>
      </w:r>
    </w:p>
    <w:p>
      <w:pPr>
        <w:pStyle w:val="Heading3"/>
      </w:pPr>
      <w:r>
        <w:t>5.1.2 Evaluation Results</w:t>
      </w:r>
    </w:p>
    <w:p>
      <w:r>
        <w:rPr>
          <w:rFonts w:ascii="Times New Roman" w:hAnsi="Times New Roman"/>
          <w:b w:val="0"/>
          <w:i w:val="0"/>
          <w:sz w:val="24"/>
        </w:rPr>
        <w:t>Operator ratings are summarised in Table 5.2. The distribution of individual ratings is shown in Figure 5.2.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20"/>
              </w:rPr>
              <w:t>ID</w:t>
            </w:r>
          </w:p>
        </w:tc>
        <w:tc>
          <w:tcPr>
            <w:tcW w:type="dxa" w:w="1728"/>
          </w:tcPr>
          <w:p>
            <w:pPr>
              <w:jc w:val="center"/>
            </w:pPr>
            <w:r>
              <w:rPr>
                <w:rFonts w:ascii="Times New Roman" w:hAnsi="Times New Roman"/>
                <w:b/>
                <w:sz w:val="20"/>
              </w:rPr>
              <w:t>Dimension</w:t>
            </w:r>
          </w:p>
        </w:tc>
        <w:tc>
          <w:tcPr>
            <w:tcW w:type="dxa" w:w="1728"/>
          </w:tcPr>
          <w:p>
            <w:pPr>
              <w:jc w:val="center"/>
            </w:pPr>
            <w:r>
              <w:rPr>
                <w:rFonts w:ascii="Times New Roman" w:hAnsi="Times New Roman"/>
                <w:b/>
                <w:sz w:val="20"/>
              </w:rPr>
              <w:t>Mean</w:t>
            </w:r>
          </w:p>
        </w:tc>
        <w:tc>
          <w:tcPr>
            <w:tcW w:type="dxa" w:w="1728"/>
          </w:tcPr>
          <w:p>
            <w:pPr>
              <w:jc w:val="center"/>
            </w:pPr>
            <w:r>
              <w:rPr>
                <w:rFonts w:ascii="Times New Roman" w:hAnsi="Times New Roman"/>
                <w:b/>
                <w:sz w:val="20"/>
              </w:rPr>
              <w:t>Range</w:t>
            </w:r>
          </w:p>
        </w:tc>
        <w:tc>
          <w:tcPr>
            <w:tcW w:type="dxa" w:w="1728"/>
          </w:tcPr>
          <w:p>
            <w:pPr>
              <w:jc w:val="center"/>
            </w:pPr>
            <w:r>
              <w:rPr>
                <w:rFonts w:ascii="Times New Roman" w:hAnsi="Times New Roman"/>
                <w:b/>
                <w:sz w:val="20"/>
              </w:rPr>
              <w:t>n</w:t>
            </w:r>
          </w:p>
        </w:tc>
      </w:tr>
      <w:tr>
        <w:tc>
          <w:tcPr>
            <w:tcW w:type="dxa" w:w="1728"/>
          </w:tcPr>
          <w:p>
            <w:r>
              <w:rPr>
                <w:rFonts w:ascii="Times New Roman" w:hAnsi="Times New Roman"/>
                <w:sz w:val="20"/>
              </w:rPr>
              <w:t>R1</w:t>
            </w:r>
          </w:p>
        </w:tc>
        <w:tc>
          <w:tcPr>
            <w:tcW w:type="dxa" w:w="1728"/>
          </w:tcPr>
          <w:p>
            <w:r>
              <w:rPr>
                <w:rFonts w:ascii="Times New Roman" w:hAnsi="Times New Roman"/>
                <w:sz w:val="20"/>
              </w:rPr>
              <w:t>Screen wording clarity</w:t>
            </w:r>
          </w:p>
        </w:tc>
        <w:tc>
          <w:tcPr>
            <w:tcW w:type="dxa" w:w="1728"/>
          </w:tcPr>
          <w:p>
            <w:r>
              <w:rPr>
                <w:rFonts w:ascii="Times New Roman" w:hAnsi="Times New Roman"/>
                <w:sz w:val="20"/>
              </w:rPr>
              <w:t>3.3</w:t>
            </w:r>
          </w:p>
        </w:tc>
        <w:tc>
          <w:tcPr>
            <w:tcW w:type="dxa" w:w="1728"/>
          </w:tcPr>
          <w:p>
            <w:r>
              <w:rPr>
                <w:rFonts w:ascii="Times New Roman" w:hAnsi="Times New Roman"/>
                <w:sz w:val="20"/>
              </w:rPr>
              <w:t>2 to 5</w:t>
            </w:r>
          </w:p>
        </w:tc>
        <w:tc>
          <w:tcPr>
            <w:tcW w:type="dxa" w:w="1728"/>
          </w:tcPr>
          <w:p>
            <w:r>
              <w:rPr>
                <w:rFonts w:ascii="Times New Roman" w:hAnsi="Times New Roman"/>
                <w:sz w:val="20"/>
              </w:rPr>
              <w:t>6</w:t>
            </w:r>
          </w:p>
        </w:tc>
      </w:tr>
      <w:tr>
        <w:tc>
          <w:tcPr>
            <w:tcW w:type="dxa" w:w="1728"/>
          </w:tcPr>
          <w:p>
            <w:r>
              <w:rPr>
                <w:rFonts w:ascii="Times New Roman" w:hAnsi="Times New Roman"/>
                <w:sz w:val="20"/>
              </w:rPr>
              <w:t>R2</w:t>
            </w:r>
          </w:p>
        </w:tc>
        <w:tc>
          <w:tcPr>
            <w:tcW w:type="dxa" w:w="1728"/>
          </w:tcPr>
          <w:p>
            <w:r>
              <w:rPr>
                <w:rFonts w:ascii="Times New Roman" w:hAnsi="Times New Roman"/>
                <w:sz w:val="20"/>
              </w:rPr>
              <w:t>Layout and placement of information</w:t>
            </w:r>
          </w:p>
        </w:tc>
        <w:tc>
          <w:tcPr>
            <w:tcW w:type="dxa" w:w="1728"/>
          </w:tcPr>
          <w:p>
            <w:r>
              <w:rPr>
                <w:rFonts w:ascii="Times New Roman" w:hAnsi="Times New Roman"/>
                <w:sz w:val="20"/>
              </w:rPr>
              <w:t>4.2</w:t>
            </w:r>
          </w:p>
        </w:tc>
        <w:tc>
          <w:tcPr>
            <w:tcW w:type="dxa" w:w="1728"/>
          </w:tcPr>
          <w:p>
            <w:r>
              <w:rPr>
                <w:rFonts w:ascii="Times New Roman" w:hAnsi="Times New Roman"/>
                <w:sz w:val="20"/>
              </w:rPr>
              <w:t>3 to 5</w:t>
            </w:r>
          </w:p>
        </w:tc>
        <w:tc>
          <w:tcPr>
            <w:tcW w:type="dxa" w:w="1728"/>
          </w:tcPr>
          <w:p>
            <w:r>
              <w:rPr>
                <w:rFonts w:ascii="Times New Roman" w:hAnsi="Times New Roman"/>
                <w:sz w:val="20"/>
              </w:rPr>
              <w:t>6</w:t>
            </w:r>
          </w:p>
        </w:tc>
      </w:tr>
      <w:tr>
        <w:tc>
          <w:tcPr>
            <w:tcW w:type="dxa" w:w="1728"/>
          </w:tcPr>
          <w:p>
            <w:r>
              <w:rPr>
                <w:rFonts w:ascii="Times New Roman" w:hAnsi="Times New Roman"/>
                <w:sz w:val="20"/>
              </w:rPr>
              <w:t>R3</w:t>
            </w:r>
          </w:p>
        </w:tc>
        <w:tc>
          <w:tcPr>
            <w:tcW w:type="dxa" w:w="1728"/>
          </w:tcPr>
          <w:p>
            <w:r>
              <w:rPr>
                <w:rFonts w:ascii="Times New Roman" w:hAnsi="Times New Roman"/>
                <w:sz w:val="20"/>
              </w:rPr>
              <w:t>Ease of understanding what to pack</w:t>
            </w:r>
          </w:p>
        </w:tc>
        <w:tc>
          <w:tcPr>
            <w:tcW w:type="dxa" w:w="1728"/>
          </w:tcPr>
          <w:p>
            <w:r>
              <w:rPr>
                <w:rFonts w:ascii="Times New Roman" w:hAnsi="Times New Roman"/>
                <w:sz w:val="20"/>
              </w:rPr>
              <w:t>4.9</w:t>
            </w:r>
          </w:p>
        </w:tc>
        <w:tc>
          <w:tcPr>
            <w:tcW w:type="dxa" w:w="1728"/>
          </w:tcPr>
          <w:p>
            <w:r>
              <w:rPr>
                <w:rFonts w:ascii="Times New Roman" w:hAnsi="Times New Roman"/>
                <w:sz w:val="20"/>
              </w:rPr>
              <w:t>4.5 to 5</w:t>
            </w:r>
          </w:p>
        </w:tc>
        <w:tc>
          <w:tcPr>
            <w:tcW w:type="dxa" w:w="1728"/>
          </w:tcPr>
          <w:p>
            <w:r>
              <w:rPr>
                <w:rFonts w:ascii="Times New Roman" w:hAnsi="Times New Roman"/>
                <w:sz w:val="20"/>
              </w:rPr>
              <w:t>6</w:t>
            </w:r>
          </w:p>
        </w:tc>
      </w:tr>
      <w:tr>
        <w:tc>
          <w:tcPr>
            <w:tcW w:type="dxa" w:w="1728"/>
          </w:tcPr>
          <w:p>
            <w:r>
              <w:rPr>
                <w:rFonts w:ascii="Times New Roman" w:hAnsi="Times New Roman"/>
                <w:sz w:val="20"/>
              </w:rPr>
              <w:t>R4</w:t>
            </w:r>
          </w:p>
        </w:tc>
        <w:tc>
          <w:tcPr>
            <w:tcW w:type="dxa" w:w="1728"/>
          </w:tcPr>
          <w:p>
            <w:r>
              <w:rPr>
                <w:rFonts w:ascii="Times New Roman" w:hAnsi="Times New Roman"/>
                <w:sz w:val="20"/>
              </w:rPr>
              <w:t>Ease of understanding how many to pack</w:t>
            </w:r>
          </w:p>
        </w:tc>
        <w:tc>
          <w:tcPr>
            <w:tcW w:type="dxa" w:w="1728"/>
          </w:tcPr>
          <w:p>
            <w:r>
              <w:rPr>
                <w:rFonts w:ascii="Times New Roman" w:hAnsi="Times New Roman"/>
                <w:sz w:val="20"/>
              </w:rPr>
              <w:t>5.0</w:t>
            </w:r>
          </w:p>
        </w:tc>
        <w:tc>
          <w:tcPr>
            <w:tcW w:type="dxa" w:w="1728"/>
          </w:tcPr>
          <w:p>
            <w:r>
              <w:rPr>
                <w:rFonts w:ascii="Times New Roman" w:hAnsi="Times New Roman"/>
                <w:sz w:val="20"/>
              </w:rPr>
              <w:t>5 to 5</w:t>
            </w:r>
          </w:p>
        </w:tc>
        <w:tc>
          <w:tcPr>
            <w:tcW w:type="dxa" w:w="1728"/>
          </w:tcPr>
          <w:p>
            <w:r>
              <w:rPr>
                <w:rFonts w:ascii="Times New Roman" w:hAnsi="Times New Roman"/>
                <w:sz w:val="20"/>
              </w:rPr>
              <w:t>6</w:t>
            </w:r>
          </w:p>
        </w:tc>
      </w:tr>
      <w:tr>
        <w:tc>
          <w:tcPr>
            <w:tcW w:type="dxa" w:w="1728"/>
          </w:tcPr>
          <w:p>
            <w:r>
              <w:rPr>
                <w:rFonts w:ascii="Times New Roman" w:hAnsi="Times New Roman"/>
                <w:sz w:val="20"/>
              </w:rPr>
              <w:t>R5</w:t>
            </w:r>
          </w:p>
        </w:tc>
        <w:tc>
          <w:tcPr>
            <w:tcW w:type="dxa" w:w="1728"/>
          </w:tcPr>
          <w:p>
            <w:r>
              <w:rPr>
                <w:rFonts w:ascii="Times New Roman" w:hAnsi="Times New Roman"/>
                <w:sz w:val="20"/>
              </w:rPr>
              <w:t>Running count usefulness</w:t>
            </w:r>
          </w:p>
        </w:tc>
        <w:tc>
          <w:tcPr>
            <w:tcW w:type="dxa" w:w="1728"/>
          </w:tcPr>
          <w:p>
            <w:r>
              <w:rPr>
                <w:rFonts w:ascii="Times New Roman" w:hAnsi="Times New Roman"/>
                <w:sz w:val="20"/>
              </w:rPr>
              <w:t>3.8</w:t>
            </w:r>
          </w:p>
        </w:tc>
        <w:tc>
          <w:tcPr>
            <w:tcW w:type="dxa" w:w="1728"/>
          </w:tcPr>
          <w:p>
            <w:r>
              <w:rPr>
                <w:rFonts w:ascii="Times New Roman" w:hAnsi="Times New Roman"/>
                <w:sz w:val="20"/>
              </w:rPr>
              <w:t>1 to 5</w:t>
            </w:r>
          </w:p>
        </w:tc>
        <w:tc>
          <w:tcPr>
            <w:tcW w:type="dxa" w:w="1728"/>
          </w:tcPr>
          <w:p>
            <w:r>
              <w:rPr>
                <w:rFonts w:ascii="Times New Roman" w:hAnsi="Times New Roman"/>
                <w:sz w:val="20"/>
              </w:rPr>
              <w:t>6</w:t>
            </w:r>
          </w:p>
        </w:tc>
      </w:tr>
      <w:tr>
        <w:tc>
          <w:tcPr>
            <w:tcW w:type="dxa" w:w="1728"/>
          </w:tcPr>
          <w:p>
            <w:r>
              <w:rPr>
                <w:rFonts w:ascii="Times New Roman" w:hAnsi="Times New Roman"/>
                <w:sz w:val="20"/>
              </w:rPr>
              <w:t>R6</w:t>
            </w:r>
          </w:p>
        </w:tc>
        <w:tc>
          <w:tcPr>
            <w:tcW w:type="dxa" w:w="1728"/>
          </w:tcPr>
          <w:p>
            <w:r>
              <w:rPr>
                <w:rFonts w:ascii="Times New Roman" w:hAnsi="Times New Roman"/>
                <w:sz w:val="20"/>
              </w:rPr>
              <w:t>Warning and error alert clarity</w:t>
            </w:r>
          </w:p>
        </w:tc>
        <w:tc>
          <w:tcPr>
            <w:tcW w:type="dxa" w:w="1728"/>
          </w:tcPr>
          <w:p>
            <w:r>
              <w:rPr>
                <w:rFonts w:ascii="Times New Roman" w:hAnsi="Times New Roman"/>
                <w:sz w:val="20"/>
              </w:rPr>
              <w:t>3.3</w:t>
            </w:r>
          </w:p>
        </w:tc>
        <w:tc>
          <w:tcPr>
            <w:tcW w:type="dxa" w:w="1728"/>
          </w:tcPr>
          <w:p>
            <w:r>
              <w:rPr>
                <w:rFonts w:ascii="Times New Roman" w:hAnsi="Times New Roman"/>
                <w:sz w:val="20"/>
              </w:rPr>
              <w:t>2 to 5</w:t>
            </w:r>
          </w:p>
        </w:tc>
        <w:tc>
          <w:tcPr>
            <w:tcW w:type="dxa" w:w="1728"/>
          </w:tcPr>
          <w:p>
            <w:r>
              <w:rPr>
                <w:rFonts w:ascii="Times New Roman" w:hAnsi="Times New Roman"/>
                <w:sz w:val="20"/>
              </w:rPr>
              <w:t>6</w:t>
            </w:r>
          </w:p>
        </w:tc>
      </w:tr>
      <w:tr>
        <w:tc>
          <w:tcPr>
            <w:tcW w:type="dxa" w:w="1728"/>
          </w:tcPr>
          <w:p>
            <w:r>
              <w:rPr>
                <w:rFonts w:ascii="Times New Roman" w:hAnsi="Times New Roman"/>
                <w:sz w:val="20"/>
              </w:rPr>
              <w:t>R7</w:t>
            </w:r>
          </w:p>
        </w:tc>
        <w:tc>
          <w:tcPr>
            <w:tcW w:type="dxa" w:w="1728"/>
          </w:tcPr>
          <w:p>
            <w:r>
              <w:rPr>
                <w:rFonts w:ascii="Times New Roman" w:hAnsi="Times New Roman"/>
                <w:sz w:val="20"/>
              </w:rPr>
              <w:t>Corrective instruction completeness</w:t>
            </w:r>
          </w:p>
        </w:tc>
        <w:tc>
          <w:tcPr>
            <w:tcW w:type="dxa" w:w="1728"/>
          </w:tcPr>
          <w:p>
            <w:r>
              <w:rPr>
                <w:rFonts w:ascii="Times New Roman" w:hAnsi="Times New Roman"/>
                <w:sz w:val="20"/>
              </w:rPr>
              <w:t>3.0</w:t>
            </w:r>
          </w:p>
        </w:tc>
        <w:tc>
          <w:tcPr>
            <w:tcW w:type="dxa" w:w="1728"/>
          </w:tcPr>
          <w:p>
            <w:r>
              <w:rPr>
                <w:rFonts w:ascii="Times New Roman" w:hAnsi="Times New Roman"/>
                <w:sz w:val="20"/>
              </w:rPr>
              <w:t>1 to 4</w:t>
            </w:r>
          </w:p>
        </w:tc>
        <w:tc>
          <w:tcPr>
            <w:tcW w:type="dxa" w:w="1728"/>
          </w:tcPr>
          <w:p>
            <w:r>
              <w:rPr>
                <w:rFonts w:ascii="Times New Roman" w:hAnsi="Times New Roman"/>
                <w:sz w:val="20"/>
              </w:rPr>
              <w:t>5*</w:t>
            </w:r>
          </w:p>
        </w:tc>
      </w:tr>
      <w:tr>
        <w:tc>
          <w:tcPr>
            <w:tcW w:type="dxa" w:w="1728"/>
          </w:tcPr>
          <w:p>
            <w:r>
              <w:rPr>
                <w:rFonts w:ascii="Times New Roman" w:hAnsi="Times New Roman"/>
                <w:sz w:val="20"/>
              </w:rPr>
              <w:t>R8</w:t>
            </w:r>
          </w:p>
        </w:tc>
        <w:tc>
          <w:tcPr>
            <w:tcW w:type="dxa" w:w="1728"/>
          </w:tcPr>
          <w:p>
            <w:r>
              <w:rPr>
                <w:rFonts w:ascii="Times New Roman" w:hAnsi="Times New Roman"/>
                <w:sz w:val="20"/>
              </w:rPr>
              <w:t>Trust that system would catch mistakes</w:t>
            </w:r>
          </w:p>
        </w:tc>
        <w:tc>
          <w:tcPr>
            <w:tcW w:type="dxa" w:w="1728"/>
          </w:tcPr>
          <w:p>
            <w:r>
              <w:rPr>
                <w:rFonts w:ascii="Times New Roman" w:hAnsi="Times New Roman"/>
                <w:sz w:val="20"/>
              </w:rPr>
              <w:t>4.0</w:t>
            </w:r>
          </w:p>
        </w:tc>
        <w:tc>
          <w:tcPr>
            <w:tcW w:type="dxa" w:w="1728"/>
          </w:tcPr>
          <w:p>
            <w:r>
              <w:rPr>
                <w:rFonts w:ascii="Times New Roman" w:hAnsi="Times New Roman"/>
                <w:sz w:val="20"/>
              </w:rPr>
              <w:t>3 to 5</w:t>
            </w:r>
          </w:p>
        </w:tc>
        <w:tc>
          <w:tcPr>
            <w:tcW w:type="dxa" w:w="1728"/>
          </w:tcPr>
          <w:p>
            <w:r>
              <w:rPr>
                <w:rFonts w:ascii="Times New Roman" w:hAnsi="Times New Roman"/>
                <w:sz w:val="20"/>
              </w:rPr>
              <w:t>6</w:t>
            </w:r>
          </w:p>
        </w:tc>
      </w:tr>
      <w:tr>
        <w:tc>
          <w:tcPr>
            <w:tcW w:type="dxa" w:w="1728"/>
          </w:tcPr>
          <w:p>
            <w:r>
              <w:rPr>
                <w:rFonts w:ascii="Times New Roman" w:hAnsi="Times New Roman"/>
                <w:sz w:val="20"/>
              </w:rPr>
              <w:t>R9</w:t>
            </w:r>
          </w:p>
        </w:tc>
        <w:tc>
          <w:tcPr>
            <w:tcW w:type="dxa" w:w="1728"/>
          </w:tcPr>
          <w:p>
            <w:r>
              <w:rPr>
                <w:rFonts w:ascii="Times New Roman" w:hAnsi="Times New Roman"/>
                <w:sz w:val="20"/>
              </w:rPr>
              <w:t>Overall ease of kitting with system</w:t>
            </w:r>
          </w:p>
        </w:tc>
        <w:tc>
          <w:tcPr>
            <w:tcW w:type="dxa" w:w="1728"/>
          </w:tcPr>
          <w:p>
            <w:r>
              <w:rPr>
                <w:rFonts w:ascii="Times New Roman" w:hAnsi="Times New Roman"/>
                <w:sz w:val="20"/>
              </w:rPr>
              <w:t>4.3</w:t>
            </w:r>
          </w:p>
        </w:tc>
        <w:tc>
          <w:tcPr>
            <w:tcW w:type="dxa" w:w="1728"/>
          </w:tcPr>
          <w:p>
            <w:r>
              <w:rPr>
                <w:rFonts w:ascii="Times New Roman" w:hAnsi="Times New Roman"/>
                <w:sz w:val="20"/>
              </w:rPr>
              <w:t>2 to 5</w:t>
            </w:r>
          </w:p>
        </w:tc>
        <w:tc>
          <w:tcPr>
            <w:tcW w:type="dxa" w:w="1728"/>
          </w:tcPr>
          <w:p>
            <w:r>
              <w:rPr>
                <w:rFonts w:ascii="Times New Roman" w:hAnsi="Times New Roman"/>
                <w:sz w:val="20"/>
              </w:rPr>
              <w:t>6</w:t>
            </w:r>
          </w:p>
        </w:tc>
      </w:tr>
    </w:tbl>
    <w:p/>
    <w:p>
      <w:r>
        <w:rPr>
          <w:rFonts w:ascii="Times New Roman" w:hAnsi="Times New Roman"/>
          <w:b w:val="0"/>
          <w:i/>
          <w:sz w:val="20"/>
        </w:rPr>
        <w:t>Table 5.2: Operator ratings (1 = poor, 5 = excellent). *R7: n = 5 (one operator triggered no errors).</w:t>
      </w:r>
    </w:p>
    <w:p>
      <w:pPr>
        <w:jc w:val="center"/>
      </w:pPr>
      <w:r>
        <w:rPr>
          <w:i/>
          <w:color w:val="969696"/>
          <w:sz w:val="22"/>
        </w:rPr>
        <w:t>[INSERT FIGURE HERE]</w:t>
      </w:r>
    </w:p>
    <w:p>
      <w:pPr>
        <w:spacing w:after="240"/>
        <w:jc w:val="center"/>
      </w:pPr>
      <w:r>
        <w:rPr>
          <w:rFonts w:ascii="Times New Roman" w:hAnsi="Times New Roman"/>
          <w:i/>
          <w:sz w:val="20"/>
        </w:rPr>
        <w:t>Figure 5.2: Rating distribution across the nine dimensions, showing means and individual data points.</w:t>
      </w:r>
    </w:p>
    <w:p>
      <w:r>
        <w:rPr>
          <w:rFonts w:ascii="Times New Roman" w:hAnsi="Times New Roman"/>
          <w:b w:val="0"/>
          <w:i w:val="0"/>
          <w:sz w:val="24"/>
        </w:rPr>
        <w:t>Task guidance dimensions rated at or near ceiling: understanding what to pack (R3: 4.9) and how many to pack (R4: 5.0). The position-based bin grid was consistently cited in open-ended feedback as the primary reason. Overall, operators preferred AEGIS over the paper baseline (R9: 4.3).</w:t>
      </w:r>
    </w:p>
    <w:p>
      <w:r>
        <w:rPr>
          <w:rFonts w:ascii="Times New Roman" w:hAnsi="Times New Roman"/>
          <w:b w:val="0"/>
          <w:i w:val="0"/>
          <w:sz w:val="24"/>
        </w:rPr>
        <w:t>The weakest dimensions concerned exception communication. Analysis of the open-ended feedback identified six specific usability gaps, as summarised in Table 5.3.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Gap</w:t>
            </w:r>
          </w:p>
        </w:tc>
        <w:tc>
          <w:tcPr>
            <w:tcW w:type="dxa" w:w="2160"/>
          </w:tcPr>
          <w:p>
            <w:pPr>
              <w:jc w:val="center"/>
            </w:pPr>
            <w:r>
              <w:rPr>
                <w:rFonts w:ascii="Times New Roman" w:hAnsi="Times New Roman"/>
                <w:b/>
                <w:sz w:val="20"/>
              </w:rPr>
              <w:t>Issue</w:t>
            </w:r>
          </w:p>
        </w:tc>
        <w:tc>
          <w:tcPr>
            <w:tcW w:type="dxa" w:w="2160"/>
          </w:tcPr>
          <w:p>
            <w:pPr>
              <w:jc w:val="center"/>
            </w:pPr>
            <w:r>
              <w:rPr>
                <w:rFonts w:ascii="Times New Roman" w:hAnsi="Times New Roman"/>
                <w:b/>
                <w:sz w:val="20"/>
              </w:rPr>
              <w:t>Frequency</w:t>
            </w:r>
          </w:p>
        </w:tc>
        <w:tc>
          <w:tcPr>
            <w:tcW w:type="dxa" w:w="2160"/>
          </w:tcPr>
          <w:p>
            <w:pPr>
              <w:jc w:val="center"/>
            </w:pPr>
            <w:r>
              <w:rPr>
                <w:rFonts w:ascii="Times New Roman" w:hAnsi="Times New Roman"/>
                <w:b/>
                <w:sz w:val="20"/>
              </w:rPr>
              <w:t>Representative Quote</w:t>
            </w:r>
          </w:p>
        </w:tc>
      </w:tr>
      <w:tr>
        <w:tc>
          <w:tcPr>
            <w:tcW w:type="dxa" w:w="2160"/>
          </w:tcPr>
          <w:p>
            <w:r>
              <w:rPr>
                <w:rFonts w:ascii="Times New Roman" w:hAnsi="Times New Roman"/>
                <w:sz w:val="20"/>
              </w:rPr>
              <w:t>G1</w:t>
            </w:r>
          </w:p>
        </w:tc>
        <w:tc>
          <w:tcPr>
            <w:tcW w:type="dxa" w:w="2160"/>
          </w:tcPr>
          <w:p>
            <w:r>
              <w:rPr>
                <w:rFonts w:ascii="Times New Roman" w:hAnsi="Times New Roman"/>
                <w:sz w:val="20"/>
              </w:rPr>
              <w:t>Alert font too small to read at working distance</w:t>
            </w:r>
          </w:p>
        </w:tc>
        <w:tc>
          <w:tcPr>
            <w:tcW w:type="dxa" w:w="2160"/>
          </w:tcPr>
          <w:p>
            <w:r>
              <w:rPr>
                <w:rFonts w:ascii="Times New Roman" w:hAnsi="Times New Roman"/>
                <w:sz w:val="20"/>
              </w:rPr>
              <w:t>4 of 6</w:t>
            </w:r>
          </w:p>
        </w:tc>
        <w:tc>
          <w:tcPr>
            <w:tcW w:type="dxa" w:w="2160"/>
          </w:tcPr>
          <w:p>
            <w:r>
              <w:rPr>
                <w:rFonts w:ascii="Times New Roman" w:hAnsi="Times New Roman"/>
                <w:sz w:val="20"/>
              </w:rPr>
              <w:t>"fonts small" (Royce); "wording small" (Ming Zhan)</w:t>
            </w:r>
          </w:p>
        </w:tc>
      </w:tr>
      <w:tr>
        <w:tc>
          <w:tcPr>
            <w:tcW w:type="dxa" w:w="2160"/>
          </w:tcPr>
          <w:p>
            <w:r>
              <w:rPr>
                <w:rFonts w:ascii="Times New Roman" w:hAnsi="Times New Roman"/>
                <w:sz w:val="20"/>
              </w:rPr>
              <w:t>G2</w:t>
            </w:r>
          </w:p>
        </w:tc>
        <w:tc>
          <w:tcPr>
            <w:tcW w:type="dxa" w:w="2160"/>
          </w:tcPr>
          <w:p>
            <w:r>
              <w:rPr>
                <w:rFonts w:ascii="Times New Roman" w:hAnsi="Times New Roman"/>
                <w:sz w:val="20"/>
              </w:rPr>
              <w:t>Warning and error types indistinguishable at a glance</w:t>
            </w:r>
          </w:p>
        </w:tc>
        <w:tc>
          <w:tcPr>
            <w:tcW w:type="dxa" w:w="2160"/>
          </w:tcPr>
          <w:p>
            <w:r>
              <w:rPr>
                <w:rFonts w:ascii="Times New Roman" w:hAnsi="Times New Roman"/>
                <w:sz w:val="20"/>
              </w:rPr>
              <w:t>3 of 6</w:t>
            </w:r>
          </w:p>
        </w:tc>
        <w:tc>
          <w:tcPr>
            <w:tcW w:type="dxa" w:w="2160"/>
          </w:tcPr>
          <w:p>
            <w:r>
              <w:rPr>
                <w:rFonts w:ascii="Times New Roman" w:hAnsi="Times New Roman"/>
                <w:sz w:val="20"/>
              </w:rPr>
              <w:t>Inconsistent colour scheme (white-on-red versus red-on-black)</w:t>
            </w:r>
          </w:p>
        </w:tc>
      </w:tr>
      <w:tr>
        <w:tc>
          <w:tcPr>
            <w:tcW w:type="dxa" w:w="2160"/>
          </w:tcPr>
          <w:p>
            <w:r>
              <w:rPr>
                <w:rFonts w:ascii="Times New Roman" w:hAnsi="Times New Roman"/>
                <w:sz w:val="20"/>
              </w:rPr>
              <w:t>G3</w:t>
            </w:r>
          </w:p>
        </w:tc>
        <w:tc>
          <w:tcPr>
            <w:tcW w:type="dxa" w:w="2160"/>
          </w:tcPr>
          <w:p>
            <w:r>
              <w:rPr>
                <w:rFonts w:ascii="Times New Roman" w:hAnsi="Times New Roman"/>
                <w:sz w:val="20"/>
              </w:rPr>
              <w:t>Corrective instructions did not specify bin or quantity</w:t>
            </w:r>
          </w:p>
        </w:tc>
        <w:tc>
          <w:tcPr>
            <w:tcW w:type="dxa" w:w="2160"/>
          </w:tcPr>
          <w:p>
            <w:r>
              <w:rPr>
                <w:rFonts w:ascii="Times New Roman" w:hAnsi="Times New Roman"/>
                <w:sz w:val="20"/>
              </w:rPr>
              <w:t>3 of 5 (R7: 3.0)</w:t>
            </w:r>
          </w:p>
        </w:tc>
        <w:tc>
          <w:tcPr>
            <w:tcW w:type="dxa" w:w="2160"/>
          </w:tcPr>
          <w:p>
            <w:r>
              <w:rPr>
                <w:rFonts w:ascii="Times New Roman" w:hAnsi="Times New Roman"/>
                <w:sz w:val="20"/>
              </w:rPr>
              <w:t>Wrong-bin-return message lacked actionable detail</w:t>
            </w:r>
          </w:p>
        </w:tc>
      </w:tr>
      <w:tr>
        <w:tc>
          <w:tcPr>
            <w:tcW w:type="dxa" w:w="2160"/>
          </w:tcPr>
          <w:p>
            <w:r>
              <w:rPr>
                <w:rFonts w:ascii="Times New Roman" w:hAnsi="Times New Roman"/>
                <w:sz w:val="20"/>
              </w:rPr>
              <w:t>G4</w:t>
            </w:r>
          </w:p>
        </w:tc>
        <w:tc>
          <w:tcPr>
            <w:tcW w:type="dxa" w:w="2160"/>
          </w:tcPr>
          <w:p>
            <w:r>
              <w:rPr>
                <w:rFonts w:ascii="Times New Roman" w:hAnsi="Times New Roman"/>
                <w:sz w:val="20"/>
              </w:rPr>
              <w:t>Load cell unresponsive on light items</w:t>
            </w:r>
          </w:p>
        </w:tc>
        <w:tc>
          <w:tcPr>
            <w:tcW w:type="dxa" w:w="2160"/>
          </w:tcPr>
          <w:p>
            <w:r>
              <w:rPr>
                <w:rFonts w:ascii="Times New Roman" w:hAnsi="Times New Roman"/>
                <w:sz w:val="20"/>
              </w:rPr>
              <w:t>3 of 6</w:t>
            </w:r>
          </w:p>
        </w:tc>
        <w:tc>
          <w:tcPr>
            <w:tcW w:type="dxa" w:w="2160"/>
          </w:tcPr>
          <w:p>
            <w:r>
              <w:rPr>
                <w:rFonts w:ascii="Times New Roman" w:hAnsi="Times New Roman"/>
                <w:sz w:val="20"/>
              </w:rPr>
              <w:t>"sensor doesn't detect piece sometimes" (Benny)</w:t>
            </w:r>
          </w:p>
        </w:tc>
      </w:tr>
      <w:tr>
        <w:tc>
          <w:tcPr>
            <w:tcW w:type="dxa" w:w="2160"/>
          </w:tcPr>
          <w:p>
            <w:r>
              <w:rPr>
                <w:rFonts w:ascii="Times New Roman" w:hAnsi="Times New Roman"/>
                <w:sz w:val="20"/>
              </w:rPr>
              <w:t>G5</w:t>
            </w:r>
          </w:p>
        </w:tc>
        <w:tc>
          <w:tcPr>
            <w:tcW w:type="dxa" w:w="2160"/>
          </w:tcPr>
          <w:p>
            <w:r>
              <w:rPr>
                <w:rFonts w:ascii="Times New Roman" w:hAnsi="Times New Roman"/>
                <w:sz w:val="20"/>
              </w:rPr>
              <w:t>On-screen confirmation tap unreliable</w:t>
            </w:r>
          </w:p>
        </w:tc>
        <w:tc>
          <w:tcPr>
            <w:tcW w:type="dxa" w:w="2160"/>
          </w:tcPr>
          <w:p>
            <w:r>
              <w:rPr>
                <w:rFonts w:ascii="Times New Roman" w:hAnsi="Times New Roman"/>
                <w:sz w:val="20"/>
              </w:rPr>
              <w:t>2 of 6</w:t>
            </w:r>
          </w:p>
        </w:tc>
        <w:tc>
          <w:tcPr>
            <w:tcW w:type="dxa" w:w="2160"/>
          </w:tcPr>
          <w:p>
            <w:r>
              <w:rPr>
                <w:rFonts w:ascii="Times New Roman" w:hAnsi="Times New Roman"/>
                <w:sz w:val="20"/>
              </w:rPr>
              <w:t>"Bin Emptied" button did not register on first tap</w:t>
            </w:r>
          </w:p>
        </w:tc>
      </w:tr>
      <w:tr>
        <w:tc>
          <w:tcPr>
            <w:tcW w:type="dxa" w:w="2160"/>
          </w:tcPr>
          <w:p>
            <w:r>
              <w:rPr>
                <w:rFonts w:ascii="Times New Roman" w:hAnsi="Times New Roman"/>
                <w:sz w:val="20"/>
              </w:rPr>
              <w:t>G6</w:t>
            </w:r>
          </w:p>
        </w:tc>
        <w:tc>
          <w:tcPr>
            <w:tcW w:type="dxa" w:w="2160"/>
          </w:tcPr>
          <w:p>
            <w:r>
              <w:rPr>
                <w:rFonts w:ascii="Times New Roman" w:hAnsi="Times New Roman"/>
                <w:sz w:val="20"/>
              </w:rPr>
              <w:t>No progress indicator for remaining sets</w:t>
            </w:r>
          </w:p>
        </w:tc>
        <w:tc>
          <w:tcPr>
            <w:tcW w:type="dxa" w:w="2160"/>
          </w:tcPr>
          <w:p>
            <w:r>
              <w:rPr>
                <w:rFonts w:ascii="Times New Roman" w:hAnsi="Times New Roman"/>
                <w:sz w:val="20"/>
              </w:rPr>
              <w:t>2 of 6</w:t>
            </w:r>
          </w:p>
        </w:tc>
        <w:tc>
          <w:tcPr>
            <w:tcW w:type="dxa" w:w="2160"/>
          </w:tcPr>
          <w:p>
            <w:r>
              <w:rPr>
                <w:rFonts w:ascii="Times New Roman" w:hAnsi="Times New Roman"/>
                <w:sz w:val="20"/>
              </w:rPr>
              <w:t>Operators requested visibility of order completion status</w:t>
            </w:r>
          </w:p>
        </w:tc>
      </w:tr>
    </w:tbl>
    <w:p/>
    <w:p>
      <w:r>
        <w:rPr>
          <w:rFonts w:ascii="Times New Roman" w:hAnsi="Times New Roman"/>
          <w:b w:val="0"/>
          <w:i/>
          <w:sz w:val="20"/>
        </w:rPr>
        <w:t>Table 5.3: Usability gaps identified from operator feedback.</w:t>
      </w:r>
    </w:p>
    <w:p>
      <w:pPr>
        <w:pStyle w:val="Heading2"/>
      </w:pPr>
      <w:r>
        <w:t>5.2 User-Facing HMI Iteration</w:t>
      </w:r>
    </w:p>
    <w:p>
      <w:r>
        <w:rPr>
          <w:rFonts w:ascii="Times New Roman" w:hAnsi="Times New Roman"/>
          <w:b w:val="0"/>
          <w:i w:val="0"/>
          <w:sz w:val="24"/>
        </w:rPr>
        <w:t>To address the usability gaps identified in Table 5.3, a targeted HMI iteration was implemented. Table 5.4 maps each gap to the specific change applied, and Figure 5.3 shows the interface before and after the iteration.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20"/>
              </w:rPr>
              <w:t>Gap</w:t>
            </w:r>
          </w:p>
        </w:tc>
        <w:tc>
          <w:tcPr>
            <w:tcW w:type="dxa" w:w="4320"/>
          </w:tcPr>
          <w:p>
            <w:pPr>
              <w:jc w:val="center"/>
            </w:pPr>
            <w:r>
              <w:rPr>
                <w:rFonts w:ascii="Times New Roman" w:hAnsi="Times New Roman"/>
                <w:b/>
                <w:sz w:val="20"/>
              </w:rPr>
              <w:t>Change Implemented</w:t>
            </w:r>
          </w:p>
        </w:tc>
      </w:tr>
      <w:tr>
        <w:tc>
          <w:tcPr>
            <w:tcW w:type="dxa" w:w="4320"/>
          </w:tcPr>
          <w:p>
            <w:r>
              <w:rPr>
                <w:rFonts w:ascii="Times New Roman" w:hAnsi="Times New Roman"/>
                <w:sz w:val="20"/>
              </w:rPr>
              <w:t>G1</w:t>
            </w:r>
          </w:p>
        </w:tc>
        <w:tc>
          <w:tcPr>
            <w:tcW w:type="dxa" w:w="4320"/>
          </w:tcPr>
          <w:p>
            <w:r>
              <w:rPr>
                <w:rFonts w:ascii="Times New Roman" w:hAnsi="Times New Roman"/>
                <w:sz w:val="20"/>
              </w:rPr>
              <w:t>Alert font sizes increased by approximately 50%, ensuring legibility at arm's length.</w:t>
            </w:r>
          </w:p>
        </w:tc>
      </w:tr>
      <w:tr>
        <w:tc>
          <w:tcPr>
            <w:tcW w:type="dxa" w:w="4320"/>
          </w:tcPr>
          <w:p>
            <w:r>
              <w:rPr>
                <w:rFonts w:ascii="Times New Roman" w:hAnsi="Times New Roman"/>
                <w:sz w:val="20"/>
              </w:rPr>
              <w:t>G2</w:t>
            </w:r>
          </w:p>
        </w:tc>
        <w:tc>
          <w:tcPr>
            <w:tcW w:type="dxa" w:w="4320"/>
          </w:tcPr>
          <w:p>
            <w:r>
              <w:rPr>
                <w:rFonts w:ascii="Times New Roman" w:hAnsi="Times New Roman"/>
                <w:sz w:val="20"/>
              </w:rPr>
              <w:t>Dual-banner layout consolidated into a single full-width banner with a consistent red and white colour scheme.</w:t>
            </w:r>
          </w:p>
        </w:tc>
      </w:tr>
      <w:tr>
        <w:tc>
          <w:tcPr>
            <w:tcW w:type="dxa" w:w="4320"/>
          </w:tcPr>
          <w:p>
            <w:r>
              <w:rPr>
                <w:rFonts w:ascii="Times New Roman" w:hAnsi="Times New Roman"/>
                <w:sz w:val="20"/>
              </w:rPr>
              <w:t>G3</w:t>
            </w:r>
          </w:p>
        </w:tc>
        <w:tc>
          <w:tcPr>
            <w:tcW w:type="dxa" w:w="4320"/>
          </w:tcPr>
          <w:p>
            <w:r>
              <w:rPr>
                <w:rFonts w:ascii="Times New Roman" w:hAnsi="Times New Roman"/>
                <w:sz w:val="20"/>
              </w:rPr>
              <w:t>Wrong-bin alert updated to compute and display the exact correction, specifying the destination bin and unit count.</w:t>
            </w:r>
          </w:p>
        </w:tc>
      </w:tr>
      <w:tr>
        <w:tc>
          <w:tcPr>
            <w:tcW w:type="dxa" w:w="4320"/>
          </w:tcPr>
          <w:p>
            <w:r>
              <w:rPr>
                <w:rFonts w:ascii="Times New Roman" w:hAnsi="Times New Roman"/>
                <w:sz w:val="20"/>
              </w:rPr>
              <w:t>G3</w:t>
            </w:r>
          </w:p>
        </w:tc>
        <w:tc>
          <w:tcPr>
            <w:tcW w:type="dxa" w:w="4320"/>
          </w:tcPr>
          <w:p>
            <w:r>
              <w:rPr>
                <w:rFonts w:ascii="Times New Roman" w:hAnsi="Times New Roman"/>
                <w:sz w:val="20"/>
              </w:rPr>
              <w:t>Completed-bin picks reclassified as "Wrong Bin" rather than "Out-of-Sequence" for greater operator clarity.</w:t>
            </w:r>
          </w:p>
        </w:tc>
      </w:tr>
      <w:tr>
        <w:tc>
          <w:tcPr>
            <w:tcW w:type="dxa" w:w="4320"/>
          </w:tcPr>
          <w:p>
            <w:r>
              <w:rPr>
                <w:rFonts w:ascii="Times New Roman" w:hAnsi="Times New Roman"/>
                <w:sz w:val="20"/>
              </w:rPr>
              <w:t>G4</w:t>
            </w:r>
          </w:p>
        </w:tc>
        <w:tc>
          <w:tcPr>
            <w:tcW w:type="dxa" w:w="4320"/>
          </w:tcPr>
          <w:p>
            <w:r>
              <w:rPr>
                <w:rFonts w:ascii="Times New Roman" w:hAnsi="Times New Roman"/>
                <w:sz w:val="20"/>
              </w:rPr>
              <w:t>Mitigated operationally by assigning light items to the 1 kg platform (noise floor s = 0.028 g). Software debounce tuned.</w:t>
            </w:r>
          </w:p>
        </w:tc>
      </w:tr>
      <w:tr>
        <w:tc>
          <w:tcPr>
            <w:tcW w:type="dxa" w:w="4320"/>
          </w:tcPr>
          <w:p>
            <w:r>
              <w:rPr>
                <w:rFonts w:ascii="Times New Roman" w:hAnsi="Times New Roman"/>
                <w:sz w:val="20"/>
              </w:rPr>
              <w:t>G5</w:t>
            </w:r>
          </w:p>
        </w:tc>
        <w:tc>
          <w:tcPr>
            <w:tcW w:type="dxa" w:w="4320"/>
          </w:tcPr>
          <w:p>
            <w:r>
              <w:rPr>
                <w:rFonts w:ascii="Times New Roman" w:hAnsi="Times New Roman"/>
                <w:sz w:val="20"/>
              </w:rPr>
              <w:t>Manual "Bin Emptied" tap replaced with automatic load-cell-based detection on the kit box.</w:t>
            </w:r>
          </w:p>
        </w:tc>
      </w:tr>
      <w:tr>
        <w:tc>
          <w:tcPr>
            <w:tcW w:type="dxa" w:w="4320"/>
          </w:tcPr>
          <w:p>
            <w:r>
              <w:rPr>
                <w:rFonts w:ascii="Times New Roman" w:hAnsi="Times New Roman"/>
                <w:sz w:val="20"/>
              </w:rPr>
              <w:t>G6</w:t>
            </w:r>
          </w:p>
        </w:tc>
        <w:tc>
          <w:tcPr>
            <w:tcW w:type="dxa" w:w="4320"/>
          </w:tcPr>
          <w:p>
            <w:r>
              <w:rPr>
                <w:rFonts w:ascii="Times New Roman" w:hAnsi="Times New Roman"/>
                <w:sz w:val="20"/>
              </w:rPr>
              <w:t>Remaining-sets progress indicator added to the HMI header.</w:t>
            </w:r>
          </w:p>
        </w:tc>
      </w:tr>
      <w:tr>
        <w:tc>
          <w:tcPr>
            <w:tcW w:type="dxa" w:w="4320"/>
          </w:tcPr>
          <w:p>
            <w:r>
              <w:rPr>
                <w:rFonts w:ascii="Times New Roman" w:hAnsi="Times New Roman"/>
                <w:sz w:val="20"/>
              </w:rPr>
              <w:t>General</w:t>
            </w:r>
          </w:p>
        </w:tc>
        <w:tc>
          <w:tcPr>
            <w:tcW w:type="dxa" w:w="4320"/>
          </w:tcPr>
          <w:p>
            <w:r>
              <w:rPr>
                <w:rFonts w:ascii="Times New Roman" w:hAnsi="Times New Roman"/>
                <w:sz w:val="20"/>
              </w:rPr>
              <w:t>Bin labels changed from 0-indexed to 1-indexed. Colour-coded hand-in-bin halo added (teal for valid, red for invalid).</w:t>
            </w:r>
          </w:p>
        </w:tc>
      </w:tr>
    </w:tbl>
    <w:p/>
    <w:p>
      <w:r>
        <w:rPr>
          <w:rFonts w:ascii="Times New Roman" w:hAnsi="Times New Roman"/>
          <w:b w:val="0"/>
          <w:i/>
          <w:sz w:val="20"/>
        </w:rPr>
        <w:t>Table 5.4: HMI iteration changes mapped to usability gaps.</w:t>
      </w:r>
    </w:p>
    <w:p>
      <w:pPr>
        <w:jc w:val="center"/>
      </w:pPr>
      <w:r>
        <w:rPr>
          <w:i/>
          <w:color w:val="969696"/>
          <w:sz w:val="22"/>
        </w:rPr>
        <w:t>[INSERT FIGURE HERE]</w:t>
      </w:r>
    </w:p>
    <w:p>
      <w:pPr>
        <w:spacing w:after="240"/>
        <w:jc w:val="center"/>
      </w:pPr>
      <w:r>
        <w:rPr>
          <w:rFonts w:ascii="Times New Roman" w:hAnsi="Times New Roman"/>
          <w:i/>
          <w:sz w:val="20"/>
        </w:rPr>
        <w:t>Figure 5.3: HMI before and after the user-driven iteration. (a) Pre-iteration: small-font alerts, dual banners, 0-indexed labels, no progress indicator. (b) Post-iteration: enlarged single-banner fault display, colour-coded hand halo, 1-indexed labels, sets-remaining indicator.</w:t>
      </w:r>
    </w:p>
    <w:p>
      <w:pPr>
        <w:pStyle w:val="Heading2"/>
      </w:pPr>
      <w:r>
        <w:t>5.3 Final Testing: TE Connectivity Stakeholder Validation</w:t>
      </w:r>
    </w:p>
    <w:p>
      <w:pPr>
        <w:pStyle w:val="Heading3"/>
      </w:pPr>
      <w:r>
        <w:t>5.3.1 Testing Framework</w:t>
      </w:r>
    </w:p>
    <w:p>
      <w:r>
        <w:rPr>
          <w:rFonts w:ascii="Times New Roman" w:hAnsi="Times New Roman"/>
          <w:b w:val="0"/>
          <w:i w:val="0"/>
          <w:sz w:val="24"/>
        </w:rPr>
        <w:t>Following the HMI iteration,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
        <w:rPr>
          <w:rFonts w:ascii="Times New Roman" w:hAnsi="Times New Roman"/>
          <w:b w:val="0"/>
          <w:i/>
          <w:sz w:val="24"/>
        </w:rPr>
        <w:t>[Details of the TE Connectivity stakeholder testing session, including participant roles, test procedure, and evaluation criteria, to be inserted here once the interview transcript is available.]</w:t>
      </w:r>
    </w:p>
    <w:p>
      <w:pPr>
        <w:jc w:val="center"/>
      </w:pPr>
      <w:r>
        <w:rPr>
          <w:i/>
          <w:color w:val="969696"/>
          <w:sz w:val="22"/>
        </w:rPr>
        <w:t>[INSERT FIGURE HERE]</w:t>
      </w:r>
    </w:p>
    <w:p>
      <w:pPr>
        <w:spacing w:after="240"/>
        <w:jc w:val="center"/>
      </w:pPr>
      <w:r>
        <w:rPr>
          <w:rFonts w:ascii="Times New Roman" w:hAnsi="Times New Roman"/>
          <w:i/>
          <w:sz w:val="20"/>
        </w:rPr>
        <w:t>Figure 5.4: TE Connectivity stakeholder validation session.</w:t>
      </w:r>
    </w:p>
    <w:p>
      <w:pPr>
        <w:pStyle w:val="Heading3"/>
      </w:pPr>
      <w:r>
        <w:t>5.3.2 Evaluation Results</w:t>
      </w:r>
    </w:p>
    <w:p>
      <w:r>
        <w:rPr>
          <w:rFonts w:ascii="Times New Roman" w:hAnsi="Times New Roman"/>
          <w:b w:val="0"/>
          <w:i/>
          <w:sz w:val="24"/>
        </w:rPr>
        <w:t>[Stakeholder feedback, observations, and recommendations to be inserted here once the interview transcript is available. This section will document the stakeholders' assessment of system readiness, operational suitability, and identified areas for improvement prior to sandbox deployment.]</w:t>
      </w:r>
    </w:p>
    <w:p>
      <w:pPr>
        <w:pStyle w:val="Heading3"/>
      </w:pPr>
      <w:r>
        <w:t>5.3.3 Stakeholder Feedback Summary</w:t>
      </w:r>
    </w:p>
    <w:p>
      <w:r>
        <w:rPr>
          <w:rFonts w:ascii="Times New Roman" w:hAnsi="Times New Roman"/>
          <w:b w:val="0"/>
          <w:i/>
          <w:sz w:val="24"/>
        </w:rPr>
        <w:t>[Summary table of stakeholder feedback mapped to system requirements and recommended actions to be inserted here.]</w:t>
      </w:r>
    </w:p>
    <w:p>
      <w:pPr>
        <w:pStyle w:val="Heading2"/>
      </w:pPr>
      <w:r>
        <w:t>5.4 Requirements Validation</w:t>
      </w:r>
    </w:p>
    <w:p>
      <w:r>
        <w:rPr>
          <w:rFonts w:ascii="Times New Roman" w:hAnsi="Times New Roman"/>
          <w:b w:val="0"/>
          <w:i w:val="0"/>
          <w:sz w:val="24"/>
        </w:rPr>
        <w:t>The integrated prototype was validated against each functional requirement defined in Section 1.5. Results are summarised in Table 5.5. Requirements marked "Met" have been verified through the testing evidence documented in Chapters 4 and 5. Requirements marked "Partially Met" identify boundary conditions with documented mitigation strategies.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20"/>
              </w:rPr>
              <w:t>ID</w:t>
            </w:r>
          </w:p>
        </w:tc>
        <w:tc>
          <w:tcPr>
            <w:tcW w:type="dxa" w:w="2160"/>
          </w:tcPr>
          <w:p>
            <w:pPr>
              <w:jc w:val="center"/>
            </w:pPr>
            <w:r>
              <w:rPr>
                <w:rFonts w:ascii="Times New Roman" w:hAnsi="Times New Roman"/>
                <w:b/>
                <w:sz w:val="20"/>
              </w:rPr>
              <w:t>Requirement</w:t>
            </w:r>
          </w:p>
        </w:tc>
        <w:tc>
          <w:tcPr>
            <w:tcW w:type="dxa" w:w="2160"/>
          </w:tcPr>
          <w:p>
            <w:pPr>
              <w:jc w:val="center"/>
            </w:pPr>
            <w:r>
              <w:rPr>
                <w:rFonts w:ascii="Times New Roman" w:hAnsi="Times New Roman"/>
                <w:b/>
                <w:sz w:val="20"/>
              </w:rPr>
              <w:t>Status</w:t>
            </w:r>
          </w:p>
        </w:tc>
        <w:tc>
          <w:tcPr>
            <w:tcW w:type="dxa" w:w="2160"/>
          </w:tcPr>
          <w:p>
            <w:pPr>
              <w:jc w:val="center"/>
            </w:pPr>
            <w:r>
              <w:rPr>
                <w:rFonts w:ascii="Times New Roman" w:hAnsi="Times New Roman"/>
                <w:b/>
                <w:sz w:val="20"/>
              </w:rPr>
              <w:t>Verification Evidence</w:t>
            </w:r>
          </w:p>
        </w:tc>
      </w:tr>
      <w:tr>
        <w:tc>
          <w:tcPr>
            <w:tcW w:type="dxa" w:w="2160"/>
          </w:tcPr>
          <w:p>
            <w:r>
              <w:rPr>
                <w:rFonts w:ascii="Times New Roman" w:hAnsi="Times New Roman"/>
                <w:sz w:val="20"/>
              </w:rPr>
              <w:t>FR-01</w:t>
            </w:r>
          </w:p>
        </w:tc>
        <w:tc>
          <w:tcPr>
            <w:tcW w:type="dxa" w:w="2160"/>
          </w:tcPr>
          <w:p>
            <w:r>
              <w:rPr>
                <w:rFonts w:ascii="Times New Roman" w:hAnsi="Times New Roman"/>
                <w:sz w:val="20"/>
              </w:rPr>
              <w:t>Component Identification</w:t>
            </w:r>
          </w:p>
        </w:tc>
        <w:tc>
          <w:tcPr>
            <w:tcW w:type="dxa" w:w="2160"/>
          </w:tcPr>
          <w:p>
            <w:r>
              <w:rPr>
                <w:rFonts w:ascii="Times New Roman" w:hAnsi="Times New Roman"/>
                <w:sz w:val="20"/>
              </w:rPr>
              <w:t>Met</w:t>
            </w:r>
          </w:p>
        </w:tc>
        <w:tc>
          <w:tcPr>
            <w:tcW w:type="dxa" w:w="2160"/>
          </w:tcPr>
          <w:p>
            <w:r>
              <w:rPr>
                <w:rFonts w:ascii="Times New Roman" w:hAnsi="Times New Roman"/>
                <w:sz w:val="20"/>
              </w:rPr>
              <w:t>YOLOv8-OBB localises bin boundaries [Section 4.2.1]; inventory engine maps weight changes to SKU specifications via bin position.</w:t>
            </w:r>
          </w:p>
        </w:tc>
      </w:tr>
      <w:tr>
        <w:tc>
          <w:tcPr>
            <w:tcW w:type="dxa" w:w="2160"/>
          </w:tcPr>
          <w:p>
            <w:r>
              <w:rPr>
                <w:rFonts w:ascii="Times New Roman" w:hAnsi="Times New Roman"/>
                <w:sz w:val="20"/>
              </w:rPr>
              <w:t>FR-02</w:t>
            </w:r>
          </w:p>
        </w:tc>
        <w:tc>
          <w:tcPr>
            <w:tcW w:type="dxa" w:w="2160"/>
          </w:tcPr>
          <w:p>
            <w:r>
              <w:rPr>
                <w:rFonts w:ascii="Times New Roman" w:hAnsi="Times New Roman"/>
                <w:sz w:val="20"/>
              </w:rPr>
              <w:t>Wrong Part Detection</w:t>
            </w:r>
          </w:p>
        </w:tc>
        <w:tc>
          <w:tcPr>
            <w:tcW w:type="dxa" w:w="2160"/>
          </w:tcPr>
          <w:p>
            <w:r>
              <w:rPr>
                <w:rFonts w:ascii="Times New Roman" w:hAnsi="Times New Roman"/>
                <w:sz w:val="20"/>
              </w:rPr>
              <w:t>Met</w:t>
            </w:r>
          </w:p>
        </w:tc>
        <w:tc>
          <w:tcPr>
            <w:tcW w:type="dxa" w:w="2160"/>
          </w:tcPr>
          <w:p>
            <w:r>
              <w:rPr>
                <w:rFonts w:ascii="Times New Roman" w:hAnsi="Times New Roman"/>
                <w:sz w:val="20"/>
              </w:rPr>
              <w:t>FSM triggers wrong-bin alert on access to inactive or completed bin [Section 4.3].</w:t>
            </w:r>
          </w:p>
        </w:tc>
      </w:tr>
      <w:tr>
        <w:tc>
          <w:tcPr>
            <w:tcW w:type="dxa" w:w="2160"/>
          </w:tcPr>
          <w:p>
            <w:r>
              <w:rPr>
                <w:rFonts w:ascii="Times New Roman" w:hAnsi="Times New Roman"/>
                <w:sz w:val="20"/>
              </w:rPr>
              <w:t>FR-03</w:t>
            </w:r>
          </w:p>
        </w:tc>
        <w:tc>
          <w:tcPr>
            <w:tcW w:type="dxa" w:w="2160"/>
          </w:tcPr>
          <w:p>
            <w:r>
              <w:rPr>
                <w:rFonts w:ascii="Times New Roman" w:hAnsi="Times New Roman"/>
                <w:sz w:val="20"/>
              </w:rPr>
              <w:t>Missing Part Detection</w:t>
            </w:r>
          </w:p>
        </w:tc>
        <w:tc>
          <w:tcPr>
            <w:tcW w:type="dxa" w:w="2160"/>
          </w:tcPr>
          <w:p>
            <w:r>
              <w:rPr>
                <w:rFonts w:ascii="Times New Roman" w:hAnsi="Times New Roman"/>
                <w:sz w:val="20"/>
              </w:rPr>
              <w:t>Met</w:t>
            </w:r>
          </w:p>
        </w:tc>
        <w:tc>
          <w:tcPr>
            <w:tcW w:type="dxa" w:w="2160"/>
          </w:tcPr>
          <w:p>
            <w:r>
              <w:rPr>
                <w:rFonts w:ascii="Times New Roman" w:hAnsi="Times New Roman"/>
                <w:sz w:val="20"/>
              </w:rPr>
              <w:t>FSM blocks KIT_COMPLETE if any required SKU remains below target count [Section 4.3].</w:t>
            </w:r>
          </w:p>
        </w:tc>
      </w:tr>
      <w:tr>
        <w:tc>
          <w:tcPr>
            <w:tcW w:type="dxa" w:w="2160"/>
          </w:tcPr>
          <w:p>
            <w:r>
              <w:rPr>
                <w:rFonts w:ascii="Times New Roman" w:hAnsi="Times New Roman"/>
                <w:sz w:val="20"/>
              </w:rPr>
              <w:t>FR-04</w:t>
            </w:r>
          </w:p>
        </w:tc>
        <w:tc>
          <w:tcPr>
            <w:tcW w:type="dxa" w:w="2160"/>
          </w:tcPr>
          <w:p>
            <w:r>
              <w:rPr>
                <w:rFonts w:ascii="Times New Roman" w:hAnsi="Times New Roman"/>
                <w:sz w:val="20"/>
              </w:rPr>
              <w:t>Quantity Verification</w:t>
            </w:r>
          </w:p>
        </w:tc>
        <w:tc>
          <w:tcPr>
            <w:tcW w:type="dxa" w:w="2160"/>
          </w:tcPr>
          <w:p>
            <w:r>
              <w:rPr>
                <w:rFonts w:ascii="Times New Roman" w:hAnsi="Times New Roman"/>
                <w:sz w:val="20"/>
              </w:rPr>
              <w:t>Partial</w:t>
            </w:r>
          </w:p>
        </w:tc>
        <w:tc>
          <w:tcPr>
            <w:tcW w:type="dxa" w:w="2160"/>
          </w:tcPr>
          <w:p>
            <w:r>
              <w:rPr>
                <w:rFonts w:ascii="Times New Roman" w:hAnsi="Times New Roman"/>
                <w:sz w:val="20"/>
              </w:rPr>
              <w:t>Met for items above 5 g. Light items (below 3.5 g) on 5/10 kg platforms occasionally missed [Section 4.2.2]. Mitigated by 1 kg platform assignment.</w:t>
            </w:r>
          </w:p>
        </w:tc>
      </w:tr>
      <w:tr>
        <w:tc>
          <w:tcPr>
            <w:tcW w:type="dxa" w:w="2160"/>
          </w:tcPr>
          <w:p>
            <w:r>
              <w:rPr>
                <w:rFonts w:ascii="Times New Roman" w:hAnsi="Times New Roman"/>
                <w:sz w:val="20"/>
              </w:rPr>
              <w:t>FR-05</w:t>
            </w:r>
          </w:p>
        </w:tc>
        <w:tc>
          <w:tcPr>
            <w:tcW w:type="dxa" w:w="2160"/>
          </w:tcPr>
          <w:p>
            <w:r>
              <w:rPr>
                <w:rFonts w:ascii="Times New Roman" w:hAnsi="Times New Roman"/>
                <w:sz w:val="20"/>
              </w:rPr>
              <w:t>Real-Time Alerting</w:t>
            </w:r>
          </w:p>
        </w:tc>
        <w:tc>
          <w:tcPr>
            <w:tcW w:type="dxa" w:w="2160"/>
          </w:tcPr>
          <w:p>
            <w:r>
              <w:rPr>
                <w:rFonts w:ascii="Times New Roman" w:hAnsi="Times New Roman"/>
                <w:sz w:val="20"/>
              </w:rPr>
              <w:t>Met</w:t>
            </w:r>
          </w:p>
        </w:tc>
        <w:tc>
          <w:tcPr>
            <w:tcW w:type="dxa" w:w="2160"/>
          </w:tcPr>
          <w:p>
            <w:r>
              <w:rPr>
                <w:rFonts w:ascii="Times New Roman" w:hAnsi="Times New Roman"/>
                <w:sz w:val="20"/>
              </w:rPr>
              <w:t>End-to-end latency below 80 ms. Alerts appear on the HMI before the operator completes the reach.</w:t>
            </w:r>
          </w:p>
        </w:tc>
      </w:tr>
      <w:tr>
        <w:tc>
          <w:tcPr>
            <w:tcW w:type="dxa" w:w="2160"/>
          </w:tcPr>
          <w:p>
            <w:r>
              <w:rPr>
                <w:rFonts w:ascii="Times New Roman" w:hAnsi="Times New Roman"/>
                <w:sz w:val="20"/>
              </w:rPr>
              <w:t>FR-06</w:t>
            </w:r>
          </w:p>
        </w:tc>
        <w:tc>
          <w:tcPr>
            <w:tcW w:type="dxa" w:w="2160"/>
          </w:tcPr>
          <w:p>
            <w:r>
              <w:rPr>
                <w:rFonts w:ascii="Times New Roman" w:hAnsi="Times New Roman"/>
                <w:sz w:val="20"/>
              </w:rPr>
              <w:t>Corrective Guidance</w:t>
            </w:r>
          </w:p>
        </w:tc>
        <w:tc>
          <w:tcPr>
            <w:tcW w:type="dxa" w:w="2160"/>
          </w:tcPr>
          <w:p>
            <w:r>
              <w:rPr>
                <w:rFonts w:ascii="Times New Roman" w:hAnsi="Times New Roman"/>
                <w:sz w:val="20"/>
              </w:rPr>
              <w:t>Met</w:t>
            </w:r>
          </w:p>
        </w:tc>
        <w:tc>
          <w:tcPr>
            <w:tcW w:type="dxa" w:w="2160"/>
          </w:tcPr>
          <w:p>
            <w:r>
              <w:rPr>
                <w:rFonts w:ascii="Times New Roman" w:hAnsi="Times New Roman"/>
                <w:sz w:val="20"/>
              </w:rPr>
              <w:t>Post-iteration alerts display specific bin, error type, and corrective action [Section 5.2].</w:t>
            </w:r>
          </w:p>
        </w:tc>
      </w:tr>
      <w:tr>
        <w:tc>
          <w:tcPr>
            <w:tcW w:type="dxa" w:w="2160"/>
          </w:tcPr>
          <w:p>
            <w:r>
              <w:rPr>
                <w:rFonts w:ascii="Times New Roman" w:hAnsi="Times New Roman"/>
                <w:sz w:val="20"/>
              </w:rPr>
              <w:t>FR-07</w:t>
            </w:r>
          </w:p>
        </w:tc>
        <w:tc>
          <w:tcPr>
            <w:tcW w:type="dxa" w:w="2160"/>
          </w:tcPr>
          <w:p>
            <w:r>
              <w:rPr>
                <w:rFonts w:ascii="Times New Roman" w:hAnsi="Times New Roman"/>
                <w:sz w:val="20"/>
              </w:rPr>
              <w:t>Order Integration</w:t>
            </w:r>
          </w:p>
        </w:tc>
        <w:tc>
          <w:tcPr>
            <w:tcW w:type="dxa" w:w="2160"/>
          </w:tcPr>
          <w:p>
            <w:r>
              <w:rPr>
                <w:rFonts w:ascii="Times New Roman" w:hAnsi="Times New Roman"/>
                <w:sz w:val="20"/>
              </w:rPr>
              <w:t>Met</w:t>
            </w:r>
          </w:p>
        </w:tc>
        <w:tc>
          <w:tcPr>
            <w:tcW w:type="dxa" w:w="2160"/>
          </w:tcPr>
          <w:p>
            <w:r>
              <w:rPr>
                <w:rFonts w:ascii="Times New Roman" w:hAnsi="Times New Roman"/>
                <w:sz w:val="20"/>
              </w:rPr>
              <w:t>System parses YAML order configurations; FSM locks and targets set accordingly.</w:t>
            </w:r>
          </w:p>
        </w:tc>
      </w:tr>
      <w:tr>
        <w:tc>
          <w:tcPr>
            <w:tcW w:type="dxa" w:w="2160"/>
          </w:tcPr>
          <w:p>
            <w:r>
              <w:rPr>
                <w:rFonts w:ascii="Times New Roman" w:hAnsi="Times New Roman"/>
                <w:sz w:val="20"/>
              </w:rPr>
              <w:t>FR-08</w:t>
            </w:r>
          </w:p>
        </w:tc>
        <w:tc>
          <w:tcPr>
            <w:tcW w:type="dxa" w:w="2160"/>
          </w:tcPr>
          <w:p>
            <w:r>
              <w:rPr>
                <w:rFonts w:ascii="Times New Roman" w:hAnsi="Times New Roman"/>
                <w:sz w:val="20"/>
              </w:rPr>
              <w:t>New Part Onboarding</w:t>
            </w:r>
          </w:p>
        </w:tc>
        <w:tc>
          <w:tcPr>
            <w:tcW w:type="dxa" w:w="2160"/>
          </w:tcPr>
          <w:p>
            <w:r>
              <w:rPr>
                <w:rFonts w:ascii="Times New Roman" w:hAnsi="Times New Roman"/>
                <w:sz w:val="20"/>
              </w:rPr>
              <w:t>Met</w:t>
            </w:r>
          </w:p>
        </w:tc>
        <w:tc>
          <w:tcPr>
            <w:tcW w:type="dxa" w:w="2160"/>
          </w:tcPr>
          <w:p>
            <w:r>
              <w:rPr>
                <w:rFonts w:ascii="Times New Roman" w:hAnsi="Times New Roman"/>
                <w:sz w:val="20"/>
              </w:rPr>
              <w:t>Dynamic OBB calibration eliminates manual coordinate mapping. New SKUs require only a weight entry.</w:t>
            </w:r>
          </w:p>
        </w:tc>
      </w:tr>
      <w:tr>
        <w:tc>
          <w:tcPr>
            <w:tcW w:type="dxa" w:w="2160"/>
          </w:tcPr>
          <w:p>
            <w:r>
              <w:rPr>
                <w:rFonts w:ascii="Times New Roman" w:hAnsi="Times New Roman"/>
                <w:sz w:val="20"/>
              </w:rPr>
              <w:t>FR-09</w:t>
            </w:r>
          </w:p>
        </w:tc>
        <w:tc>
          <w:tcPr>
            <w:tcW w:type="dxa" w:w="2160"/>
          </w:tcPr>
          <w:p>
            <w:r>
              <w:rPr>
                <w:rFonts w:ascii="Times New Roman" w:hAnsi="Times New Roman"/>
                <w:sz w:val="20"/>
              </w:rPr>
              <w:t>Environmental Robustness</w:t>
            </w:r>
          </w:p>
        </w:tc>
        <w:tc>
          <w:tcPr>
            <w:tcW w:type="dxa" w:w="2160"/>
          </w:tcPr>
          <w:p>
            <w:r>
              <w:rPr>
                <w:rFonts w:ascii="Times New Roman" w:hAnsi="Times New Roman"/>
                <w:sz w:val="20"/>
              </w:rPr>
              <w:t>Met</w:t>
            </w:r>
          </w:p>
        </w:tc>
        <w:tc>
          <w:tcPr>
            <w:tcW w:type="dxa" w:w="2160"/>
          </w:tcPr>
          <w:p>
            <w:r>
              <w:rPr>
                <w:rFonts w:ascii="Times New Roman" w:hAnsi="Times New Roman"/>
                <w:sz w:val="20"/>
              </w:rPr>
              <w:t>100% CV detection from 0 to 506 lux [Section 4.2.1]. ESD mats suppress glare. No workstation modification.</w:t>
            </w:r>
          </w:p>
        </w:tc>
      </w:tr>
      <w:tr>
        <w:tc>
          <w:tcPr>
            <w:tcW w:type="dxa" w:w="2160"/>
          </w:tcPr>
          <w:p>
            <w:r>
              <w:rPr>
                <w:rFonts w:ascii="Times New Roman" w:hAnsi="Times New Roman"/>
                <w:sz w:val="20"/>
              </w:rPr>
              <w:t>FR-10</w:t>
            </w:r>
          </w:p>
        </w:tc>
        <w:tc>
          <w:tcPr>
            <w:tcW w:type="dxa" w:w="2160"/>
          </w:tcPr>
          <w:p>
            <w:r>
              <w:rPr>
                <w:rFonts w:ascii="Times New Roman" w:hAnsi="Times New Roman"/>
                <w:sz w:val="20"/>
              </w:rPr>
              <w:t>Supervisor Visibility</w:t>
            </w:r>
          </w:p>
        </w:tc>
        <w:tc>
          <w:tcPr>
            <w:tcW w:type="dxa" w:w="2160"/>
          </w:tcPr>
          <w:p>
            <w:r>
              <w:rPr>
                <w:rFonts w:ascii="Times New Roman" w:hAnsi="Times New Roman"/>
                <w:sz w:val="20"/>
              </w:rPr>
              <w:t>Met</w:t>
            </w:r>
          </w:p>
        </w:tc>
        <w:tc>
          <w:tcPr>
            <w:tcW w:type="dxa" w:w="2160"/>
          </w:tcPr>
          <w:p>
            <w:r>
              <w:rPr>
                <w:rFonts w:ascii="Times New Roman" w:hAnsi="Times New Roman"/>
                <w:sz w:val="20"/>
              </w:rPr>
              <w:t>FastAPI serves live state over the local network; remote browser access for supervisors.</w:t>
            </w:r>
          </w:p>
        </w:tc>
      </w:tr>
      <w:tr>
        <w:tc>
          <w:tcPr>
            <w:tcW w:type="dxa" w:w="2160"/>
          </w:tcPr>
          <w:p>
            <w:r>
              <w:rPr>
                <w:rFonts w:ascii="Times New Roman" w:hAnsi="Times New Roman"/>
                <w:sz w:val="20"/>
              </w:rPr>
              <w:t>FR-11</w:t>
            </w:r>
          </w:p>
        </w:tc>
        <w:tc>
          <w:tcPr>
            <w:tcW w:type="dxa" w:w="2160"/>
          </w:tcPr>
          <w:p>
            <w:r>
              <w:rPr>
                <w:rFonts w:ascii="Times New Roman" w:hAnsi="Times New Roman"/>
                <w:sz w:val="20"/>
              </w:rPr>
              <w:t>Scalability</w:t>
            </w:r>
          </w:p>
        </w:tc>
        <w:tc>
          <w:tcPr>
            <w:tcW w:type="dxa" w:w="2160"/>
          </w:tcPr>
          <w:p>
            <w:r>
              <w:rPr>
                <w:rFonts w:ascii="Times New Roman" w:hAnsi="Times New Roman"/>
                <w:sz w:val="20"/>
              </w:rPr>
              <w:t>Met</w:t>
            </w:r>
          </w:p>
        </w:tc>
        <w:tc>
          <w:tcPr>
            <w:tcW w:type="dxa" w:w="2160"/>
          </w:tcPr>
          <w:p>
            <w:r>
              <w:rPr>
                <w:rFonts w:ascii="Times New Roman" w:hAnsi="Times New Roman"/>
                <w:sz w:val="20"/>
              </w:rPr>
              <w:t>Pipeline utilises approximately one of twelve CPU cores. Thread-safe architecture supports multi-station extension.</w:t>
            </w:r>
          </w:p>
        </w:tc>
      </w:tr>
    </w:tbl>
    <w:p/>
    <w:p>
      <w:r>
        <w:rPr>
          <w:rFonts w:ascii="Times New Roman" w:hAnsi="Times New Roman"/>
          <w:b w:val="0"/>
          <w:i/>
          <w:sz w:val="20"/>
        </w:rPr>
        <w:t>Table 5.5: Requirements validation matrix.</w:t>
      </w:r>
    </w:p>
    <w:p>
      <w:r>
        <w:br w:type="page"/>
      </w:r>
    </w:p>
    <w:p>
      <w:pPr>
        <w:pStyle w:val="Heading1"/>
      </w:pPr>
      <w:r>
        <w:t>Chapter 6: Future Works and Conclusion</w:t>
      </w:r>
    </w:p>
    <w:p>
      <w:pPr>
        <w:pStyle w:val="Heading2"/>
      </w:pPr>
      <w:r>
        <w:t>6.1 Summary</w:t>
      </w:r>
    </w:p>
    <w:p>
      <w:r>
        <w:rPr>
          <w:rFonts w:ascii="Times New Roman" w:hAnsi="Times New Roman"/>
          <w:b w:val="0"/>
          <w:i w:val="0"/>
          <w:sz w:val="24"/>
        </w:rPr>
        <w:t>The AEGIS prototype demonstrates a proof-of-concept, edge-deployed kitting verification system that detects wrong-bin, out-of-sequence, quantity, and overpack errors at the point of packing and guides the operator to take corrective action before kit completion. This addresses the operational gap identified in Chapter 1.</w:t>
      </w:r>
    </w:p>
    <w:p>
      <w:r>
        <w:rPr>
          <w:rFonts w:ascii="Times New Roman" w:hAnsi="Times New Roman"/>
          <w:b w:val="0"/>
          <w:i w:val="0"/>
          <w:sz w:val="24"/>
        </w:rPr>
        <w:t>Key validation results are summarised as follows:</w:t>
      </w:r>
    </w:p>
    <w:p>
      <w:pPr>
        <w:pStyle w:val="ListBullet"/>
      </w:pPr>
      <w:r>
        <w:rPr>
          <w:rFonts w:ascii="Times New Roman" w:hAnsi="Times New Roman"/>
          <w:sz w:val="22"/>
        </w:rPr>
        <w:t>Computer vision: 100% bin detection from 0 to 506 lux; mAP50 of 0.995 (rim-centric, content-invariant).</w:t>
      </w:r>
    </w:p>
    <w:p>
      <w:pPr>
        <w:pStyle w:val="ListBullet"/>
      </w:pPr>
      <w:r>
        <w:rPr>
          <w:rFonts w:ascii="Times New Roman" w:hAnsi="Times New Roman"/>
          <w:sz w:val="22"/>
        </w:rPr>
        <w:t>Load cells: minimum detectable mass of 0.5 g (1 kg platform) to 4.3 g (10 kg platform).</w:t>
      </w:r>
    </w:p>
    <w:p>
      <w:pPr>
        <w:pStyle w:val="ListBullet"/>
      </w:pPr>
      <w:r>
        <w:rPr>
          <w:rFonts w:ascii="Times New Roman" w:hAnsi="Times New Roman"/>
          <w:sz w:val="22"/>
        </w:rPr>
        <w:t>Backend verification: 134 of 134 unit tests passing with 98% FSM coverage.</w:t>
      </w:r>
    </w:p>
    <w:p>
      <w:pPr>
        <w:pStyle w:val="ListBullet"/>
      </w:pPr>
      <w:r>
        <w:rPr>
          <w:rFonts w:ascii="Times New Roman" w:hAnsi="Times New Roman"/>
          <w:sz w:val="22"/>
        </w:rPr>
        <w:t>User study: task guidance rated 4.9 to 5.0 out of 5; overall preference over paper at 4.3 out of 5.</w:t>
      </w:r>
    </w:p>
    <w:p>
      <w:r>
        <w:rPr>
          <w:rFonts w:ascii="Times New Roman" w:hAnsi="Times New Roman"/>
          <w:b w:val="0"/>
          <w:i w:val="0"/>
          <w:sz w:val="24"/>
        </w:rPr>
        <w:t>Following laboratory validation and the user-driven HMI redesign, TE Connectivity is considering deploying AEGIS in their industrial sandbox environment for operational testing under continuous shift conditions.</w:t>
      </w:r>
    </w:p>
    <w:p>
      <w:pPr>
        <w:pStyle w:val="Heading2"/>
      </w:pPr>
      <w:r>
        <w:t>6.2 Scalability and Maintenance</w:t>
      </w:r>
    </w:p>
    <w:p>
      <w:r>
        <w:rPr>
          <w:rFonts w:ascii="Times New Roman" w:hAnsi="Times New Roman"/>
          <w:b w:val="0"/>
          <w:i w:val="0"/>
          <w:sz w:val="24"/>
        </w:rPr>
        <w:t>The system is designed for plant-engineer-level maintenance without requiring specialist machine learning expertise:</w:t>
      </w:r>
    </w:p>
    <w:p>
      <w:pPr>
        <w:pStyle w:val="ListBullet"/>
      </w:pPr>
      <w:r>
        <w:rPr>
          <w:rFonts w:ascii="Times New Roman" w:hAnsi="Times New Roman"/>
          <w:sz w:val="22"/>
        </w:rPr>
        <w:t>SKU onboarding: weigh new component and add its unit weight to the YAML configuration file. No model retraining required.</w:t>
      </w:r>
    </w:p>
    <w:p>
      <w:pPr>
        <w:pStyle w:val="ListBullet"/>
      </w:pPr>
      <w:r>
        <w:rPr>
          <w:rFonts w:ascii="Times New Roman" w:hAnsi="Times New Roman"/>
          <w:sz w:val="22"/>
        </w:rPr>
        <w:t>Station calibration: completed in under two minutes via the two-snapshot OBB process. No manual coordinate entry.</w:t>
      </w:r>
    </w:p>
    <w:p>
      <w:pPr>
        <w:pStyle w:val="ListBullet"/>
      </w:pPr>
      <w:r>
        <w:rPr>
          <w:rFonts w:ascii="Times New Roman" w:hAnsi="Times New Roman"/>
          <w:sz w:val="22"/>
        </w:rPr>
        <w:t>Modular hardware: a failed load cell is replaced by swapping four screws. All capacities share the same form factor.</w:t>
      </w:r>
    </w:p>
    <w:p>
      <w:pPr>
        <w:pStyle w:val="ListBullet"/>
      </w:pPr>
      <w:r>
        <w:rPr>
          <w:rFonts w:ascii="Times New Roman" w:hAnsi="Times New Roman"/>
          <w:sz w:val="22"/>
        </w:rPr>
        <w:t>Compute headroom: the pipeline utilises approximately one of twelve CPU cores, supporting multi-workstation extension [FR-11].</w:t>
      </w:r>
    </w:p>
    <w:p>
      <w:pPr>
        <w:pStyle w:val="Heading2"/>
      </w:pPr>
      <w:r>
        <w:t>6.3 Ergonomic Considerations</w:t>
      </w:r>
    </w:p>
    <w:p>
      <w:r>
        <w:rPr>
          <w:rFonts w:ascii="Times New Roman" w:hAnsi="Times New Roman"/>
          <w:b w:val="0"/>
          <w:i w:val="0"/>
          <w:sz w:val="24"/>
        </w:rPr>
        <w:t>The usability study surfaced two physical-interaction issues for consideration prior to sandbox deployment:</w:t>
      </w:r>
    </w:p>
    <w:p>
      <w:pPr>
        <w:pStyle w:val="ListBullet"/>
      </w:pPr>
      <w:r>
        <w:rPr>
          <w:rFonts w:ascii="Times New Roman" w:hAnsi="Times New Roman"/>
          <w:sz w:val="22"/>
        </w:rPr>
        <w:t>Consolidation fatigue: operators reported that lifting and dumping heavy completed bins was tiring. Potential mitigations include tilting bin racks or gravity-fed chutes.</w:t>
      </w:r>
    </w:p>
    <w:p>
      <w:pPr>
        <w:pStyle w:val="ListBullet"/>
      </w:pPr>
      <w:r>
        <w:rPr>
          <w:rFonts w:ascii="Times New Roman" w:hAnsi="Times New Roman"/>
          <w:sz w:val="22"/>
        </w:rPr>
        <w:t>Standing fatigue: operators stand for extended shift durations. Incorporating a scheduled break reminder into the HMI (for example, after every ten completed sets) would help maintain operator alertness.</w:t>
      </w:r>
    </w:p>
    <w:p>
      <w:pPr>
        <w:pStyle w:val="Heading2"/>
      </w:pPr>
      <w:r>
        <w:t>6.4 Future Works</w:t>
      </w:r>
    </w:p>
    <w:p>
      <w:r>
        <w:rPr>
          <w:rFonts w:ascii="Times New Roman" w:hAnsi="Times New Roman"/>
          <w:b w:val="0"/>
          <w:i w:val="0"/>
          <w:sz w:val="24"/>
        </w:rPr>
        <w:t>Several directions for future development are identified, as summarised in Table 6.1.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20"/>
              </w:rPr>
              <w:t>Priority</w:t>
            </w:r>
          </w:p>
        </w:tc>
        <w:tc>
          <w:tcPr>
            <w:tcW w:type="dxa" w:w="2880"/>
          </w:tcPr>
          <w:p>
            <w:pPr>
              <w:jc w:val="center"/>
            </w:pPr>
            <w:r>
              <w:rPr>
                <w:rFonts w:ascii="Times New Roman" w:hAnsi="Times New Roman"/>
                <w:b/>
                <w:sz w:val="20"/>
              </w:rPr>
              <w:t>Direction</w:t>
            </w:r>
          </w:p>
        </w:tc>
        <w:tc>
          <w:tcPr>
            <w:tcW w:type="dxa" w:w="2880"/>
          </w:tcPr>
          <w:p>
            <w:pPr>
              <w:jc w:val="center"/>
            </w:pPr>
            <w:r>
              <w:rPr>
                <w:rFonts w:ascii="Times New Roman" w:hAnsi="Times New Roman"/>
                <w:b/>
                <w:sz w:val="20"/>
              </w:rPr>
              <w:t>Description</w:t>
            </w:r>
          </w:p>
        </w:tc>
      </w:tr>
      <w:tr>
        <w:tc>
          <w:tcPr>
            <w:tcW w:type="dxa" w:w="2880"/>
          </w:tcPr>
          <w:p>
            <w:r>
              <w:rPr>
                <w:rFonts w:ascii="Times New Roman" w:hAnsi="Times New Roman"/>
                <w:sz w:val="20"/>
              </w:rPr>
              <w:t>High</w:t>
            </w:r>
          </w:p>
        </w:tc>
        <w:tc>
          <w:tcPr>
            <w:tcW w:type="dxa" w:w="2880"/>
          </w:tcPr>
          <w:p>
            <w:r>
              <w:rPr>
                <w:rFonts w:ascii="Times New Roman" w:hAnsi="Times New Roman"/>
                <w:sz w:val="20"/>
              </w:rPr>
              <w:t>Multi-workstation orchestration</w:t>
            </w:r>
          </w:p>
        </w:tc>
        <w:tc>
          <w:tcPr>
            <w:tcW w:type="dxa" w:w="2880"/>
          </w:tcPr>
          <w:p>
            <w:r>
              <w:rPr>
                <w:rFonts w:ascii="Times New Roman" w:hAnsi="Times New Roman"/>
                <w:sz w:val="20"/>
              </w:rPr>
              <w:t>Link local FastAPI instances to a centralised supervisor dashboard for cross-line monitoring.</w:t>
            </w:r>
          </w:p>
        </w:tc>
      </w:tr>
      <w:tr>
        <w:tc>
          <w:tcPr>
            <w:tcW w:type="dxa" w:w="2880"/>
          </w:tcPr>
          <w:p>
            <w:r>
              <w:rPr>
                <w:rFonts w:ascii="Times New Roman" w:hAnsi="Times New Roman"/>
                <w:sz w:val="20"/>
              </w:rPr>
              <w:t>High</w:t>
            </w:r>
          </w:p>
        </w:tc>
        <w:tc>
          <w:tcPr>
            <w:tcW w:type="dxa" w:w="2880"/>
          </w:tcPr>
          <w:p>
            <w:r>
              <w:rPr>
                <w:rFonts w:ascii="Times New Roman" w:hAnsi="Times New Roman"/>
                <w:sz w:val="20"/>
              </w:rPr>
              <w:t>MES integration</w:t>
            </w:r>
          </w:p>
        </w:tc>
        <w:tc>
          <w:tcPr>
            <w:tcW w:type="dxa" w:w="2880"/>
          </w:tcPr>
          <w:p>
            <w:r>
              <w:rPr>
                <w:rFonts w:ascii="Times New Roman" w:hAnsi="Times New Roman"/>
                <w:sz w:val="20"/>
              </w:rPr>
              <w:t>Automate work-order loading via Modbus TCP with bidirectional status reporting.</w:t>
            </w:r>
          </w:p>
        </w:tc>
      </w:tr>
      <w:tr>
        <w:tc>
          <w:tcPr>
            <w:tcW w:type="dxa" w:w="2880"/>
          </w:tcPr>
          <w:p>
            <w:r>
              <w:rPr>
                <w:rFonts w:ascii="Times New Roman" w:hAnsi="Times New Roman"/>
                <w:sz w:val="20"/>
              </w:rPr>
              <w:t>Medium</w:t>
            </w:r>
          </w:p>
        </w:tc>
        <w:tc>
          <w:tcPr>
            <w:tcW w:type="dxa" w:w="2880"/>
          </w:tcPr>
          <w:p>
            <w:r>
              <w:rPr>
                <w:rFonts w:ascii="Times New Roman" w:hAnsi="Times New Roman"/>
                <w:sz w:val="20"/>
              </w:rPr>
              <w:t>Light-item resolution</w:t>
            </w:r>
          </w:p>
        </w:tc>
        <w:tc>
          <w:tcPr>
            <w:tcW w:type="dxa" w:w="2880"/>
          </w:tcPr>
          <w:p>
            <w:r>
              <w:rPr>
                <w:rFonts w:ascii="Times New Roman" w:hAnsi="Times New Roman"/>
                <w:sz w:val="20"/>
              </w:rPr>
              <w:t>Investigate higher-resolution load cells or supplementary sensing (capacitive or optical) for the lightest SKUs.</w:t>
            </w:r>
          </w:p>
        </w:tc>
      </w:tr>
      <w:tr>
        <w:tc>
          <w:tcPr>
            <w:tcW w:type="dxa" w:w="2880"/>
          </w:tcPr>
          <w:p>
            <w:r>
              <w:rPr>
                <w:rFonts w:ascii="Times New Roman" w:hAnsi="Times New Roman"/>
                <w:sz w:val="20"/>
              </w:rPr>
              <w:t>Medium</w:t>
            </w:r>
          </w:p>
        </w:tc>
        <w:tc>
          <w:tcPr>
            <w:tcW w:type="dxa" w:w="2880"/>
          </w:tcPr>
          <w:p>
            <w:r>
              <w:rPr>
                <w:rFonts w:ascii="Times New Roman" w:hAnsi="Times New Roman"/>
                <w:sz w:val="20"/>
              </w:rPr>
              <w:t>Bin colour generalisation</w:t>
            </w:r>
          </w:p>
        </w:tc>
        <w:tc>
          <w:tcPr>
            <w:tcW w:type="dxa" w:w="2880"/>
          </w:tcPr>
          <w:p>
            <w:r>
              <w:rPr>
                <w:rFonts w:ascii="Times New Roman" w:hAnsi="Times New Roman"/>
                <w:sz w:val="20"/>
              </w:rPr>
              <w:t>Expand YOLOv8-OBB training data to include non-blue bin colours and form factors.</w:t>
            </w:r>
          </w:p>
        </w:tc>
      </w:tr>
      <w:tr>
        <w:tc>
          <w:tcPr>
            <w:tcW w:type="dxa" w:w="2880"/>
          </w:tcPr>
          <w:p>
            <w:r>
              <w:rPr>
                <w:rFonts w:ascii="Times New Roman" w:hAnsi="Times New Roman"/>
                <w:sz w:val="20"/>
              </w:rPr>
              <w:t>Low</w:t>
            </w:r>
          </w:p>
        </w:tc>
        <w:tc>
          <w:tcPr>
            <w:tcW w:type="dxa" w:w="2880"/>
          </w:tcPr>
          <w:p>
            <w:r>
              <w:rPr>
                <w:rFonts w:ascii="Times New Roman" w:hAnsi="Times New Roman"/>
                <w:sz w:val="20"/>
              </w:rPr>
              <w:t>Predictive analytics</w:t>
            </w:r>
          </w:p>
        </w:tc>
        <w:tc>
          <w:tcPr>
            <w:tcW w:type="dxa" w:w="2880"/>
          </w:tcPr>
          <w:p>
            <w:r>
              <w:rPr>
                <w:rFonts w:ascii="Times New Roman" w:hAnsi="Times New Roman"/>
                <w:sz w:val="20"/>
              </w:rPr>
              <w:t>Aggregate error data across shifts and operators for trend analysis and proactive process improvement.</w:t>
            </w:r>
          </w:p>
        </w:tc>
      </w:tr>
    </w:tbl>
    <w:p/>
    <w:p>
      <w:r>
        <w:rPr>
          <w:rFonts w:ascii="Times New Roman" w:hAnsi="Times New Roman"/>
          <w:b w:val="0"/>
          <w:i/>
          <w:sz w:val="20"/>
        </w:rPr>
        <w:t>Table 6.1: Future development directions.</w:t>
      </w:r>
    </w:p>
    <w:p>
      <w:r>
        <w:br w:type="page"/>
      </w:r>
    </w:p>
    <w:p>
      <w:pPr>
        <w:pStyle w:val="Heading1"/>
      </w:pPr>
      <w:r>
        <w:t>Chapter 7: Reflections and Lessons Learned</w:t>
      </w:r>
    </w:p>
    <w:p>
      <w:pPr>
        <w:pStyle w:val="Heading2"/>
      </w:pPr>
      <w:r>
        <w:t>7.1 Sensor Limits Shape the Design</w:t>
      </w:r>
    </w:p>
    <w:p>
      <w:r>
        <w:rPr>
          <w:rFonts w:ascii="Times New Roman" w:hAnsi="Times New Roman"/>
          <w:b w:val="0"/>
          <w:i w:val="0"/>
          <w:sz w:val="24"/>
        </w:rPr>
        <w:t>The single hardest constraint encountered was physical rather than computational. The load cell qualification [Section 4.2.2] established that the lightest BOM components (approximately 3 g) sit at the noise floor of the larger platforms, and that off-centre placement shifts readings by tens of grams. These sensor characteristics, not the software, set the ceiling on counting reliability.</w:t>
      </w:r>
    </w:p>
    <w:p>
      <w:r>
        <w:rPr>
          <w:rFonts w:ascii="Times New Roman" w:hAnsi="Times New Roman"/>
          <w:b w:val="0"/>
          <w:i w:val="0"/>
          <w:sz w:val="24"/>
        </w:rPr>
        <w:t>The lesson learned was to characterise sensors early and design around their measured limits, combining software mitigations (crediting floors, debounce windows) with operational mitigations (assigning light items to the 1 kg platform) rather than expecting code to overcome physics.</w:t>
      </w:r>
    </w:p>
    <w:p>
      <w:pPr>
        <w:pStyle w:val="Heading2"/>
      </w:pPr>
      <w:r>
        <w:t>7.2 User Testing Reveals What Builders Cannot See</w:t>
      </w:r>
    </w:p>
    <w:p>
      <w:r>
        <w:rPr>
          <w:rFonts w:ascii="Times New Roman" w:hAnsi="Times New Roman"/>
          <w:b w:val="0"/>
          <w:i w:val="0"/>
          <w:sz w:val="24"/>
        </w:rPr>
        <w:t>Features considered obvious by the development team, such as alert wording and colour coding, were the aspects operators struggled with most. Conversely, the position-based bin grid layout rated at ceiling. The study converted subjective impressions into a prioritised backlog [Table 5.3] and directly produced an improved interface [Table 5.4].</w:t>
      </w:r>
    </w:p>
    <w:p>
      <w:r>
        <w:rPr>
          <w:rFonts w:ascii="Times New Roman" w:hAnsi="Times New Roman"/>
          <w:b w:val="0"/>
          <w:i w:val="0"/>
          <w:sz w:val="24"/>
        </w:rPr>
        <w:t>The lesson learned was that the builder's mental model of the interface diverges from the user's mental model. Structured evaluation with representative end users is the only reliable method for discovering this divergence. Earlier user testing would have reduced rework.</w:t>
      </w:r>
    </w:p>
    <w:p>
      <w:pPr>
        <w:pStyle w:val="Heading2"/>
      </w:pPr>
      <w:r>
        <w:t>7.3 Clean Separation Paid Off</w:t>
      </w:r>
    </w:p>
    <w:p>
      <w:r>
        <w:rPr>
          <w:rFonts w:ascii="Times New Roman" w:hAnsi="Times New Roman"/>
          <w:b w:val="0"/>
          <w:i w:val="0"/>
          <w:sz w:val="24"/>
        </w:rPr>
        <w:t>Encapsulating the verification logic as a pure, hardware-independent component enabled exhaustive testing (134 test cases, 98% core coverage) without a physical rig in the loop. This decision accelerated development velocity, reduced the cost of regression testing, and provided a reliable guard against unintended behavioural changes during rapid iteration.</w:t>
      </w:r>
    </w:p>
    <w:p>
      <w:pPr>
        <w:pStyle w:val="Heading2"/>
      </w:pPr>
      <w:r>
        <w:t>7.4 Real-World Robustness Requires Dedicated Attention</w:t>
      </w:r>
    </w:p>
    <w:p>
      <w:r>
        <w:rPr>
          <w:rFonts w:ascii="Times New Roman" w:hAnsi="Times New Roman"/>
          <w:b w:val="0"/>
          <w:i w:val="0"/>
          <w:sz w:val="24"/>
        </w:rPr>
        <w:t>Intermittent USB resets, disconnected load cells, and the shelf-lip occlusion problem served as reminders that laboratory prototypes encounter messy hardware realities in deployment. The occlusion gate [Section 4.4.2] exemplifies this: a problem invisible during top-bin-only testing became a critical failure with the full two-tier workstation, requiring a targeted architectural intervention rather than a parameter adjustment.</w:t>
      </w:r>
    </w:p>
    <w:p>
      <w:r>
        <w:rPr>
          <w:rFonts w:ascii="Times New Roman" w:hAnsi="Times New Roman"/>
          <w:b w:val="0"/>
          <w:i w:val="0"/>
          <w:sz w:val="24"/>
        </w:rPr>
        <w:t>The lesson learned was that reliability and diagnosability (automated reconnect loops, sensor health checks, diagnostic logging) deserve dedicated design effort alongside the primary functional path.</w:t>
      </w:r>
    </w:p>
    <w:p>
      <w:r>
        <w:rPr>
          <w:rFonts w:ascii="Times New Roman" w:hAnsi="Times New Roman"/>
          <w:b w:val="0"/>
          <w:i/>
          <w:sz w:val="24"/>
        </w:rPr>
        <w:t>[Individual team member reflections to be added here.]</w:t>
      </w:r>
    </w:p>
    <w:p>
      <w:r>
        <w:br w:type="page"/>
      </w:r>
    </w:p>
    <w:p>
      <w:pPr>
        <w:pStyle w:val="Heading1"/>
      </w:pPr>
      <w:r>
        <w:t>References</w:t>
      </w:r>
    </w:p>
    <w:p>
      <w:r>
        <w:rPr>
          <w:rFonts w:ascii="Times New Roman" w:hAnsi="Times New Roman"/>
          <w:sz w:val="22"/>
        </w:rPr>
        <w:t>[1]  Ultralytics, "YOLOv8 Documentation," 2024. [Online]. Available: https://github.com/ultralytics/ultralytics. [Accessed: Jul. 2026].</w:t>
      </w:r>
    </w:p>
    <w:p>
      <w:r>
        <w:rPr>
          <w:rFonts w:ascii="Times New Roman" w:hAnsi="Times New Roman"/>
          <w:sz w:val="22"/>
        </w:rPr>
        <w:t>[2]  Google, "MediaPipe Hands: On-device Real-time Hand Tracking," 2023. [Online]. Available: https://developers.google.com/mediapipe/solutions/vision/hand_landmarker. [Accessed: Jul. 2026].</w:t>
      </w:r>
    </w:p>
    <w:p>
      <w:r>
        <w:rPr>
          <w:rFonts w:ascii="Times New Roman" w:hAnsi="Times New Roman"/>
          <w:sz w:val="22"/>
        </w:rPr>
        <w:t>[3]  TE Connectivity, "Cost of Poor Quality (COPQ) Internal Manufacturing Reports," FY2025. Unpublished.</w:t>
      </w:r>
    </w:p>
    <w:p>
      <w:r>
        <w:rPr>
          <w:rFonts w:ascii="Times New Roman" w:hAnsi="Times New Roman"/>
          <w:sz w:val="22"/>
        </w:rPr>
        <w:t>[4]  Avia Semiconductor, "HX711: 24-Bit Analog-to-Digital Converter for Weigh Scales," Datasheet Rev. 1.0.</w:t>
      </w:r>
    </w:p>
    <w:p>
      <w:r>
        <w:rPr>
          <w:rFonts w:ascii="Times New Roman" w:hAnsi="Times New Roman"/>
          <w:sz w:val="22"/>
        </w:rPr>
        <w:t>[5]  Advantech, "MIC-733: AI Inference System Based on NVIDIA Jetson AGX Orin," Product Datasheet, 2024.</w:t>
      </w:r>
    </w:p>
    <w:p>
      <w:r>
        <w:rPr>
          <w:rFonts w:ascii="Times New Roman" w:hAnsi="Times New Roman"/>
          <w:sz w:val="22"/>
        </w:rPr>
        <w:t>[6]  NVIDIA, "Jetson AGX Orin Technical Reference Manual," 2023.</w:t>
      </w:r>
    </w:p>
    <w:p>
      <w:r>
        <w:rPr>
          <w:rFonts w:ascii="Times New Roman" w:hAnsi="Times New Roman"/>
          <w:sz w:val="22"/>
        </w:rPr>
        <w:t>[7]  Roboflow, "Computer Vision Annotation and Dataset Management Platform," 2024. [Online]. Available: https://roboflow.com.</w:t>
      </w:r>
    </w:p>
    <w:p>
      <w:r>
        <w:rPr>
          <w:rFonts w:ascii="Times New Roman" w:hAnsi="Times New Roman"/>
          <w:sz w:val="22"/>
        </w:rPr>
        <w:t>[8]  Espressif Systems, "ESP32 Series Datasheet," Version 4.2, 2023.</w:t>
      </w:r>
    </w:p>
    <w:p>
      <w:r>
        <w:br w:type="page"/>
      </w:r>
    </w:p>
    <w:p>
      <w:pPr>
        <w:pStyle w:val="Heading1"/>
      </w:pPr>
      <w:r>
        <w:t>Appendix</w:t>
      </w:r>
    </w:p>
    <w:p>
      <w:pPr>
        <w:pStyle w:val="Heading2"/>
      </w:pPr>
      <w:r>
        <w:t>Appendix A: Workstation Set-up</w:t>
      </w:r>
    </w:p>
    <w:p>
      <w:r>
        <w:rPr>
          <w:rFonts w:ascii="Times New Roman" w:hAnsi="Times New Roman"/>
          <w:b w:val="0"/>
          <w:i/>
          <w:sz w:val="24"/>
        </w:rPr>
        <w:t>[Workstation setup documentation to be included here.]</w:t>
      </w:r>
    </w:p>
    <w:p>
      <w:pPr>
        <w:pStyle w:val="Heading2"/>
      </w:pPr>
      <w:r>
        <w:t>Appendix B: Usability Study Raw Data</w:t>
      </w:r>
    </w:p>
    <w:p>
      <w:r>
        <w:rPr>
          <w:rFonts w:ascii="Times New Roman" w:hAnsi="Times New Roman"/>
          <w:b w:val="0"/>
          <w:i w:val="0"/>
          <w:sz w:val="24"/>
        </w:rPr>
        <w:t>Per-operator Likert ratings, alert walkthrough transcripts, and open-ended feedback summaries for all six participants. Source: AEGIS_User_Test_Findings_Summary.docx.</w:t>
      </w:r>
    </w:p>
    <w:p>
      <w:pPr>
        <w:pStyle w:val="Heading2"/>
      </w:pPr>
      <w:r>
        <w:t>Appendix C: Load Cell Qualification Data</w:t>
      </w:r>
    </w:p>
    <w:p>
      <w:r>
        <w:rPr>
          <w:rFonts w:ascii="Times New Roman" w:hAnsi="Times New Roman"/>
          <w:b w:val="0"/>
          <w:i w:val="0"/>
          <w:sz w:val="24"/>
        </w:rPr>
        <w:t>Raw calibration ladders, repeatability tables, hysteresis curves, warm-up drift logs, creep measurements, and off-centre deviation maps for all three configurations. Source: AEGIS_LoadCell_Qualification.docx.</w:t>
      </w:r>
    </w:p>
    <w:p>
      <w:pPr>
        <w:pStyle w:val="Heading2"/>
      </w:pPr>
      <w:r>
        <w:t>Appendix D: CV Training and Evaluation Data</w:t>
      </w:r>
    </w:p>
    <w:p>
      <w:r>
        <w:rPr>
          <w:rFonts w:ascii="Times New Roman" w:hAnsi="Times New Roman"/>
          <w:b w:val="0"/>
          <w:i w:val="0"/>
          <w:sz w:val="24"/>
        </w:rPr>
        <w:t>YOLOv8-OBB training curves and validation metrics for Setup V3. Lighting characterisation workbook with 72 bin-by-illuminance readings. Sources: lighting_cv_test_backup.xlsx, AEGIS_CV_Test_Pack.xlsx.</w:t>
      </w:r>
    </w:p>
    <w:p>
      <w:pPr>
        <w:pStyle w:val="Heading2"/>
      </w:pPr>
      <w:r>
        <w:t>Appendix E: HMI Screenshots</w:t>
      </w:r>
    </w:p>
    <w:p>
      <w:pPr>
        <w:jc w:val="center"/>
      </w:pPr>
      <w:r>
        <w:rPr>
          <w:i/>
          <w:color w:val="969696"/>
          <w:sz w:val="22"/>
        </w:rPr>
        <w:t>[INSERT FIGURE HERE]</w:t>
      </w:r>
    </w:p>
    <w:p>
      <w:pPr>
        <w:spacing w:after="240"/>
        <w:jc w:val="center"/>
      </w:pPr>
      <w:r>
        <w:rPr>
          <w:rFonts w:ascii="Times New Roman" w:hAnsi="Times New Roman"/>
          <w:i/>
          <w:sz w:val="20"/>
        </w:rPr>
        <w:t>Figure A.1: Pre-iteration HMI showing the bin grid, small-font error banners, and 0-indexed labels.</w:t>
      </w:r>
    </w:p>
    <w:p>
      <w:pPr>
        <w:jc w:val="center"/>
      </w:pPr>
      <w:r>
        <w:rPr>
          <w:i/>
          <w:color w:val="969696"/>
          <w:sz w:val="22"/>
        </w:rPr>
        <w:t>[INSERT FIGURE HERE]</w:t>
      </w:r>
    </w:p>
    <w:p>
      <w:pPr>
        <w:spacing w:after="240"/>
        <w:jc w:val="center"/>
      </w:pPr>
      <w:r>
        <w:rPr>
          <w:rFonts w:ascii="Times New Roman" w:hAnsi="Times New Roman"/>
          <w:i/>
          <w:sz w:val="20"/>
        </w:rPr>
        <w:t>Figure A.2: Post-iteration HMI showing the redesigned fault banner, colour-coded hand halo, 1-indexed labels, and sets-remaining progress indicator.</w:t>
      </w:r>
    </w:p>
    <w:p>
      <w:pPr>
        <w:pStyle w:val="Heading2"/>
      </w:pPr>
      <w:r>
        <w:t>Appendix F: Unit Test Summary</w:t>
      </w:r>
    </w:p>
    <w:p>
      <w:r>
        <w:rPr>
          <w:rFonts w:ascii="Times New Roman" w:hAnsi="Times New Roman"/>
          <w:b w:val="0"/>
          <w:i w:val="0"/>
          <w:sz w:val="24"/>
        </w:rPr>
        <w:t>Full pytest output (134 of 134 tests passing) and pytest-cov coverage report.</w:t>
      </w:r>
    </w:p>
    <w:p>
      <w:pPr>
        <w:pStyle w:val="Heading2"/>
      </w:pPr>
      <w:r>
        <w:t>Appendix G: TE Connectivity Stakeholder Interview Transcript</w:t>
      </w:r>
    </w:p>
    <w:p>
      <w:r>
        <w:rPr>
          <w:rFonts w:ascii="Times New Roman" w:hAnsi="Times New Roman"/>
          <w:b w:val="0"/>
          <w:i/>
          <w:sz w:val="24"/>
        </w:rPr>
        <w:t>[Transcript to be inserted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