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line="36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3">
      <w:pPr>
        <w:spacing w:line="360" w:lineRule="auto"/>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Pr>
        <w:drawing>
          <wp:inline distB="0" distT="0" distL="0" distR="0">
            <wp:extent cx="3946432" cy="1809771"/>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5">
      <w:pPr>
        <w:spacing w:line="24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CDE3301 Final Report</w:t>
      </w:r>
    </w:p>
    <w:p w:rsidR="00000000" w:rsidDel="00000000" w:rsidP="00000000" w:rsidRDefault="00000000" w:rsidRPr="00000000" w14:paraId="00000006">
      <w:pPr>
        <w:spacing w:line="24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AY 2025/26</w:t>
      </w:r>
    </w:p>
    <w:p w:rsidR="00000000" w:rsidDel="00000000" w:rsidP="00000000" w:rsidRDefault="00000000" w:rsidRPr="00000000" w14:paraId="00000007">
      <w:pPr>
        <w:spacing w:line="240" w:lineRule="auto"/>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8">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Submitted by</w:t>
      </w:r>
    </w:p>
    <w:p w:rsidR="00000000" w:rsidDel="00000000" w:rsidP="00000000" w:rsidRDefault="00000000" w:rsidRPr="00000000" w14:paraId="00000009">
      <w:pPr>
        <w:spacing w:line="240" w:lineRule="auto"/>
        <w:jc w:val="center"/>
        <w:rPr>
          <w:rFonts w:ascii="Calibri" w:cs="Calibri" w:eastAsia="Calibri" w:hAnsi="Calibri"/>
          <w:b w:val="1"/>
          <w:bCs w:val="1"/>
          <w:sz w:val="32"/>
          <w:szCs w:val="32"/>
        </w:rPr>
      </w:pPr>
      <w:r w:rsidDel="00000000" w:rsidR="00000000" w:rsidRPr="00000000">
        <w:rPr>
          <w:rtl w:val="0"/>
        </w:rPr>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Lim Kai Ler Ethan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A0307499M</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Aw Shuo Jie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A0309254E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Yap Jia Wei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A0307951B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Yeo Chen Xian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A0299847Y</w:t>
            </w:r>
            <w:r w:rsidDel="00000000" w:rsidR="00000000" w:rsidRPr="00000000">
              <w:rPr>
                <w:rtl w:val="0"/>
              </w:rPr>
            </w:r>
          </w:p>
        </w:tc>
      </w:tr>
    </w:tbl>
    <w:p w:rsidR="00000000" w:rsidDel="00000000" w:rsidP="00000000" w:rsidRDefault="00000000" w:rsidRPr="00000000" w14:paraId="00000012">
      <w:pPr>
        <w:spacing w:line="240" w:lineRule="auto"/>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3">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Chan Tong Leong</w:t>
            </w:r>
          </w:p>
        </w:tc>
      </w:tr>
    </w:tbl>
    <w:p w:rsidR="00000000" w:rsidDel="00000000" w:rsidP="00000000" w:rsidRDefault="00000000" w:rsidRPr="00000000" w14:paraId="00000016">
      <w:pPr>
        <w:jc w:val="left"/>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17">
      <w:pPr>
        <w:pStyle w:val="heading1"/>
        <w:jc w:val="left"/>
        <w:rPr/>
      </w:pPr>
      <w:bookmarkStart w:colFirst="0" w:colLast="0" w:name="_6p2otdl9gtql" w:id="0"/>
      <w:bookmarkEnd w:id="0"/>
      <w:r w:rsidDel="00000000" w:rsidR="00000000" w:rsidRPr="00000000">
        <w:rPr>
          <w:rtl w:val="0"/>
        </w:rPr>
        <w:t xml:space="preserve">Acknowledgements</w:t>
      </w:r>
    </w:p>
    <w:p w:rsidR="00000000" w:rsidDel="00000000" w:rsidP="00000000" w:rsidRDefault="00000000" w:rsidRPr="00000000" w14:paraId="00000018">
      <w:pPr>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9">
      <w:pPr>
        <w:rPr/>
      </w:pPr>
      <w:r w:rsidDel="00000000" w:rsidR="00000000" w:rsidRPr="00000000">
        <w:rPr>
          <w:rtl w:val="0"/>
        </w:rPr>
        <w:t xml:space="preserve">We are grateful to our group members, Lim Kai Ler Ethan, Aw Shuo Jie, Yap Jia Wei, and Yeo Chen Xian, for their teamwork, commitment, and continued contributions, even while overseas or undertaking internships.</w:t>
      </w:r>
    </w:p>
    <w:p w:rsidR="00000000" w:rsidDel="00000000" w:rsidP="00000000" w:rsidRDefault="00000000" w:rsidRPr="00000000" w14:paraId="0000001A">
      <w:pPr>
        <w:rPr/>
      </w:pPr>
      <w:r w:rsidDel="00000000" w:rsidR="00000000" w:rsidRPr="00000000">
        <w:rPr>
          <w:rtl w:val="0"/>
        </w:rPr>
        <w:t xml:space="preserve">We would also like to express our heartfelt appreciation to the Engineering Design and Innovation Centre (EDIC) for providing us with the funding and opportunity to undertake this project. 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1C">
      <w:pPr>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rPr/>
      </w:pPr>
      <w:r w:rsidDel="00000000" w:rsidR="00000000" w:rsidRPr="00000000">
        <w:rPr>
          <w:rtl w:val="0"/>
        </w:rPr>
        <w:t xml:space="preserve">We would like to acknowledge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rPr/>
      </w:pPr>
      <w:r w:rsidDel="00000000" w:rsidR="00000000" w:rsidRPr="00000000">
        <w:rPr>
          <w:rtl w:val="0"/>
        </w:rPr>
        <w:t xml:space="preserve">We extend our appreciation to our technology partner, Advantech, for sponsoring the MIC-733, touchscreen monitor, and ICAM-520, which were essential to the development and implementation of our solution.</w:t>
      </w:r>
    </w:p>
    <w:p w:rsidR="00000000" w:rsidDel="00000000" w:rsidP="00000000" w:rsidRDefault="00000000" w:rsidRPr="00000000" w14:paraId="0000001F">
      <w:pPr>
        <w:rPr/>
      </w:pPr>
      <w:r w:rsidDel="00000000" w:rsidR="00000000" w:rsidRPr="00000000">
        <w:rPr>
          <w:rtl w:val="0"/>
        </w:rPr>
        <w:t xml:space="preserve">Finally, we extend our sincere thanks to Professor Tang Kok Zuea and Mr Lim Hong Wee for serving as our examiners and providing constructive feedback that helped us further refine our project.</w:t>
      </w:r>
    </w:p>
    <w:p w:rsidR="00000000" w:rsidDel="00000000" w:rsidP="00000000" w:rsidRDefault="00000000" w:rsidRPr="00000000" w14:paraId="00000020">
      <w:pPr>
        <w:rPr/>
      </w:pPr>
      <w:r w:rsidDel="00000000" w:rsidR="00000000" w:rsidRPr="00000000">
        <w:rPr>
          <w:rtl w:val="0"/>
        </w:rPr>
        <w:t xml:space="preserve">Each of these contributions played a vital role in shaping the success of our work, and we are truly grateful for the support we received.</w:t>
      </w: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bookmarkStart w:colFirst="0" w:colLast="0" w:name="_esh4e8m3ifde" w:id="1"/>
      <w:bookmarkEnd w:id="1"/>
      <w:r w:rsidDel="00000000" w:rsidR="00000000" w:rsidRPr="00000000">
        <w:rPr>
          <w:rtl w:val="0"/>
        </w:rPr>
        <w:t xml:space="preserve">Executive Summary</w:t>
      </w:r>
    </w:p>
    <w:p w:rsidR="00000000" w:rsidDel="00000000" w:rsidP="00000000" w:rsidRDefault="00000000" w:rsidRPr="00000000" w14:paraId="00000022">
      <w:pPr>
        <w:rPr>
          <w:sz w:val="26"/>
          <w:szCs w:val="26"/>
        </w:rPr>
      </w:pPr>
      <w:r w:rsidDel="00000000" w:rsidR="00000000" w:rsidRPr="00000000">
        <w:rPr>
          <w:b w:val="1"/>
          <w:bCs w:val="1"/>
          <w:rtl w:val="0"/>
        </w:rPr>
        <w:t xml:space="preserve">Context: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4">
      <w:pPr>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Concept:</w:t>
      </w:r>
    </w:p>
    <w:p w:rsidR="00000000" w:rsidDel="00000000" w:rsidP="00000000" w:rsidRDefault="00000000" w:rsidRPr="00000000" w14:paraId="00000026">
      <w:pPr>
        <w:rPr>
          <w:b w:val="1"/>
          <w:bCs w:val="1"/>
        </w:rPr>
      </w:pP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b w:val="1"/>
          <w:bCs w:val="1"/>
          <w:rtl w:val="0"/>
        </w:rPr>
        <w:t xml:space="preserve">Solution:</w:t>
      </w:r>
    </w:p>
    <w:p w:rsidR="00000000" w:rsidDel="00000000" w:rsidP="00000000" w:rsidRDefault="00000000" w:rsidRPr="00000000" w14:paraId="00000028">
      <w:pPr>
        <w:rPr/>
      </w:pP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9">
      <w:pPr>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r w:rsidDel="00000000" w:rsidR="00000000" w:rsidRPr="00000000">
        <w:rPr>
          <w:rtl w:val="0"/>
        </w:rPr>
      </w:r>
    </w:p>
    <w:p w:rsidR="00000000" w:rsidDel="00000000" w:rsidP="00000000" w:rsidRDefault="00000000" w:rsidRPr="00000000" w14:paraId="0000002A">
      <w:pPr>
        <w:rPr/>
      </w:pPr>
      <w:r w:rsidDel="00000000" w:rsidR="00000000" w:rsidRPr="00000000">
        <w:rPr>
          <w:b w:val="1"/>
          <w:bCs w:val="1"/>
          <w:highlight w:val="red"/>
          <w:rtl w:val="0"/>
        </w:rPr>
        <w:t xml:space="preserve">Outcome:</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bookmarkStart w:colFirst="0" w:colLast="0" w:name="_qritw9yqo0hk" w:id="2"/>
      <w:bookmarkEnd w:id="2"/>
      <w:r w:rsidDel="00000000" w:rsidR="00000000" w:rsidRPr="00000000">
        <w:rPr>
          <w:rtl w:val="0"/>
        </w:rPr>
      </w:r>
    </w:p>
    <w:sdt>
      <w:sdtPr>
        <w:id w:val="1661460393"/>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6p2otdl9gtq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sh4e8m3ifd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5dybvt9tod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1: Problem Introduction</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ngabvt1ae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Problem Significance</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ldk5j1n6l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Root Cause Analysis, Current Solutions and Limitations</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5qem0hnjy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Stakeholder Requirements</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ife1qvf9j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Functional Requirements</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i45rooyw9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Value Proposition &amp; Scope</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zq5tfdcmcq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Project Scope</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c6m3237jna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Value Proposition</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tefvihbhbek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2: Design Overview</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wolwtz9xz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Concept Overview</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zmwcsp2b6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Design Selection</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aryhdpz8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System Selection</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ossv39ti4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Detailed Selection</w:t>
              <w:tab/>
              <w:t xml:space="preserve">14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eve8x7p8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Finite State Machine (Operator workflow and edge cases)?</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atr6jg911x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3: Prototype Development</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oxlyy5yxs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Physical Frame</w:t>
              <w:tab/>
              <w:t xml:space="preserve">15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63qbhveam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Fixed Near-Overhead Camera and Addressable Two-Tiered Grid</w:t>
              <w:tab/>
              <w:t xml:space="preserve">15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douzmt3w1l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Fixed Slotting</w:t>
              <w:tab/>
              <w:t xml:space="preserve">15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sen1ulk4y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Sensors</w:t>
              <w:tab/>
              <w:t xml:space="preserve">16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mt3mt6ve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Computer Vision</w:t>
              <w:tab/>
              <w:t xml:space="preserve">16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ntpoogbnl8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3.2.1.1  Bin recognition</w:t>
              <w:tab/>
              <w:t xml:space="preserve">16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30x3rh3ppw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3.2.1.1a  Rim-centric</w:t>
              <w:tab/>
              <w:t xml:space="preserve">16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r2vzjdi5r2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3.2.1.1b  Horizontal bounding-box representation</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k4ek25i80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3.2.1.1c  Operational Constraints and Parameter Performance</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igy72wduld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3.2.1.2 Hand-pose model</w:t>
              <w:tab/>
              <w:t xml:space="preserve">17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vo336gj429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3.2.1.3 Spatial Bin Assignment</w:t>
              <w:tab/>
              <w:t xml:space="preserve">17</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7je4hs1pj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3.2.1.4 Occlusion Gating</w:t>
              <w:tab/>
              <w:t xml:space="preserve">17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va1npkjcs3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Load Cells</w:t>
              <w:tab/>
              <w:t xml:space="preserve">18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7pl8p733r0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Load Cells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39qa6vrvt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User Interface</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crofbv0x2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Frontend</w:t>
              <w:tab/>
              <w:t xml:space="preserve">19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h5cw8ju46o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Backend</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7ynf4qkyq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4: Testing, Evaluation and Iterations</w:t>
              <w:tab/>
              <w:t xml:space="preserve">21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dxfe3n7z6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System Integration</w:t>
              <w:tab/>
              <w:t xml:space="preserve">21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gg582m50mq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Sensors</w:t>
              <w:tab/>
              <w:t xml:space="preserve">21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49jtfjhw1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Load Cells</w:t>
              <w:tab/>
              <w:t xml:space="preserve">23</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96kjmsi2tc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5: User Testing &amp; Validation</w:t>
              <w:tab/>
              <w:t xml:space="preserve">31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1sjtxdh0kr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6: Conclusion and Future Works</w:t>
              <w:br w:type="textWrapping"/>
              <w:t xml:space="preserve">Chapter 7: Reflections and Lessons Learned</w:t>
              <w:tab/>
              <w:t xml:space="preserve">37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ea25yhhzc0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38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hidq4lt3pb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w:t>
              <w:tab/>
              <w:t xml:space="preserve">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jc w:val="center"/>
        <w:rPr/>
      </w:pPr>
      <w:bookmarkStart w:colFirst="0" w:colLast="0" w:name="_e5dybvt9todo" w:id="3"/>
      <w:bookmarkEnd w:id="3"/>
      <w:r w:rsidDel="00000000" w:rsidR="00000000" w:rsidRPr="00000000">
        <w:rPr>
          <w:b w:val="1"/>
          <w:bCs w:val="1"/>
          <w:sz w:val="32"/>
          <w:szCs w:val="32"/>
          <w:rtl w:val="0"/>
        </w:rPr>
        <w:t xml:space="preserve">Chapter 1: </w:t>
      </w:r>
      <w:r w:rsidDel="00000000" w:rsidR="00000000" w:rsidRPr="00000000">
        <w:rPr>
          <w:rtl w:val="0"/>
        </w:rPr>
        <w:t xml:space="preserve">Problem Introduction</w:t>
      </w:r>
      <w:r w:rsidDel="00000000" w:rsidR="00000000" w:rsidRPr="00000000">
        <w:rPr>
          <w:rtl w:val="0"/>
        </w:rPr>
      </w:r>
    </w:p>
    <w:p w:rsidR="00000000" w:rsidDel="00000000" w:rsidP="00000000" w:rsidRDefault="00000000" w:rsidRPr="00000000" w14:paraId="00000058">
      <w:pPr>
        <w:pStyle w:val="heading2"/>
        <w:rPr>
          <w:b w:val="1"/>
          <w:bCs w:val="1"/>
          <w:sz w:val="30"/>
          <w:szCs w:val="30"/>
        </w:rPr>
      </w:pPr>
      <w:bookmarkStart w:colFirst="0" w:colLast="0" w:name="_qngabvt1aeao" w:id="4"/>
      <w:bookmarkEnd w:id="4"/>
      <w:r w:rsidDel="00000000" w:rsidR="00000000" w:rsidRPr="00000000">
        <w:rPr>
          <w:b w:val="1"/>
          <w:bCs w:val="1"/>
          <w:sz w:val="30"/>
          <w:szCs w:val="30"/>
          <w:rtl w:val="0"/>
        </w:rPr>
        <w:t xml:space="preserve">1.1</w:t>
      </w:r>
      <w:r w:rsidDel="00000000" w:rsidR="00000000" w:rsidRPr="00000000">
        <w:rPr>
          <w:rtl w:val="0"/>
        </w:rPr>
        <w:t xml:space="preserve"> Problem Significance</w:t>
      </w:r>
      <w:r w:rsidDel="00000000" w:rsidR="00000000" w:rsidRPr="00000000">
        <w:rPr>
          <w:rtl w:val="0"/>
        </w:rPr>
      </w:r>
    </w:p>
    <w:p w:rsidR="00000000" w:rsidDel="00000000" w:rsidP="00000000" w:rsidRDefault="00000000" w:rsidRPr="00000000" w14:paraId="00000059">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05A">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05B">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minimise avoidable costs and prevent defective kits from affecting downstream operations.</w:t>
      </w:r>
      <w:r w:rsidDel="00000000" w:rsidR="00000000" w:rsidRPr="00000000">
        <w:rPr>
          <w:rtl w:val="0"/>
        </w:rPr>
      </w:r>
    </w:p>
    <w:p w:rsidR="00000000" w:rsidDel="00000000" w:rsidP="00000000" w:rsidRDefault="00000000" w:rsidRPr="00000000" w14:paraId="0000005C">
      <w:pPr>
        <w:pStyle w:val="heading2"/>
        <w:rPr/>
      </w:pPr>
      <w:bookmarkStart w:colFirst="0" w:colLast="0" w:name="_wldk5j1n6lor" w:id="5"/>
      <w:bookmarkEnd w:id="5"/>
      <w:r w:rsidDel="00000000" w:rsidR="00000000" w:rsidRPr="00000000">
        <w:rPr>
          <w:rtl w:val="0"/>
        </w:rPr>
        <w:t xml:space="preserve">1.2 Root Cause Analysis, Current Solutions and Limitations</w:t>
      </w:r>
    </w:p>
    <w:p w:rsidR="00000000" w:rsidDel="00000000" w:rsidP="00000000" w:rsidRDefault="00000000" w:rsidRPr="00000000" w14:paraId="0000005D">
      <w:pPr>
        <w:spacing w:after="240" w:before="240" w:lineRule="auto"/>
        <w:rPr/>
      </w:pPr>
      <w:r w:rsidDel="00000000" w:rsidR="00000000" w:rsidRPr="00000000">
        <w:rPr>
          <w:rtl w:val="0"/>
        </w:rPr>
        <w:t xml:space="preserve">Kitting errors occur because manual packing depends heavily on human attention and judgement. Even with proper training and experience, workers may still make mistakes due to fatigue, stress, repetitive tasks, distractions, or time pressure.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[X].</w:t>
      </w:r>
    </w:p>
    <w:p w:rsidR="00000000" w:rsidDel="00000000" w:rsidP="00000000" w:rsidRDefault="00000000" w:rsidRPr="00000000" w14:paraId="0000005E">
      <w:pPr>
        <w:spacing w:after="240" w:before="240" w:lineRule="auto"/>
        <w:rPr/>
      </w:pPr>
      <w:commentRangeStart w:id="0"/>
      <w:r w:rsidDel="00000000" w:rsidR="00000000" w:rsidRPr="00000000">
        <w:rPr>
          <w:rtl w:val="0"/>
        </w:rPr>
        <w:t xml:space="preserve">Current solutions address this issue in different ways.</w:t>
      </w:r>
      <w:commentRangeEnd w:id="0"/>
      <w:r w:rsidDel="00000000" w:rsidR="00000000" w:rsidRPr="00000000">
        <w:commentReference w:id="0"/>
      </w:r>
      <w:r w:rsidDel="00000000" w:rsidR="00000000" w:rsidRPr="00000000">
        <w:rPr>
          <w:rtl w:val="0"/>
        </w:rPr>
        <w:t xml:space="preserve">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05F">
      <w:pPr>
        <w:spacing w:after="240" w:before="240" w:lineRule="auto"/>
        <w:rPr/>
      </w:pPr>
      <w:commentRangeStart w:id="1"/>
      <w:r w:rsidDel="00000000" w:rsidR="00000000" w:rsidRPr="00000000">
        <w:rPr>
          <w:rtl w:val="0"/>
        </w:rPr>
        <w:t xml:space="preserve">Another approach</w:t>
      </w:r>
      <w:commentRangeEnd w:id="1"/>
      <w:r w:rsidDel="00000000" w:rsidR="00000000" w:rsidRPr="00000000">
        <w:commentReference w:id="1"/>
      </w:r>
      <w:r w:rsidDel="00000000" w:rsidR="00000000" w:rsidRPr="00000000">
        <w:rPr>
          <w:rtl w:val="0"/>
        </w:rPr>
        <w:t xml:space="preserve">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060">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061">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rPr/>
      </w:pPr>
      <w:bookmarkStart w:colFirst="0" w:colLast="0" w:name="_b5qem0hnjy7l" w:id="6"/>
      <w:bookmarkEnd w:id="6"/>
      <w:commentRangeStart w:id="2"/>
      <w:r w:rsidDel="00000000" w:rsidR="00000000" w:rsidRPr="00000000">
        <w:rPr>
          <w:rtl w:val="0"/>
        </w:rPr>
        <w:t xml:space="preserve">1.4 Stakeholder Requirements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4">
      <w:pPr>
        <w:spacing w:after="160" w:line="300" w:lineRule="auto"/>
        <w:jc w:val="both"/>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5">
            <w:pPr>
              <w:jc w:val="center"/>
              <w:rPr>
                <w:b w:val="1"/>
                <w:bCs w:val="1"/>
                <w:color w:val="ffffff"/>
                <w:sz w:val="20"/>
                <w:szCs w:val="20"/>
              </w:rPr>
            </w:pPr>
            <w:r w:rsidDel="00000000" w:rsidR="00000000" w:rsidRPr="00000000">
              <w:rPr>
                <w:b w:val="1"/>
                <w:bCs w:val="1"/>
                <w:color w:val="ffffff"/>
                <w:sz w:val="20"/>
                <w:szCs w:val="20"/>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6">
            <w:pPr>
              <w:jc w:val="center"/>
              <w:rPr>
                <w:b w:val="1"/>
                <w:bCs w:val="1"/>
                <w:color w:val="ffffff"/>
                <w:sz w:val="20"/>
                <w:szCs w:val="20"/>
              </w:rPr>
            </w:pPr>
            <w:r w:rsidDel="00000000" w:rsidR="00000000" w:rsidRPr="00000000">
              <w:rPr>
                <w:b w:val="1"/>
                <w:bCs w:val="1"/>
                <w:color w:val="ffffff"/>
                <w:sz w:val="20"/>
                <w:szCs w:val="20"/>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7">
            <w:pPr>
              <w:jc w:val="center"/>
              <w:rPr>
                <w:b w:val="1"/>
                <w:bCs w:val="1"/>
                <w:color w:val="ffffff"/>
                <w:sz w:val="20"/>
                <w:szCs w:val="20"/>
              </w:rPr>
            </w:pPr>
            <w:r w:rsidDel="00000000" w:rsidR="00000000" w:rsidRPr="00000000">
              <w:rPr>
                <w:b w:val="1"/>
                <w:bCs w:val="1"/>
                <w:color w:val="ffffff"/>
                <w:sz w:val="20"/>
                <w:szCs w:val="20"/>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8">
            <w:pPr>
              <w:jc w:val="center"/>
              <w:rPr>
                <w:b w:val="1"/>
                <w:bCs w:val="1"/>
                <w:color w:val="ffffff"/>
                <w:sz w:val="20"/>
                <w:szCs w:val="20"/>
              </w:rPr>
            </w:pPr>
            <w:r w:rsidDel="00000000" w:rsidR="00000000" w:rsidRPr="00000000">
              <w:rPr>
                <w:b w:val="1"/>
                <w:bCs w:val="1"/>
                <w:color w:val="ffffff"/>
                <w:sz w:val="20"/>
                <w:szCs w:val="20"/>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9">
            <w:pPr>
              <w:rPr>
                <w:sz w:val="20"/>
                <w:szCs w:val="20"/>
              </w:rPr>
            </w:pPr>
            <w:r w:rsidDel="00000000" w:rsidR="00000000" w:rsidRPr="00000000">
              <w:rPr>
                <w:sz w:val="20"/>
                <w:szCs w:val="20"/>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A">
            <w:pPr>
              <w:rPr>
                <w:sz w:val="20"/>
                <w:szCs w:val="20"/>
              </w:rPr>
            </w:pPr>
            <w:r w:rsidDel="00000000" w:rsidR="00000000" w:rsidRPr="00000000">
              <w:rPr>
                <w:sz w:val="20"/>
                <w:szCs w:val="20"/>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B">
            <w:pPr>
              <w:rPr>
                <w:sz w:val="20"/>
                <w:szCs w:val="20"/>
              </w:rPr>
            </w:pPr>
            <w:r w:rsidDel="00000000" w:rsidR="00000000" w:rsidRPr="00000000">
              <w:rPr>
                <w:sz w:val="20"/>
                <w:szCs w:val="20"/>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C">
            <w:pPr>
              <w:rPr>
                <w:sz w:val="20"/>
                <w:szCs w:val="20"/>
              </w:rPr>
            </w:pPr>
            <w:r w:rsidDel="00000000" w:rsidR="00000000" w:rsidRPr="00000000">
              <w:rPr>
                <w:sz w:val="20"/>
                <w:szCs w:val="20"/>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D">
            <w:pPr>
              <w:rPr>
                <w:sz w:val="20"/>
                <w:szCs w:val="20"/>
              </w:rPr>
            </w:pPr>
            <w:r w:rsidDel="00000000" w:rsidR="00000000" w:rsidRPr="00000000">
              <w:rPr>
                <w:sz w:val="20"/>
                <w:szCs w:val="20"/>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E">
            <w:pPr>
              <w:rPr>
                <w:sz w:val="20"/>
                <w:szCs w:val="20"/>
              </w:rPr>
            </w:pPr>
            <w:r w:rsidDel="00000000" w:rsidR="00000000" w:rsidRPr="00000000">
              <w:rPr>
                <w:sz w:val="20"/>
                <w:szCs w:val="20"/>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F">
            <w:pPr>
              <w:rPr>
                <w:sz w:val="20"/>
                <w:szCs w:val="20"/>
              </w:rPr>
            </w:pPr>
            <w:r w:rsidDel="00000000" w:rsidR="00000000" w:rsidRPr="00000000">
              <w:rPr>
                <w:sz w:val="20"/>
                <w:szCs w:val="20"/>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0">
            <w:pPr>
              <w:rPr>
                <w:sz w:val="20"/>
                <w:szCs w:val="20"/>
              </w:rPr>
            </w:pPr>
            <w:r w:rsidDel="00000000" w:rsidR="00000000" w:rsidRPr="00000000">
              <w:rPr>
                <w:sz w:val="20"/>
                <w:szCs w:val="20"/>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1">
            <w:pPr>
              <w:rPr>
                <w:sz w:val="20"/>
                <w:szCs w:val="20"/>
              </w:rPr>
            </w:pPr>
            <w:r w:rsidDel="00000000" w:rsidR="00000000" w:rsidRPr="00000000">
              <w:rPr>
                <w:sz w:val="20"/>
                <w:szCs w:val="20"/>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2">
            <w:pPr>
              <w:rPr>
                <w:sz w:val="20"/>
                <w:szCs w:val="20"/>
              </w:rPr>
            </w:pPr>
            <w:r w:rsidDel="00000000" w:rsidR="00000000" w:rsidRPr="00000000">
              <w:rPr>
                <w:sz w:val="20"/>
                <w:szCs w:val="20"/>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3">
            <w:pPr>
              <w:rPr>
                <w:sz w:val="20"/>
                <w:szCs w:val="20"/>
              </w:rPr>
            </w:pPr>
            <w:r w:rsidDel="00000000" w:rsidR="00000000" w:rsidRPr="00000000">
              <w:rPr>
                <w:sz w:val="20"/>
                <w:szCs w:val="20"/>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4">
            <w:pPr>
              <w:rPr>
                <w:sz w:val="20"/>
                <w:szCs w:val="20"/>
              </w:rPr>
            </w:pPr>
            <w:r w:rsidDel="00000000" w:rsidR="00000000" w:rsidRPr="00000000">
              <w:rPr>
                <w:sz w:val="20"/>
                <w:szCs w:val="20"/>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5">
            <w:pPr>
              <w:rPr>
                <w:sz w:val="20"/>
                <w:szCs w:val="20"/>
              </w:rPr>
            </w:pPr>
            <w:r w:rsidDel="00000000" w:rsidR="00000000" w:rsidRPr="00000000">
              <w:rPr>
                <w:sz w:val="20"/>
                <w:szCs w:val="20"/>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6">
            <w:pPr>
              <w:rPr>
                <w:sz w:val="20"/>
                <w:szCs w:val="20"/>
              </w:rPr>
            </w:pPr>
            <w:r w:rsidDel="00000000" w:rsidR="00000000" w:rsidRPr="00000000">
              <w:rPr>
                <w:sz w:val="20"/>
                <w:szCs w:val="20"/>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7">
            <w:pPr>
              <w:rPr>
                <w:sz w:val="20"/>
                <w:szCs w:val="20"/>
              </w:rPr>
            </w:pPr>
            <w:r w:rsidDel="00000000" w:rsidR="00000000" w:rsidRPr="00000000">
              <w:rPr>
                <w:sz w:val="20"/>
                <w:szCs w:val="20"/>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8">
            <w:pPr>
              <w:rPr>
                <w:sz w:val="20"/>
                <w:szCs w:val="20"/>
              </w:rPr>
            </w:pPr>
            <w:r w:rsidDel="00000000" w:rsidR="00000000" w:rsidRPr="00000000">
              <w:rPr>
                <w:sz w:val="20"/>
                <w:szCs w:val="20"/>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9">
            <w:pPr>
              <w:rPr>
                <w:sz w:val="20"/>
                <w:szCs w:val="20"/>
              </w:rPr>
            </w:pPr>
            <w:r w:rsidDel="00000000" w:rsidR="00000000" w:rsidRPr="00000000">
              <w:rPr>
                <w:sz w:val="20"/>
                <w:szCs w:val="20"/>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A">
            <w:pPr>
              <w:rPr>
                <w:sz w:val="20"/>
                <w:szCs w:val="20"/>
              </w:rPr>
            </w:pPr>
            <w:r w:rsidDel="00000000" w:rsidR="00000000" w:rsidRPr="00000000">
              <w:rPr>
                <w:sz w:val="20"/>
                <w:szCs w:val="20"/>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B">
            <w:pPr>
              <w:rPr>
                <w:sz w:val="20"/>
                <w:szCs w:val="20"/>
              </w:rPr>
            </w:pPr>
            <w:r w:rsidDel="00000000" w:rsidR="00000000" w:rsidRPr="00000000">
              <w:rPr>
                <w:sz w:val="20"/>
                <w:szCs w:val="20"/>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C">
            <w:pPr>
              <w:rPr>
                <w:sz w:val="20"/>
                <w:szCs w:val="20"/>
              </w:rPr>
            </w:pPr>
            <w:r w:rsidDel="00000000" w:rsidR="00000000" w:rsidRPr="00000000">
              <w:rPr>
                <w:sz w:val="20"/>
                <w:szCs w:val="20"/>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D">
            <w:pPr>
              <w:rPr>
                <w:sz w:val="20"/>
                <w:szCs w:val="20"/>
              </w:rPr>
            </w:pPr>
            <w:r w:rsidDel="00000000" w:rsidR="00000000" w:rsidRPr="00000000">
              <w:rPr>
                <w:sz w:val="20"/>
                <w:szCs w:val="20"/>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E">
            <w:pPr>
              <w:rPr>
                <w:sz w:val="20"/>
                <w:szCs w:val="20"/>
              </w:rPr>
            </w:pPr>
            <w:r w:rsidDel="00000000" w:rsidR="00000000" w:rsidRPr="00000000">
              <w:rPr>
                <w:sz w:val="20"/>
                <w:szCs w:val="20"/>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F">
            <w:pPr>
              <w:rPr>
                <w:sz w:val="20"/>
                <w:szCs w:val="20"/>
              </w:rPr>
            </w:pPr>
            <w:r w:rsidDel="00000000" w:rsidR="00000000" w:rsidRPr="00000000">
              <w:rPr>
                <w:sz w:val="20"/>
                <w:szCs w:val="20"/>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0">
            <w:pPr>
              <w:rPr>
                <w:sz w:val="20"/>
                <w:szCs w:val="20"/>
              </w:rPr>
            </w:pPr>
            <w:r w:rsidDel="00000000" w:rsidR="00000000" w:rsidRPr="00000000">
              <w:rPr>
                <w:sz w:val="20"/>
                <w:szCs w:val="20"/>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1">
            <w:pPr>
              <w:rPr>
                <w:sz w:val="20"/>
                <w:szCs w:val="20"/>
              </w:rPr>
            </w:pPr>
            <w:r w:rsidDel="00000000" w:rsidR="00000000" w:rsidRPr="00000000">
              <w:rPr>
                <w:sz w:val="20"/>
                <w:szCs w:val="20"/>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2">
            <w:pPr>
              <w:rPr>
                <w:sz w:val="20"/>
                <w:szCs w:val="20"/>
              </w:rPr>
            </w:pPr>
            <w:r w:rsidDel="00000000" w:rsidR="00000000" w:rsidRPr="00000000">
              <w:rPr>
                <w:sz w:val="20"/>
                <w:szCs w:val="20"/>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3">
            <w:pPr>
              <w:rPr>
                <w:sz w:val="20"/>
                <w:szCs w:val="20"/>
              </w:rPr>
            </w:pPr>
            <w:r w:rsidDel="00000000" w:rsidR="00000000" w:rsidRPr="00000000">
              <w:rPr>
                <w:sz w:val="20"/>
                <w:szCs w:val="20"/>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4">
            <w:pPr>
              <w:rPr>
                <w:sz w:val="20"/>
                <w:szCs w:val="20"/>
              </w:rPr>
            </w:pPr>
            <w:r w:rsidDel="00000000" w:rsidR="00000000" w:rsidRPr="00000000">
              <w:rPr>
                <w:sz w:val="20"/>
                <w:szCs w:val="20"/>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5">
            <w:pPr>
              <w:rPr>
                <w:sz w:val="20"/>
                <w:szCs w:val="20"/>
              </w:rPr>
            </w:pPr>
            <w:r w:rsidDel="00000000" w:rsidR="00000000" w:rsidRPr="00000000">
              <w:rPr>
                <w:sz w:val="20"/>
                <w:szCs w:val="20"/>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6">
            <w:pPr>
              <w:rPr>
                <w:sz w:val="20"/>
                <w:szCs w:val="20"/>
              </w:rPr>
            </w:pPr>
            <w:r w:rsidDel="00000000" w:rsidR="00000000" w:rsidRPr="00000000">
              <w:rPr>
                <w:sz w:val="20"/>
                <w:szCs w:val="20"/>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7">
            <w:pPr>
              <w:rPr>
                <w:sz w:val="20"/>
                <w:szCs w:val="20"/>
              </w:rPr>
            </w:pPr>
            <w:r w:rsidDel="00000000" w:rsidR="00000000" w:rsidRPr="00000000">
              <w:rPr>
                <w:sz w:val="20"/>
                <w:szCs w:val="20"/>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8">
            <w:pPr>
              <w:rPr>
                <w:sz w:val="20"/>
                <w:szCs w:val="20"/>
              </w:rPr>
            </w:pPr>
            <w:r w:rsidDel="00000000" w:rsidR="00000000" w:rsidRPr="00000000">
              <w:rPr>
                <w:sz w:val="20"/>
                <w:szCs w:val="20"/>
                <w:rtl w:val="0"/>
              </w:rPr>
              <w:t xml:space="preserve">Hardware compatibility; performance validation</w:t>
            </w:r>
          </w:p>
        </w:tc>
      </w:tr>
    </w:tbl>
    <w:p w:rsidR="00000000" w:rsidDel="00000000" w:rsidP="00000000" w:rsidRDefault="00000000" w:rsidRPr="00000000" w14:paraId="00000089">
      <w:pPr>
        <w:spacing w:after="160" w:before="80" w:line="300" w:lineRule="auto"/>
        <w:jc w:val="center"/>
        <w:rPr>
          <w:b w:val="1"/>
          <w:bCs w:val="1"/>
        </w:rPr>
      </w:pPr>
      <w:commentRangeStart w:id="3"/>
      <w:r w:rsidDel="00000000" w:rsidR="00000000" w:rsidRPr="00000000">
        <w:rPr>
          <w:b w:val="1"/>
          <w:bCs w:val="1"/>
          <w:rtl w:val="0"/>
        </w:rPr>
        <w:t xml:space="preserve">Table 1.1: Stakeholder requirements summary.</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 </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pPr>
      <w:bookmarkStart w:colFirst="0" w:colLast="0" w:name="_7ife1qvf9jlf" w:id="7"/>
      <w:bookmarkEnd w:id="7"/>
      <w:r w:rsidDel="00000000" w:rsidR="00000000" w:rsidRPr="00000000">
        <w:rPr>
          <w:rtl w:val="0"/>
        </w:rPr>
        <w:t xml:space="preserve">1.5 Functional Requirements</w:t>
      </w:r>
    </w:p>
    <w:p w:rsidR="00000000" w:rsidDel="00000000" w:rsidP="00000000" w:rsidRDefault="00000000" w:rsidRPr="00000000" w14:paraId="0000008D">
      <w:pPr>
        <w:rPr/>
      </w:pPr>
      <w:r w:rsidDel="00000000" w:rsidR="00000000" w:rsidRPr="00000000">
        <w:rPr>
          <w:rtl w:val="0"/>
        </w:rPr>
        <w:t xml:space="preserve">The functional requirements of AEGIS are derived from the operational problem characterised in Sections 1.1 through 1.3 and from the stakeholder requirements defined in Section 1.4. They are presented below as discrete, verifiable requirements, distinguished from non-functional considerations where appropriate.</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90"/>
        <w:gridCol w:w="4035"/>
        <w:gridCol w:w="2745"/>
        <w:tblGridChange w:id="0">
          <w:tblGrid>
            <w:gridCol w:w="975"/>
            <w:gridCol w:w="1590"/>
            <w:gridCol w:w="4035"/>
            <w:gridCol w:w="274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E">
            <w:pPr>
              <w:spacing w:after="0" w:line="240" w:lineRule="auto"/>
              <w:rPr>
                <w:color w:val="ffffff"/>
              </w:rPr>
            </w:pPr>
            <w:r w:rsidDel="00000000" w:rsidR="00000000" w:rsidRPr="00000000">
              <w:rPr>
                <w:color w:val="ffffff"/>
                <w:rtl w:val="0"/>
              </w:rPr>
              <w:t xml:space="preserve">ID</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F">
            <w:pPr>
              <w:spacing w:after="0" w:line="240" w:lineRule="auto"/>
              <w:rPr>
                <w:color w:val="ffffff"/>
              </w:rPr>
            </w:pPr>
            <w:r w:rsidDel="00000000" w:rsidR="00000000" w:rsidRPr="00000000">
              <w:rPr>
                <w:color w:val="ffffff"/>
                <w:rtl w:val="0"/>
              </w:rPr>
              <w:t xml:space="preserve">Category</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90">
            <w:pPr>
              <w:spacing w:after="0" w:line="240" w:lineRule="auto"/>
              <w:rPr>
                <w:color w:val="ffffff"/>
              </w:rPr>
            </w:pPr>
            <w:r w:rsidDel="00000000" w:rsidR="00000000" w:rsidRPr="00000000">
              <w:rPr>
                <w:color w:val="ffffff"/>
                <w:rtl w:val="0"/>
              </w:rPr>
              <w:t xml:space="preserve">Requirement</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91">
            <w:pPr>
              <w:spacing w:after="0" w:line="240" w:lineRule="auto"/>
              <w:rPr>
                <w:color w:val="ffffff"/>
              </w:rPr>
            </w:pPr>
            <w:r w:rsidDel="00000000" w:rsidR="00000000" w:rsidRPr="00000000">
              <w:rPr>
                <w:color w:val="ffffff"/>
                <w:rtl w:val="0"/>
              </w:rPr>
              <w:t xml:space="preserve">Rationale</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2">
            <w:pPr>
              <w:spacing w:after="0" w:line="240" w:lineRule="auto"/>
              <w:rPr/>
            </w:pPr>
            <w:r w:rsidDel="00000000" w:rsidR="00000000" w:rsidRPr="00000000">
              <w:rPr>
                <w:rtl w:val="0"/>
              </w:rPr>
              <w:t xml:space="preserve">FR-01</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3">
            <w:pPr>
              <w:spacing w:after="0" w:line="240" w:lineRule="auto"/>
              <w:rPr/>
            </w:pPr>
            <w:r w:rsidDel="00000000" w:rsidR="00000000" w:rsidRPr="00000000">
              <w:rPr>
                <w:rtl w:val="0"/>
              </w:rPr>
              <w:t xml:space="preserve">Component Identification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4">
            <w:pPr>
              <w:spacing w:after="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5">
            <w:pPr>
              <w:spacing w:after="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6">
            <w:pPr>
              <w:spacing w:after="0" w:line="240" w:lineRule="auto"/>
              <w:rPr/>
            </w:pPr>
            <w:r w:rsidDel="00000000" w:rsidR="00000000" w:rsidRPr="00000000">
              <w:rPr>
                <w:rtl w:val="0"/>
              </w:rPr>
              <w:t xml:space="preserve">FR-02</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7">
            <w:pPr>
              <w:spacing w:after="0" w:line="240" w:lineRule="auto"/>
              <w:rPr/>
            </w:pPr>
            <w:r w:rsidDel="00000000" w:rsidR="00000000" w:rsidRPr="00000000">
              <w:rPr>
                <w:rtl w:val="0"/>
              </w:rPr>
              <w:t xml:space="preserve">Wrong Part Detection</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8">
            <w:pPr>
              <w:spacing w:after="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9">
            <w:pPr>
              <w:spacing w:after="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A">
            <w:pPr>
              <w:spacing w:after="0" w:line="240" w:lineRule="auto"/>
              <w:rPr/>
            </w:pPr>
            <w:r w:rsidDel="00000000" w:rsidR="00000000" w:rsidRPr="00000000">
              <w:rPr>
                <w:rtl w:val="0"/>
              </w:rPr>
              <w:t xml:space="preserve">FR-03</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B">
            <w:pPr>
              <w:spacing w:after="0" w:line="240" w:lineRule="auto"/>
              <w:rPr/>
            </w:pPr>
            <w:r w:rsidDel="00000000" w:rsidR="00000000" w:rsidRPr="00000000">
              <w:rPr>
                <w:rtl w:val="0"/>
              </w:rPr>
              <w:t xml:space="preserve">Missing Part Detection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C">
            <w:pPr>
              <w:spacing w:after="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D">
            <w:pPr>
              <w:spacing w:after="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E">
            <w:pPr>
              <w:spacing w:after="0" w:line="240" w:lineRule="auto"/>
              <w:rPr/>
            </w:pPr>
            <w:r w:rsidDel="00000000" w:rsidR="00000000" w:rsidRPr="00000000">
              <w:rPr>
                <w:rtl w:val="0"/>
              </w:rPr>
              <w:t xml:space="preserve">FR-04</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F">
            <w:pPr>
              <w:spacing w:after="0" w:line="240" w:lineRule="auto"/>
              <w:rPr/>
            </w:pPr>
            <w:r w:rsidDel="00000000" w:rsidR="00000000" w:rsidRPr="00000000">
              <w:rPr>
                <w:rtl w:val="0"/>
              </w:rPr>
              <w:t xml:space="preserve">Quantity Verification</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0">
            <w:pPr>
              <w:spacing w:after="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1">
            <w:pPr>
              <w:spacing w:after="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2">
            <w:pPr>
              <w:spacing w:after="0" w:line="240" w:lineRule="auto"/>
              <w:rPr/>
            </w:pPr>
            <w:r w:rsidDel="00000000" w:rsidR="00000000" w:rsidRPr="00000000">
              <w:rPr>
                <w:rtl w:val="0"/>
              </w:rPr>
              <w:t xml:space="preserve">FR-05</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3">
            <w:pPr>
              <w:spacing w:after="0" w:line="240" w:lineRule="auto"/>
              <w:rPr/>
            </w:pPr>
            <w:r w:rsidDel="00000000" w:rsidR="00000000" w:rsidRPr="00000000">
              <w:rPr>
                <w:rtl w:val="0"/>
              </w:rPr>
              <w:t xml:space="preserve">Real-Time Alerting</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4">
            <w:pPr>
              <w:spacing w:after="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5">
            <w:pPr>
              <w:spacing w:after="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6">
            <w:pPr>
              <w:spacing w:after="0" w:line="240" w:lineRule="auto"/>
              <w:rPr/>
            </w:pPr>
            <w:r w:rsidDel="00000000" w:rsidR="00000000" w:rsidRPr="00000000">
              <w:rPr>
                <w:rtl w:val="0"/>
              </w:rPr>
              <w:t xml:space="preserve">FR-06</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7">
            <w:pPr>
              <w:spacing w:after="0" w:line="240" w:lineRule="auto"/>
              <w:rPr/>
            </w:pPr>
            <w:r w:rsidDel="00000000" w:rsidR="00000000" w:rsidRPr="00000000">
              <w:rPr>
                <w:rtl w:val="0"/>
              </w:rPr>
              <w:t xml:space="preserve">Corrective Guidance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8">
            <w:pPr>
              <w:spacing w:after="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9">
            <w:pPr>
              <w:spacing w:after="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A">
            <w:pPr>
              <w:spacing w:after="0" w:line="240" w:lineRule="auto"/>
              <w:rPr/>
            </w:pPr>
            <w:r w:rsidDel="00000000" w:rsidR="00000000" w:rsidRPr="00000000">
              <w:rPr>
                <w:rtl w:val="0"/>
              </w:rPr>
              <w:t xml:space="preserve">FR-07</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B">
            <w:pPr>
              <w:spacing w:after="0" w:line="240" w:lineRule="auto"/>
              <w:rPr/>
            </w:pPr>
            <w:r w:rsidDel="00000000" w:rsidR="00000000" w:rsidRPr="00000000">
              <w:rPr>
                <w:rtl w:val="0"/>
              </w:rPr>
              <w:t xml:space="preserve">Order Integration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C">
            <w:pPr>
              <w:spacing w:after="0" w:line="240" w:lineRule="auto"/>
              <w:rPr/>
            </w:pPr>
            <w:r w:rsidDel="00000000" w:rsidR="00000000" w:rsidRPr="00000000">
              <w:rPr>
                <w:rtl w:val="0"/>
              </w:rPr>
              <w:t xml:space="preserve">The system shall accept order specifications — including component identities, bin assignments, and required quantities — as inputs to define the verification context for each kit.</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D">
            <w:pPr>
              <w:spacing w:after="0" w:line="240" w:lineRule="auto"/>
              <w:rPr/>
            </w:pPr>
            <w:r w:rsidDel="00000000" w:rsidR="00000000" w:rsidRPr="00000000">
              <w:rPr>
                <w:rtl w:val="0"/>
              </w:rPr>
              <w:t xml:space="preserve">Verification must be order-specific; a part correct for one order may be incorrect for another.</w:t>
            </w:r>
          </w:p>
        </w:tc>
      </w:tr>
      <w:tr>
        <w:trPr>
          <w:cantSplit w:val="0"/>
          <w:trHeight w:val="1845"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E">
            <w:pPr>
              <w:spacing w:after="0" w:line="240" w:lineRule="auto"/>
              <w:rPr/>
            </w:pPr>
            <w:r w:rsidDel="00000000" w:rsidR="00000000" w:rsidRPr="00000000">
              <w:rPr>
                <w:rtl w:val="0"/>
              </w:rPr>
              <w:t xml:space="preserve">FR-08</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F">
            <w:pPr>
              <w:spacing w:after="0" w:line="240" w:lineRule="auto"/>
              <w:rPr/>
            </w:pPr>
            <w:r w:rsidDel="00000000" w:rsidR="00000000" w:rsidRPr="00000000">
              <w:rPr>
                <w:rtl w:val="0"/>
              </w:rPr>
              <w:t xml:space="preserve">New Part Onboarding</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0">
            <w:pPr>
              <w:spacing w:after="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1">
            <w:pPr>
              <w:spacing w:after="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2">
            <w:pPr>
              <w:spacing w:after="0" w:line="240" w:lineRule="auto"/>
              <w:rPr/>
            </w:pPr>
            <w:r w:rsidDel="00000000" w:rsidR="00000000" w:rsidRPr="00000000">
              <w:rPr>
                <w:rtl w:val="0"/>
              </w:rPr>
              <w:t xml:space="preserve">FR-09</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3">
            <w:pPr>
              <w:spacing w:after="0" w:line="240" w:lineRule="auto"/>
              <w:rPr/>
            </w:pPr>
            <w:r w:rsidDel="00000000" w:rsidR="00000000" w:rsidRPr="00000000">
              <w:rPr>
                <w:rtl w:val="0"/>
              </w:rPr>
              <w:t xml:space="preserve">Environmental Robustness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4">
            <w:pPr>
              <w:spacing w:after="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5">
            <w:pPr>
              <w:spacing w:after="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6">
            <w:pPr>
              <w:spacing w:after="0" w:line="240" w:lineRule="auto"/>
              <w:rPr/>
            </w:pPr>
            <w:r w:rsidDel="00000000" w:rsidR="00000000" w:rsidRPr="00000000">
              <w:rPr>
                <w:rtl w:val="0"/>
              </w:rPr>
              <w:t xml:space="preserve">FR-10</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7">
            <w:pPr>
              <w:spacing w:after="0" w:line="240" w:lineRule="auto"/>
              <w:rPr/>
            </w:pPr>
            <w:r w:rsidDel="00000000" w:rsidR="00000000" w:rsidRPr="00000000">
              <w:rPr>
                <w:rtl w:val="0"/>
              </w:rPr>
              <w:t xml:space="preserve">Supervisor Visibility</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8">
            <w:pPr>
              <w:spacing w:after="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9">
            <w:pPr>
              <w:spacing w:after="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A">
            <w:pPr>
              <w:spacing w:after="0" w:line="240" w:lineRule="auto"/>
              <w:rPr/>
            </w:pPr>
            <w:r w:rsidDel="00000000" w:rsidR="00000000" w:rsidRPr="00000000">
              <w:rPr>
                <w:rtl w:val="0"/>
              </w:rPr>
              <w:t xml:space="preserve">FR-11</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B">
            <w:pPr>
              <w:spacing w:after="0" w:line="240" w:lineRule="auto"/>
              <w:rPr/>
            </w:pPr>
            <w:r w:rsidDel="00000000" w:rsidR="00000000" w:rsidRPr="00000000">
              <w:rPr>
                <w:rtl w:val="0"/>
              </w:rPr>
              <w:t xml:space="preserve">Scalability</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C">
            <w:pPr>
              <w:spacing w:after="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D">
            <w:pPr>
              <w:spacing w:after="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0BE">
      <w:pPr>
        <w:spacing w:after="160" w:before="80" w:line="300" w:lineRule="auto"/>
        <w:jc w:val="center"/>
        <w:rPr>
          <w:b w:val="1"/>
          <w:bCs w:val="1"/>
        </w:rPr>
      </w:pPr>
      <w:r w:rsidDel="00000000" w:rsidR="00000000" w:rsidRPr="00000000">
        <w:rPr>
          <w:b w:val="1"/>
          <w:bCs w:val="1"/>
          <w:rtl w:val="0"/>
        </w:rPr>
        <w:t xml:space="preserve">Table 1.2: Functional requirements for the AEGIS system.</w:t>
      </w:r>
    </w:p>
    <w:p w:rsidR="00000000" w:rsidDel="00000000" w:rsidP="00000000" w:rsidRDefault="00000000" w:rsidRPr="00000000" w14:paraId="000000BF">
      <w:pPr>
        <w:rPr/>
      </w:pPr>
      <w:r w:rsidDel="00000000" w:rsidR="00000000" w:rsidRPr="00000000">
        <w:rPr>
          <w:rtl w:val="0"/>
        </w:rPr>
        <w:t xml:space="preserve">In addition to the functional requirements above, a few non-functional considerations that constrain the design.</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1590"/>
        <w:gridCol w:w="3915"/>
        <w:gridCol w:w="2745"/>
        <w:tblGridChange w:id="0">
          <w:tblGrid>
            <w:gridCol w:w="1095"/>
            <w:gridCol w:w="1590"/>
            <w:gridCol w:w="3915"/>
            <w:gridCol w:w="274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C0">
            <w:pPr>
              <w:spacing w:after="0" w:line="240" w:lineRule="auto"/>
              <w:rPr>
                <w:color w:val="ffffff"/>
              </w:rPr>
            </w:pPr>
            <w:r w:rsidDel="00000000" w:rsidR="00000000" w:rsidRPr="00000000">
              <w:rPr>
                <w:color w:val="ffffff"/>
                <w:rtl w:val="0"/>
              </w:rPr>
              <w:t xml:space="preserve">ID</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C1">
            <w:pPr>
              <w:spacing w:after="0" w:line="240" w:lineRule="auto"/>
              <w:rPr>
                <w:color w:val="ffffff"/>
              </w:rPr>
            </w:pPr>
            <w:r w:rsidDel="00000000" w:rsidR="00000000" w:rsidRPr="00000000">
              <w:rPr>
                <w:color w:val="ffffff"/>
                <w:rtl w:val="0"/>
              </w:rPr>
              <w:t xml:space="preserve">Category</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C2">
            <w:pPr>
              <w:spacing w:after="0" w:line="240" w:lineRule="auto"/>
              <w:rPr>
                <w:color w:val="ffffff"/>
              </w:rPr>
            </w:pPr>
            <w:r w:rsidDel="00000000" w:rsidR="00000000" w:rsidRPr="00000000">
              <w:rPr>
                <w:color w:val="ffffff"/>
                <w:rtl w:val="0"/>
              </w:rPr>
              <w:t xml:space="preserve">Requirement</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C3">
            <w:pPr>
              <w:spacing w:after="0" w:line="240" w:lineRule="auto"/>
              <w:rPr>
                <w:color w:val="ffffff"/>
              </w:rPr>
            </w:pPr>
            <w:r w:rsidDel="00000000" w:rsidR="00000000" w:rsidRPr="00000000">
              <w:rPr>
                <w:color w:val="ffffff"/>
                <w:rtl w:val="0"/>
              </w:rPr>
              <w:t xml:space="preserve">Rationale</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4">
            <w:pPr>
              <w:spacing w:after="0" w:line="240" w:lineRule="auto"/>
              <w:rPr/>
            </w:pPr>
            <w:r w:rsidDel="00000000" w:rsidR="00000000" w:rsidRPr="00000000">
              <w:rPr>
                <w:rtl w:val="0"/>
              </w:rPr>
              <w:t xml:space="preserve">NFD-01</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5">
            <w:pPr>
              <w:spacing w:after="0" w:line="240" w:lineRule="auto"/>
              <w:rPr/>
            </w:pPr>
            <w:r w:rsidDel="00000000" w:rsidR="00000000" w:rsidRPr="00000000">
              <w:rPr>
                <w:rtl w:val="0"/>
              </w:rPr>
              <w:t xml:space="preserve">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6">
            <w:pPr>
              <w:spacing w:after="0" w:line="240" w:lineRule="auto"/>
              <w:rPr/>
            </w:pPr>
            <w:r w:rsidDel="00000000" w:rsidR="00000000" w:rsidRPr="00000000">
              <w:rPr>
                <w:rtl w:val="0"/>
              </w:rPr>
              <w:t xml:space="preserve">The system must not measurably increase the per-kit cycle time under normal, error-free kitting conditions. </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7">
            <w:pPr>
              <w:spacing w:after="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C8">
            <w:pPr>
              <w:spacing w:after="0" w:line="240" w:lineRule="auto"/>
              <w:rPr/>
            </w:pPr>
            <w:commentRangeStart w:id="4"/>
            <w:commentRangeStart w:id="5"/>
            <w:r w:rsidDel="00000000" w:rsidR="00000000" w:rsidRPr="00000000">
              <w:rPr>
                <w:rtl w:val="0"/>
              </w:rPr>
              <w:t xml:space="preserve">NFD-02</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C9">
            <w:pPr>
              <w:spacing w:after="0" w:line="240" w:lineRule="auto"/>
              <w:rPr/>
            </w:pPr>
            <w:r w:rsidDel="00000000" w:rsidR="00000000" w:rsidRPr="00000000">
              <w:rPr>
                <w:rtl w:val="0"/>
              </w:rPr>
              <w:t xml:space="preserve">Cost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CA">
            <w:pPr>
              <w:spacing w:after="0" w:line="240" w:lineRule="auto"/>
              <w:rPr/>
            </w:pPr>
            <w:r w:rsidDel="00000000" w:rsidR="00000000" w:rsidRPr="00000000">
              <w:rPr>
                <w:rtl w:val="0"/>
              </w:rPr>
              <w:t xml:space="preserve">The total hardware cost per workstation must remain below </w:t>
            </w:r>
            <w:commentRangeStart w:id="6"/>
            <w:r w:rsidDel="00000000" w:rsidR="00000000" w:rsidRPr="00000000">
              <w:rPr>
                <w:rtl w:val="0"/>
              </w:rPr>
              <w:t xml:space="preserve">USD 10,000.</w:t>
            </w:r>
            <w:commentRangeEnd w:id="6"/>
            <w:r w:rsidDel="00000000" w:rsidR="00000000" w:rsidRPr="00000000">
              <w:commentReference w:id="6"/>
            </w:r>
            <w:r w:rsidDel="00000000" w:rsidR="00000000" w:rsidRPr="00000000">
              <w:rPr>
                <w:rtl w:val="0"/>
              </w:rPr>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CB">
            <w:pPr>
              <w:spacing w:after="0" w:line="240" w:lineRule="auto"/>
              <w:rPr/>
            </w:pPr>
            <w:r w:rsidDel="00000000" w:rsidR="00000000" w:rsidRPr="00000000">
              <w:rPr>
                <w:rtl w:val="0"/>
              </w:rPr>
              <w:t xml:space="preserve">This is based on the lower bound of the annual per-line COPQ and supports a positive return on investment within the first year of operation. </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C">
            <w:pPr>
              <w:spacing w:after="0" w:line="240" w:lineRule="auto"/>
              <w:rPr/>
            </w:pP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NFD-03</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D">
            <w:pPr>
              <w:spacing w:after="0" w:line="240" w:lineRule="auto"/>
              <w:rPr/>
            </w:pPr>
            <w:r w:rsidDel="00000000" w:rsidR="00000000" w:rsidRPr="00000000">
              <w:rPr>
                <w:rtl w:val="0"/>
              </w:rPr>
              <w:t xml:space="preserve">Deployability</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E">
            <w:pPr>
              <w:spacing w:after="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F">
            <w:pPr>
              <w:spacing w:after="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D0">
            <w:pPr>
              <w:spacing w:after="0" w:line="240" w:lineRule="auto"/>
              <w:rPr/>
            </w:pPr>
            <w:r w:rsidDel="00000000" w:rsidR="00000000" w:rsidRPr="00000000">
              <w:rPr>
                <w:rtl w:val="0"/>
              </w:rPr>
              <w:t xml:space="preserve">NFD-04</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D1">
            <w:pPr>
              <w:spacing w:after="0" w:line="240" w:lineRule="auto"/>
              <w:rPr/>
            </w:pPr>
            <w:r w:rsidDel="00000000" w:rsidR="00000000" w:rsidRPr="00000000">
              <w:rPr>
                <w:rtl w:val="0"/>
              </w:rPr>
              <w:t xml:space="preserve">Data Security</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D2">
            <w:pPr>
              <w:spacing w:after="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D3">
            <w:pPr>
              <w:spacing w:after="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0D4">
      <w:pPr>
        <w:jc w:val="center"/>
        <w:rPr>
          <w:b w:val="1"/>
          <w:bCs w:val="1"/>
        </w:rPr>
      </w:pPr>
      <w:r w:rsidDel="00000000" w:rsidR="00000000" w:rsidRPr="00000000">
        <w:rPr>
          <w:b w:val="1"/>
          <w:bCs w:val="1"/>
          <w:rtl w:val="0"/>
        </w:rPr>
        <w:t xml:space="preserve">Table 1.3: Non-Functional Demands for the AEGIS system</w:t>
      </w:r>
    </w:p>
    <w:p w:rsidR="00000000" w:rsidDel="00000000" w:rsidP="00000000" w:rsidRDefault="00000000" w:rsidRPr="00000000" w14:paraId="000000D5">
      <w:pPr>
        <w:pStyle w:val="heading2"/>
        <w:rPr/>
      </w:pPr>
      <w:bookmarkStart w:colFirst="0" w:colLast="0" w:name="_fi45rooyw9zn" w:id="8"/>
      <w:bookmarkEnd w:id="8"/>
      <w:r w:rsidDel="00000000" w:rsidR="00000000" w:rsidRPr="00000000">
        <w:rPr>
          <w:rtl w:val="0"/>
        </w:rPr>
        <w:t xml:space="preserve">1.6 Value Proposition &amp; Scope</w:t>
      </w:r>
    </w:p>
    <w:p w:rsidR="00000000" w:rsidDel="00000000" w:rsidP="00000000" w:rsidRDefault="00000000" w:rsidRPr="00000000" w14:paraId="000000D6">
      <w:pPr>
        <w:pStyle w:val="heading3"/>
        <w:spacing w:after="160" w:line="300" w:lineRule="auto"/>
        <w:rPr/>
      </w:pPr>
      <w:bookmarkStart w:colFirst="0" w:colLast="0" w:name="_dzq5tfdcmcq6" w:id="9"/>
      <w:bookmarkEnd w:id="9"/>
      <w:r w:rsidDel="00000000" w:rsidR="00000000" w:rsidRPr="00000000">
        <w:rPr>
          <w:rtl w:val="0"/>
        </w:rPr>
        <w:t xml:space="preserve">1.6.1 </w:t>
      </w:r>
      <w:commentRangeStart w:id="7"/>
      <w:r w:rsidDel="00000000" w:rsidR="00000000" w:rsidRPr="00000000">
        <w:rPr>
          <w:rtl w:val="0"/>
        </w:rPr>
        <w:t xml:space="preserve">Project Scope</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D7">
      <w:pPr>
        <w:spacing w:after="160" w:line="30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0D8">
      <w:pPr>
        <w:spacing w:after="160" w:line="30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0D9">
      <w:pPr>
        <w:spacing w:after="160" w:line="30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w:t>
      </w:r>
      <w:commentRangeStart w:id="8"/>
      <w:r w:rsidDel="00000000" w:rsidR="00000000" w:rsidRPr="00000000">
        <w:rPr>
          <w:rtl w:val="0"/>
        </w:rPr>
        <w:t xml:space="preserve">modification of existing standard operating procedures</w:t>
      </w:r>
      <w:commentRangeEnd w:id="8"/>
      <w:r w:rsidDel="00000000" w:rsidR="00000000" w:rsidRPr="00000000">
        <w:commentReference w:id="8"/>
      </w:r>
      <w:r w:rsidDel="00000000" w:rsidR="00000000" w:rsidRPr="00000000">
        <w:rPr>
          <w:rtl w:val="0"/>
        </w:rPr>
        <w:t xml:space="preserve">; and the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0DA">
      <w:pPr>
        <w:spacing w:after="160" w:line="30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consistent with the robustness requirements stated in FR-09.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0DB">
      <w:pPr>
        <w:pStyle w:val="heading3"/>
        <w:rPr/>
      </w:pPr>
      <w:bookmarkStart w:colFirst="0" w:colLast="0" w:name="_7c6m3237jnae" w:id="10"/>
      <w:bookmarkEnd w:id="10"/>
      <w:r w:rsidDel="00000000" w:rsidR="00000000" w:rsidRPr="00000000">
        <w:rPr>
          <w:rtl w:val="0"/>
        </w:rPr>
        <w:br w:type="textWrapping"/>
        <w:t xml:space="preserve">1.6.2 Value </w:t>
      </w:r>
      <w:commentRangeStart w:id="9"/>
      <w:r w:rsidDel="00000000" w:rsidR="00000000" w:rsidRPr="00000000">
        <w:rPr>
          <w:rtl w:val="0"/>
        </w:rPr>
        <w:t xml:space="preserve">Proposition</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DC">
      <w:pPr>
        <w:spacing w:after="160" w:line="300" w:lineRule="auto"/>
        <w:jc w:val="both"/>
        <w:rPr/>
      </w:pPr>
      <w:r w:rsidDel="00000000" w:rsidR="00000000" w:rsidRPr="00000000">
        <w:rPr>
          <w:rtl w:val="0"/>
        </w:rPr>
        <w:t xml:space="preserve">AEGIS addresses a well-defined operational gap: the absence of real-time, part-specific error detection and corrective guidance at the cell kitting workstation. The system's value is grounded in three distinct contributions relative to the current state at TE Connectivity.</w:t>
      </w:r>
    </w:p>
    <w:p w:rsidR="00000000" w:rsidDel="00000000" w:rsidP="00000000" w:rsidRDefault="00000000" w:rsidRPr="00000000" w14:paraId="000000DD">
      <w:pPr>
        <w:spacing w:after="160" w:line="300" w:lineRule="auto"/>
        <w:jc w:val="both"/>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0DE">
      <w:pPr>
        <w:spacing w:after="160" w:line="300" w:lineRule="auto"/>
        <w:jc w:val="both"/>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0DF">
      <w:pPr>
        <w:spacing w:after="160" w:line="300" w:lineRule="auto"/>
        <w:jc w:val="both"/>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0E0">
      <w:pPr>
        <w:pStyle w:val="heading1"/>
        <w:rPr/>
      </w:pPr>
      <w:bookmarkStart w:colFirst="0" w:colLast="0" w:name="_tefvihbhbekz" w:id="11"/>
      <w:bookmarkEnd w:id="11"/>
      <w:r w:rsidDel="00000000" w:rsidR="00000000" w:rsidRPr="00000000">
        <w:rPr>
          <w:rtl w:val="0"/>
        </w:rPr>
        <w:t xml:space="preserve">Chapter 2: Design Overview</w:t>
      </w:r>
    </w:p>
    <w:p w:rsidR="00000000" w:rsidDel="00000000" w:rsidP="00000000" w:rsidRDefault="00000000" w:rsidRPr="00000000" w14:paraId="000000E1">
      <w:pPr>
        <w:pStyle w:val="heading2"/>
        <w:rPr/>
      </w:pPr>
      <w:bookmarkStart w:colFirst="0" w:colLast="0" w:name="_fywolwtz9xz7" w:id="12"/>
      <w:bookmarkEnd w:id="12"/>
      <w:r w:rsidDel="00000000" w:rsidR="00000000" w:rsidRPr="00000000">
        <w:rPr>
          <w:rtl w:val="0"/>
        </w:rPr>
        <w:t xml:space="preserve">2.1 Concept Overview</w:t>
      </w:r>
    </w:p>
    <w:p w:rsidR="00000000" w:rsidDel="00000000" w:rsidP="00000000" w:rsidRDefault="00000000" w:rsidRPr="00000000" w14:paraId="000000E2">
      <w:pPr>
        <w:pStyle w:val="heading2"/>
        <w:rPr/>
      </w:pPr>
      <w:bookmarkStart w:colFirst="0" w:colLast="0" w:name="_jzmwcsp2b6uh" w:id="13"/>
      <w:bookmarkEnd w:id="13"/>
      <w:r w:rsidDel="00000000" w:rsidR="00000000" w:rsidRPr="00000000">
        <w:rPr>
          <w:rtl w:val="0"/>
        </w:rPr>
        <w:t xml:space="preserve">2.2 Design Selection</w:t>
      </w:r>
    </w:p>
    <w:p w:rsidR="00000000" w:rsidDel="00000000" w:rsidP="00000000" w:rsidRDefault="00000000" w:rsidRPr="00000000" w14:paraId="000000E3">
      <w:pPr>
        <w:rPr/>
      </w:pPr>
      <w:r w:rsidDel="00000000" w:rsidR="00000000" w:rsidRPr="00000000">
        <w:rPr>
          <w:rtl w:val="0"/>
        </w:rPr>
        <w:t xml:space="preserve">This section presents a morphological matrix of each feature and our options of approach towards it. It is split into two levels, 2.2.1 which covers the systemic decisions, while 2.2.2 covers the software and hardware selections</w:t>
      </w:r>
    </w:p>
    <w:p w:rsidR="00000000" w:rsidDel="00000000" w:rsidP="00000000" w:rsidRDefault="00000000" w:rsidRPr="00000000" w14:paraId="000000E4">
      <w:pPr>
        <w:pStyle w:val="heading3"/>
        <w:rPr/>
      </w:pPr>
      <w:bookmarkStart w:colFirst="0" w:colLast="0" w:name="_myaryhdpz8yq" w:id="14"/>
      <w:bookmarkEnd w:id="14"/>
      <w:r w:rsidDel="00000000" w:rsidR="00000000" w:rsidRPr="00000000">
        <w:rPr>
          <w:rtl w:val="0"/>
        </w:rPr>
        <w:t xml:space="preserve">2.2.1 System Selection</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10"/>
            <w:r w:rsidDel="00000000" w:rsidR="00000000" w:rsidRPr="00000000">
              <w:rPr>
                <w:rtl w:val="0"/>
              </w:rPr>
              <w:t xml:space="preserve">Feedback</w:t>
            </w:r>
            <w:commentRangeEnd w:id="10"/>
            <w:r w:rsidDel="00000000" w:rsidR="00000000" w:rsidRPr="00000000">
              <w:commentReference w:id="10"/>
            </w:r>
            <w:r w:rsidDel="00000000" w:rsidR="00000000" w:rsidRPr="00000000">
              <w:rPr>
                <w:rtl w:val="0"/>
              </w:rPr>
              <w:t xml:space="preserve">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jc w:val="left"/>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left"/>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left"/>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Most Accurate and readily available models</w:t>
            </w:r>
          </w:p>
        </w:tc>
      </w:tr>
    </w:tbl>
    <w:p w:rsidR="00000000" w:rsidDel="00000000" w:rsidP="00000000" w:rsidRDefault="00000000" w:rsidRPr="00000000" w14:paraId="00000115">
      <w:pPr>
        <w:pStyle w:val="heading3"/>
        <w:rPr/>
      </w:pPr>
      <w:bookmarkStart w:colFirst="0" w:colLast="0" w:name="_dossv39ti4nj" w:id="15"/>
      <w:bookmarkEnd w:id="15"/>
      <w:r w:rsidDel="00000000" w:rsidR="00000000" w:rsidRPr="00000000">
        <w:rPr>
          <w:rtl w:val="0"/>
        </w:rPr>
        <w:t xml:space="preserve">2.2.2 Detailed Selection</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 </w:t>
            </w:r>
            <w:commentRangeStart w:id="11"/>
            <w:r w:rsidDel="00000000" w:rsidR="00000000" w:rsidRPr="00000000">
              <w:rPr>
                <w:rtl w:val="0"/>
              </w:rPr>
              <w:t xml:space="preserve">Sensors</w:t>
            </w:r>
            <w:commentRangeEnd w:id="11"/>
            <w:r w:rsidDel="00000000" w:rsidR="00000000" w:rsidRPr="00000000">
              <w:commentReference w:id="11"/>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Straight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load 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newton 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diaphragm and then 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3"/>
        <w:rPr/>
      </w:pPr>
      <w:bookmarkStart w:colFirst="0" w:colLast="0" w:name="_xeve8x7p894" w:id="16"/>
      <w:bookmarkEnd w:id="16"/>
      <w:commentRangeStart w:id="12"/>
      <w:r w:rsidDel="00000000" w:rsidR="00000000" w:rsidRPr="00000000">
        <w:rPr>
          <w:rtl w:val="0"/>
        </w:rPr>
        <w:t xml:space="preserve">2.2.3 Finite State Machine (Operator workflow and edge cases)?</w:t>
      </w:r>
      <w:commentRangeEnd w:id="12"/>
      <w:r w:rsidDel="00000000" w:rsidR="00000000" w:rsidRPr="00000000">
        <w:commentReference w:id="12"/>
      </w: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1"/>
        <w:rPr/>
      </w:pPr>
      <w:bookmarkStart w:colFirst="0" w:colLast="0" w:name="_xatr6jg911xu" w:id="17"/>
      <w:bookmarkEnd w:id="17"/>
      <w:r w:rsidDel="00000000" w:rsidR="00000000" w:rsidRPr="00000000">
        <w:rPr>
          <w:rtl w:val="0"/>
        </w:rPr>
        <w:t xml:space="preserve">Chapter 3: Prototype Development</w:t>
      </w:r>
    </w:p>
    <w:p w:rsidR="00000000" w:rsidDel="00000000" w:rsidP="00000000" w:rsidRDefault="00000000" w:rsidRPr="00000000" w14:paraId="0000013D">
      <w:pPr>
        <w:rPr/>
      </w:pPr>
      <w:r w:rsidDel="00000000" w:rsidR="00000000" w:rsidRPr="00000000">
        <w:rPr>
          <w:rtl w:val="0"/>
        </w:rPr>
        <w:t xml:space="preserve">Each section - Physical Frame, Computer Vision, UI, and Load cells were prototyped independently. Only when they fulfilled their minimum criteria alone was full integration testing done.</w:t>
      </w:r>
    </w:p>
    <w:p w:rsidR="00000000" w:rsidDel="00000000" w:rsidP="00000000" w:rsidRDefault="00000000" w:rsidRPr="00000000" w14:paraId="0000013E">
      <w:pPr>
        <w:pStyle w:val="heading2"/>
        <w:rPr/>
      </w:pPr>
      <w:bookmarkStart w:colFirst="0" w:colLast="0" w:name="_xoxlyy5yxss6" w:id="18"/>
      <w:bookmarkEnd w:id="18"/>
      <w:r w:rsidDel="00000000" w:rsidR="00000000" w:rsidRPr="00000000">
        <w:rPr>
          <w:rtl w:val="0"/>
        </w:rPr>
        <w:t xml:space="preserve">3.1 Physical Frame</w:t>
      </w:r>
    </w:p>
    <w:p w:rsidR="00000000" w:rsidDel="00000000" w:rsidP="00000000" w:rsidRDefault="00000000" w:rsidRPr="00000000" w14:paraId="0000013F">
      <w:pPr>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140">
      <w:pPr>
        <w:pStyle w:val="heading3"/>
        <w:rPr/>
      </w:pPr>
      <w:bookmarkStart w:colFirst="0" w:colLast="0" w:name="_u63qbhveam8p" w:id="19"/>
      <w:bookmarkEnd w:id="19"/>
      <w:r w:rsidDel="00000000" w:rsidR="00000000" w:rsidRPr="00000000">
        <w:rPr>
          <w:rtl w:val="0"/>
        </w:rPr>
        <w:t xml:space="preserve">3.1.1 Fixed Near-Overhead Camera and Addressable Two-Tiered Grid</w:t>
      </w:r>
    </w:p>
    <w:p w:rsidR="00000000" w:rsidDel="00000000" w:rsidP="00000000" w:rsidRDefault="00000000" w:rsidRPr="00000000" w14:paraId="00000141">
      <w:pPr>
        <w:widowControl w:val="0"/>
        <w:spacing w:line="300" w:lineRule="auto"/>
        <w:jc w:val="left"/>
        <w:rPr/>
      </w:pPr>
      <w:r w:rsidDel="00000000" w:rsidR="00000000" w:rsidRPr="00000000">
        <w:rPr>
          <w:rtl w:val="0"/>
        </w:rPr>
        <w:t xml:space="preserve">The physical setup features a rigid frame supporting an overhead camera mounted at a static height of approximately 254 cm (100 in) above the primary reference layer </w:t>
      </w:r>
      <w:r w:rsidDel="00000000" w:rsidR="00000000" w:rsidRPr="00000000">
        <w:rPr>
          <w:rtl w:val="0"/>
        </w:rPr>
        <w:t xml:space="preserve">[Appendix A]</w:t>
      </w:r>
      <w:r w:rsidDel="00000000" w:rsidR="00000000" w:rsidRPr="00000000">
        <w:rPr>
          <w:rtl w:val="0"/>
        </w:rPr>
        <w:t xml:space="preserve">. The workstation area is organized into and not restricted to a modular 2-layer, 6-grid-space layout. This grid enforces a systematic layout rule where larger inventory bins that span 2 grid spaces are designated for the bottom row, while small and medium bins that span 1 grid space occupy the top row </w:t>
      </w:r>
      <w:r w:rsidDel="00000000" w:rsidR="00000000" w:rsidRPr="00000000">
        <w:rPr>
          <w:rtl w:val="0"/>
        </w:rPr>
        <w:t xml:space="preserve">[Appendix A]</w:t>
      </w:r>
      <w:r w:rsidDel="00000000" w:rsidR="00000000" w:rsidRPr="00000000">
        <w:rPr>
          <w:rtl w:val="0"/>
        </w:rPr>
        <w:t xml:space="preserve">. This layout directly supports integration with the user interface and structural inventory rules (FR-07). Since the camera remains fixed, the overall working space is explicitly defined and invariant. This defined environment allows the computer vision model to accurately acquire the exact coordinates of each bin, provided they are placed within this working space. Once these coordinates are acquired at system initialization, they are locked for the duration of the operational session. This infrastructure satisfies the requirement for an efficient, low-overhead environment (FR-01) and allows for simplified assignment during the integration phase, as component identification can rely on this stable, relative spatial mapping.</w:t>
      </w:r>
    </w:p>
    <w:p w:rsidR="00000000" w:rsidDel="00000000" w:rsidP="00000000" w:rsidRDefault="00000000" w:rsidRPr="00000000" w14:paraId="00000142">
      <w:pPr>
        <w:pStyle w:val="heading3"/>
        <w:rPr>
          <w:color w:val="202124"/>
        </w:rPr>
      </w:pPr>
      <w:bookmarkStart w:colFirst="0" w:colLast="0" w:name="_zdouzmt3w1ly" w:id="20"/>
      <w:bookmarkEnd w:id="20"/>
      <w:commentRangeStart w:id="13"/>
      <w:r w:rsidDel="00000000" w:rsidR="00000000" w:rsidRPr="00000000">
        <w:rPr>
          <w:rtl w:val="0"/>
        </w:rPr>
        <w:t xml:space="preserve">3.1.2 </w:t>
      </w:r>
      <w:r w:rsidDel="00000000" w:rsidR="00000000" w:rsidRPr="00000000">
        <w:rPr>
          <w:color w:val="202124"/>
          <w:rtl w:val="0"/>
        </w:rPr>
        <w:t xml:space="preserve">Fixed Slotting</w:t>
      </w:r>
    </w:p>
    <w:p w:rsidR="00000000" w:rsidDel="00000000" w:rsidP="00000000" w:rsidRDefault="00000000" w:rsidRPr="00000000" w14:paraId="00000143">
      <w:pPr>
        <w:widowControl w:val="0"/>
        <w:spacing w:line="300" w:lineRule="auto"/>
        <w:jc w:val="left"/>
        <w:rPr/>
      </w:pPr>
      <w:r w:rsidDel="00000000" w:rsidR="00000000" w:rsidRPr="00000000">
        <w:rPr>
          <w:rtl w:val="0"/>
        </w:rPr>
        <w:t xml:space="preserve">Empirical testing during picking and packing simulations revealed that lightweight and smaller bins easily shifted when items were pulled, leading to cumulative positional drift. This physical displacement caused discrepancies between actual and perceived bin positions taken from the initialisation screenshot, resulting in wrong-bin lookup failures. </w:t>
      </w:r>
      <w:commentRangeStart w:id="14"/>
      <w:r w:rsidDel="00000000" w:rsidR="00000000" w:rsidRPr="00000000">
        <w:rPr>
          <w:rtl w:val="0"/>
        </w:rPr>
        <w:t xml:space="preserve">To resolve this, a physical slotting system was developed to secure bins into fixed load receptors</w:t>
      </w:r>
      <w:commentRangeEnd w:id="14"/>
      <w:r w:rsidDel="00000000" w:rsidR="00000000" w:rsidRPr="00000000">
        <w:commentReference w:id="14"/>
      </w:r>
      <w:r w:rsidDel="00000000" w:rsidR="00000000" w:rsidRPr="00000000">
        <w:rPr>
          <w:rtl w:val="0"/>
        </w:rPr>
        <w:t xml:space="preserve">, satisfying structural containment needs (FR-02). To eliminate ambiguity during the downstream hand-tracking phase, the bins must be physically separated so that their axis-aligned image bounding boxes never overlap. </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144">
      <w:pPr>
        <w:pStyle w:val="heading2"/>
        <w:rPr/>
      </w:pPr>
      <w:bookmarkStart w:colFirst="0" w:colLast="0" w:name="_wsen1ulk4yok" w:id="21"/>
      <w:bookmarkEnd w:id="21"/>
      <w:r w:rsidDel="00000000" w:rsidR="00000000" w:rsidRPr="00000000">
        <w:rPr>
          <w:rtl w:val="0"/>
        </w:rPr>
        <w:t xml:space="preserve">3.2 Sensors</w:t>
      </w:r>
    </w:p>
    <w:p w:rsidR="00000000" w:rsidDel="00000000" w:rsidP="00000000" w:rsidRDefault="00000000" w:rsidRPr="00000000" w14:paraId="00000145">
      <w:pPr>
        <w:pStyle w:val="heading3"/>
        <w:rPr>
          <w:sz w:val="46"/>
          <w:szCs w:val="46"/>
        </w:rPr>
      </w:pPr>
      <w:bookmarkStart w:colFirst="0" w:colLast="0" w:name="_5mt3mt6vehxo" w:id="22"/>
      <w:bookmarkEnd w:id="22"/>
      <w:commentRangeStart w:id="15"/>
      <w:commentRangeStart w:id="16"/>
      <w:r w:rsidDel="00000000" w:rsidR="00000000" w:rsidRPr="00000000">
        <w:rPr>
          <w:rtl w:val="0"/>
        </w:rPr>
        <w:t xml:space="preserve">3.2.1 Computer Vision</w:t>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146">
      <w:pPr>
        <w:spacing w:after="140" w:line="276" w:lineRule="auto"/>
        <w:rPr/>
      </w:pPr>
      <w:r w:rsidDel="00000000" w:rsidR="00000000" w:rsidRPr="00000000">
        <w:rPr>
          <w:rtl w:val="0"/>
        </w:rPr>
        <w:t xml:space="preserve">The computer-vision subsystem comprises hand recognition, bin recognition, and their integration. This section presents the bin-recognition design as a set of key decisions, each justified by the intermediate testing that informed it and traced to the functional requirements it serves. The supporting test logs are collected in Appendix B; the physical rig on which the tests were run is described in Section 3.1.</w:t>
      </w:r>
    </w:p>
    <w:p w:rsidR="00000000" w:rsidDel="00000000" w:rsidP="00000000" w:rsidRDefault="00000000" w:rsidRPr="00000000" w14:paraId="00000147">
      <w:pPr>
        <w:pStyle w:val="heading4"/>
        <w:keepNext w:val="0"/>
        <w:keepLines w:val="0"/>
        <w:spacing w:after="100" w:before="220" w:lineRule="auto"/>
        <w:rPr/>
      </w:pPr>
      <w:bookmarkStart w:colFirst="0" w:colLast="0" w:name="_4ntpoogbnl8i" w:id="23"/>
      <w:bookmarkEnd w:id="23"/>
      <w:r w:rsidDel="00000000" w:rsidR="00000000" w:rsidRPr="00000000">
        <w:rPr>
          <w:rtl w:val="0"/>
        </w:rPr>
        <w:t xml:space="preserve">3.2.1.1  Bin recognition</w:t>
      </w:r>
    </w:p>
    <w:p w:rsidR="00000000" w:rsidDel="00000000" w:rsidP="00000000" w:rsidRDefault="00000000" w:rsidRPr="00000000" w14:paraId="00000148">
      <w:pPr>
        <w:pStyle w:val="heading5"/>
        <w:keepNext w:val="0"/>
        <w:keepLines w:val="0"/>
        <w:rPr/>
      </w:pPr>
      <w:bookmarkStart w:colFirst="0" w:colLast="0" w:name="_x30x3rh3ppwz" w:id="24"/>
      <w:bookmarkEnd w:id="24"/>
      <w:r w:rsidDel="00000000" w:rsidR="00000000" w:rsidRPr="00000000">
        <w:rPr>
          <w:rtl w:val="0"/>
        </w:rPr>
        <w:t xml:space="preserve">3.2.1.1a  Rim-centric</w:t>
      </w:r>
    </w:p>
    <w:p w:rsidR="00000000" w:rsidDel="00000000" w:rsidP="00000000" w:rsidRDefault="00000000" w:rsidRPr="00000000" w14:paraId="00000149">
      <w:pPr>
        <w:spacing w:after="160" w:line="276"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and hand occlusions during picking. The strategy was subsequently shifted to a bin-centric paradigm. Instead of mapping the entire bin body or its contents, the training sequence was tightly restricted to the outer rectangular rim plane viewed from a bird's-eye perspective. Iterative datasets were built using layer-by-layer configurations with varying bin sizes (S, M, L) and dynamic contents. Models trained on datasets with fewer bins successfully generalized to configurations containing up to 9 bins simultaneously, demonstrating that the system treats each bin as an independent region extraction task. By training across dynamic fill levels (0%, 20%, 40%, 60%, 80%, and 100%) alongside high-reflectivity components like metallic screws and nuts, the model learned to extract the unblocked common denominator: the physical bin rim. By decoupling the detection logic from the physical appearance of the internal items, this strategy ensures the system remains robust against changing component mixes (FR-01) and varying environmental or lighting conditions without requiring physical modifications to the bins themselves (FR-09). By decoupling the detection logic from the internal items, the system seamlessly supports configuration-driven SKU onboarding (FR-08), which is detailed further in Section 3.3.2. </w:t>
      </w:r>
    </w:p>
    <w:p w:rsidR="00000000" w:rsidDel="00000000" w:rsidP="00000000" w:rsidRDefault="00000000" w:rsidRPr="00000000" w14:paraId="0000014A">
      <w:pPr>
        <w:pStyle w:val="heading5"/>
        <w:keepNext w:val="0"/>
        <w:keepLines w:val="0"/>
        <w:rPr/>
      </w:pPr>
      <w:bookmarkStart w:colFirst="0" w:colLast="0" w:name="_gr2vzjdi5r2s" w:id="25"/>
      <w:bookmarkEnd w:id="25"/>
      <w:r w:rsidDel="00000000" w:rsidR="00000000" w:rsidRPr="00000000">
        <w:rPr>
          <w:rtl w:val="0"/>
        </w:rPr>
        <w:t xml:space="preserve">3.2.1.1b  Horizontal bounding-box representation</w:t>
      </w:r>
    </w:p>
    <w:p w:rsidR="00000000" w:rsidDel="00000000" w:rsidP="00000000" w:rsidRDefault="00000000" w:rsidRPr="00000000" w14:paraId="0000014B">
      <w:pPr>
        <w:spacing w:after="160" w:line="276" w:lineRule="auto"/>
        <w:rPr/>
      </w:pPr>
      <w:r w:rsidDel="00000000" w:rsidR="00000000" w:rsidRPr="00000000">
        <w:rPr>
          <w:rtl w:val="0"/>
        </w:rPr>
        <w:t xml:space="preserve">Early testing evaluated single-stage and region-based instance segmentation architectures (such as the Mask R-CNN family) to trace explicit bin contours. Instance segmentation proved unreliable for static zone definition. The extracted masks expanded dynamically to enclose any inventory items protruding past the rim, making region definitions dependent on changing contents rather than the asset itself. Furthermore, segmenters generated jagged, unstable edges and hallucinated close-proximity boundaries. Oriented Bounding Boxes (OBB) and Horizontal Bounding Boxes (HBB) were subsequently evaluated. </w:t>
      </w:r>
      <w:commentRangeStart w:id="17"/>
      <w:r w:rsidDel="00000000" w:rsidR="00000000" w:rsidRPr="00000000">
        <w:rPr>
          <w:rtl w:val="0"/>
        </w:rPr>
        <w:t xml:space="preserve">While OBB accommodates structural rotation, the fixed orthogonal grid limits angular deviation. HBB (Horizontal Bounding Boxes) was selected because it eliminates edge contour noise, minimizes computational overhead, and maintains strict axis-aligned tracking zones.</w:t>
      </w:r>
      <w:commentRangeEnd w:id="17"/>
      <w:r w:rsidDel="00000000" w:rsidR="00000000" w:rsidRPr="00000000">
        <w:commentReference w:id="17"/>
      </w:r>
      <w:r w:rsidDel="00000000" w:rsidR="00000000" w:rsidRPr="00000000">
        <w:rPr>
          <w:rtl w:val="0"/>
        </w:rPr>
        <w:t xml:space="preserve"> The resulting box coordinates provide a highly stable area label per bin, establishing the geometric baseline required for downstream hand-in-bin spatial overlap validation (FR-05).</w:t>
      </w:r>
    </w:p>
    <w:p w:rsidR="00000000" w:rsidDel="00000000" w:rsidP="00000000" w:rsidRDefault="00000000" w:rsidRPr="00000000" w14:paraId="0000014C">
      <w:pPr>
        <w:pStyle w:val="heading5"/>
        <w:keepNext w:val="0"/>
        <w:keepLines w:val="0"/>
        <w:rPr/>
      </w:pPr>
      <w:bookmarkStart w:colFirst="0" w:colLast="0" w:name="_lk4ek25i806t" w:id="26"/>
      <w:bookmarkEnd w:id="26"/>
      <w:r w:rsidDel="00000000" w:rsidR="00000000" w:rsidRPr="00000000">
        <w:rPr>
          <w:rtl w:val="0"/>
        </w:rPr>
        <w:t xml:space="preserve">3.2.1.1c  Operational Constraints and Parameter Performance </w:t>
      </w:r>
    </w:p>
    <w:p w:rsidR="00000000" w:rsidDel="00000000" w:rsidP="00000000" w:rsidRDefault="00000000" w:rsidRPr="00000000" w14:paraId="0000014D">
      <w:pPr>
        <w:spacing w:after="160" w:line="276" w:lineRule="auto"/>
        <w:rPr/>
      </w:pPr>
      <w:r w:rsidDel="00000000" w:rsidR="00000000" w:rsidRPr="00000000">
        <w:rPr>
          <w:rtl w:val="0"/>
        </w:rPr>
        <w:t xml:space="preserve">Prototyping observations revealed that when items physically occluded the boundary rims, the segmentation models experienced severe distortion and boundary failures. Although front-edge occlusion was mitigated by the overhead camera angle, side and rear edge occlusions compromised box accuracy. To resolve this limitation without collecting exhaustive, item-specific occlusion training sets, a strict procedural constraint was established: bins must never be overfilled past their rim limits. This no-overflow rule maintains a clear line of sight to the tracking rims (FR-09) and</w:t>
      </w:r>
      <w:commentRangeStart w:id="18"/>
      <w:r w:rsidDel="00000000" w:rsidR="00000000" w:rsidRPr="00000000">
        <w:rPr>
          <w:rtl w:val="0"/>
        </w:rPr>
        <w:t xml:space="preserve"> aligns with industrial lean manufacturing standards to prevent cross-bin contamination.</w:t>
      </w:r>
      <w:commentRangeEnd w:id="18"/>
      <w:r w:rsidDel="00000000" w:rsidR="00000000" w:rsidRPr="00000000">
        <w:commentReference w:id="18"/>
      </w:r>
      <w:r w:rsidDel="00000000" w:rsidR="00000000" w:rsidRPr="00000000">
        <w:rPr>
          <w:rtl w:val="0"/>
        </w:rPr>
        <w:t xml:space="preserve"> Model performance was evaluated across distinct hyperparameter training scales, establishing clear variations in bounding box stability. </w:t>
      </w:r>
    </w:p>
    <w:p w:rsidR="00000000" w:rsidDel="00000000" w:rsidP="00000000" w:rsidRDefault="00000000" w:rsidRPr="00000000" w14:paraId="0000014E">
      <w:pPr>
        <w:pStyle w:val="heading4"/>
        <w:keepNext w:val="0"/>
        <w:keepLines w:val="0"/>
        <w:spacing w:after="100" w:before="220" w:lineRule="auto"/>
        <w:rPr>
          <w:sz w:val="26"/>
          <w:szCs w:val="26"/>
        </w:rPr>
      </w:pPr>
      <w:bookmarkStart w:colFirst="0" w:colLast="0" w:name="_vigy72wduldv" w:id="27"/>
      <w:bookmarkEnd w:id="27"/>
      <w:r w:rsidDel="00000000" w:rsidR="00000000" w:rsidRPr="00000000">
        <w:rPr>
          <w:rtl w:val="0"/>
        </w:rPr>
        <w:t xml:space="preserve">3.2.1.2 Hand-pose model</w:t>
      </w:r>
      <w:r w:rsidDel="00000000" w:rsidR="00000000" w:rsidRPr="00000000">
        <w:rPr>
          <w:rtl w:val="0"/>
        </w:rPr>
      </w:r>
    </w:p>
    <w:p w:rsidR="00000000" w:rsidDel="00000000" w:rsidP="00000000" w:rsidRDefault="00000000" w:rsidRPr="00000000" w14:paraId="0000014F">
      <w:pPr>
        <w:spacing w:after="240" w:before="240" w:lineRule="auto"/>
        <w:rPr/>
      </w:pPr>
      <w:r w:rsidDel="00000000" w:rsidR="00000000" w:rsidRPr="00000000">
        <w:rPr>
          <w:rtl w:val="0"/>
        </w:rPr>
        <w:t xml:space="preserve">The system utilizes the Google AI Edge MediaPipe Tasks Hand Landmarker for real-time, on-device tracking of 21 3D hand landmarks. Running at approximately 30 frames per second on the Jetson AGX Orin edge device, this framework avoids the heavy computational cost of dense pixel segmentation. This low-latency performance enables real-time alerting (FR-05) while leaving processing headroom to support future multi-workstation scalability without hardware redesigns (FR-11). Focusing on precise digit tracking rather than ambiguous bounding boxes provides the spatial accuracy needed to reliably pinpoint operator interactions. </w:t>
      </w:r>
    </w:p>
    <w:p w:rsidR="00000000" w:rsidDel="00000000" w:rsidP="00000000" w:rsidRDefault="00000000" w:rsidRPr="00000000" w14:paraId="00000150">
      <w:pPr>
        <w:pStyle w:val="heading4"/>
        <w:keepNext w:val="0"/>
        <w:keepLines w:val="0"/>
        <w:spacing w:before="280" w:lineRule="auto"/>
        <w:rPr/>
      </w:pPr>
      <w:bookmarkStart w:colFirst="0" w:colLast="0" w:name="_nvo336gj429z" w:id="28"/>
      <w:bookmarkEnd w:id="28"/>
      <w:r w:rsidDel="00000000" w:rsidR="00000000" w:rsidRPr="00000000">
        <w:rPr>
          <w:rtl w:val="0"/>
        </w:rPr>
        <w:t xml:space="preserve">3.2.1.3 Spatial Bin Assignment</w:t>
      </w:r>
    </w:p>
    <w:p w:rsidR="00000000" w:rsidDel="00000000" w:rsidP="00000000" w:rsidRDefault="00000000" w:rsidRPr="00000000" w14:paraId="00000151">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w:t>
      </w:r>
      <w:commentRangeStart w:id="19"/>
      <w:r w:rsidDel="00000000" w:rsidR="00000000" w:rsidRPr="00000000">
        <w:rPr>
          <w:rtl w:val="0"/>
        </w:rPr>
        <w:t xml:space="preserve">index (landmark 8) and middle (landmark 12) fingertips</w:t>
      </w:r>
      <w:commentRangeEnd w:id="19"/>
      <w:r w:rsidDel="00000000" w:rsidR="00000000" w:rsidRPr="00000000">
        <w:commentReference w:id="19"/>
      </w:r>
      <w:r w:rsidDel="00000000" w:rsidR="00000000" w:rsidRPr="00000000">
        <w:rPr>
          <w:rtl w:val="0"/>
        </w:rPr>
        <w:t xml:space="preserve">. By filtering out other fingers, the algorithm accommodates natural tripod-grasp picking motions without modifying the operator's workflow (FR-09). The locked bin boundary containing a fingertip receives a spatial vote. If the fingers split across adjacent bins, a deepest-penetration tiebreak evaluates the interiority distance, awarding the assignment to the finger planted deepest into a bin. This strictly geometric resolution precisely identifies which physical bin is being accessed by mirroring natural human mechanics. </w:t>
      </w:r>
      <w:commentRangeStart w:id="20"/>
      <w:r w:rsidDel="00000000" w:rsidR="00000000" w:rsidRPr="00000000">
        <w:rPr>
          <w:rtl w:val="0"/>
        </w:rPr>
        <w:t xml:space="preserve">If tracking confidence drops, the system dynamically defaults to the tip centroid or the overall hand center to maintain a continuous positional </w:t>
      </w:r>
      <w:commentRangeStart w:id="21"/>
      <w:r w:rsidDel="00000000" w:rsidR="00000000" w:rsidRPr="00000000">
        <w:rPr>
          <w:rtl w:val="0"/>
        </w:rPr>
        <w:t xml:space="preserve">lock</w:t>
      </w:r>
      <w:commentRangeEnd w:id="21"/>
      <w:r w:rsidDel="00000000" w:rsidR="00000000" w:rsidRPr="00000000">
        <w:commentReference w:id="21"/>
      </w:r>
      <w:r w:rsidDel="00000000" w:rsidR="00000000" w:rsidRPr="00000000">
        <w:rPr>
          <w:rtl w:val="0"/>
        </w:rPr>
        <w:t xml:space="preserve">. </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152">
      <w:pPr>
        <w:pStyle w:val="heading4"/>
        <w:keepNext w:val="0"/>
        <w:keepLines w:val="0"/>
        <w:spacing w:before="280" w:lineRule="auto"/>
        <w:rPr/>
      </w:pPr>
      <w:bookmarkStart w:colFirst="0" w:colLast="0" w:name="_97je4hs1pjzn" w:id="29"/>
      <w:bookmarkEnd w:id="29"/>
      <w:r w:rsidDel="00000000" w:rsidR="00000000" w:rsidRPr="00000000">
        <w:rPr>
          <w:rtl w:val="0"/>
        </w:rPr>
        <w:t xml:space="preserve">3.2.1.4 Occlusion Gating</w:t>
      </w:r>
    </w:p>
    <w:p w:rsidR="00000000" w:rsidDel="00000000" w:rsidP="00000000" w:rsidRDefault="00000000" w:rsidRPr="00000000" w14:paraId="00000153">
      <w:pPr>
        <w:spacing w:after="240" w:before="240" w:lineRule="auto"/>
        <w:rPr/>
      </w:pPr>
      <w:r w:rsidDel="00000000" w:rsidR="00000000" w:rsidRPr="00000000">
        <w:rPr>
          <w:rtl w:val="0"/>
        </w:rPr>
        <w:t xml:space="preserve">To maintain spatial accuracy across the two-tier workstation, an occlusion gating mechanism computationally corrects camera blind spots caused by the upper shelf lip, adapting to the environment without physical layout changes (FR-09). The system implements two fallbacks to resolve hallucinated top-row hits during lower-tier picks: a proximal anchor check (reassigning hits downward if the knuckle/wrist centroid falls mathematically below the bottom bin's top rim) and a foreground-evidence gate (flagging occlusion if a local background-subtraction mask shows a foreground pixel ratio below 20%). This logic aggressively filters false alarms, ensuring notifications provide strictly accurate corrective guidance (FR-06) in real time (FR-05). </w:t>
      </w:r>
    </w:p>
    <w:p w:rsidR="00000000" w:rsidDel="00000000" w:rsidP="00000000" w:rsidRDefault="00000000" w:rsidRPr="00000000" w14:paraId="00000154">
      <w:pPr>
        <w:spacing w:after="240" w:before="240" w:lineRule="auto"/>
        <w:rPr/>
      </w:pPr>
      <w:r w:rsidDel="00000000" w:rsidR="00000000" w:rsidRPr="00000000">
        <w:rPr>
          <w:rtl w:val="0"/>
        </w:rPr>
      </w:r>
    </w:p>
    <w:p w:rsidR="00000000" w:rsidDel="00000000" w:rsidP="00000000" w:rsidRDefault="00000000" w:rsidRPr="00000000" w14:paraId="00000155">
      <w:pPr>
        <w:pStyle w:val="heading3"/>
        <w:rPr/>
      </w:pPr>
      <w:bookmarkStart w:colFirst="0" w:colLast="0" w:name="_cva1npkjcs3t" w:id="30"/>
      <w:bookmarkEnd w:id="30"/>
      <w:r w:rsidDel="00000000" w:rsidR="00000000" w:rsidRPr="00000000">
        <w:rPr>
          <w:rtl w:val="0"/>
        </w:rPr>
        <w:t xml:space="preserve">3.2.2 Load </w:t>
      </w:r>
      <w:commentRangeStart w:id="22"/>
      <w:commentRangeStart w:id="23"/>
      <w:r w:rsidDel="00000000" w:rsidR="00000000" w:rsidRPr="00000000">
        <w:rPr>
          <w:rtl w:val="0"/>
        </w:rPr>
        <w:t xml:space="preserve">Cells</w:t>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156">
      <w:pPr>
        <w:spacing w:after="240" w:lineRule="auto"/>
        <w:rPr/>
      </w:pPr>
      <w:r w:rsidDel="00000000" w:rsidR="00000000" w:rsidRPr="00000000">
        <w:rPr>
          <w:rtl w:val="0"/>
        </w:rPr>
        <w:t xml:space="preserve">As established in the Design Overview (Chapter 2), load cells were selected as the measurement method because no other approach could reliably identify components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157">
      <w:pPr>
        <w:spacing w:after="240" w:before="240" w:lineRule="auto"/>
        <w:rPr/>
      </w:pPr>
      <w:r w:rsidDel="00000000" w:rsidR="00000000" w:rsidRPr="00000000">
        <w:rPr>
          <w:rtl w:val="0"/>
        </w:rPr>
        <w:t xml:space="preserve">The initial design consisted of a simple cantilever platform, with the load cell secured by screws and the item rest was formed from bolts. However, the bolted arrangement proved unstable and required items to be placed directly onto the load cell, which was impractical for routine use.</w:t>
      </w:r>
    </w:p>
    <w:p w:rsidR="00000000" w:rsidDel="00000000" w:rsidP="00000000" w:rsidRDefault="00000000" w:rsidRPr="00000000" w14:paraId="00000158">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159">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w:t>
      </w:r>
    </w:p>
    <w:p w:rsidR="00000000" w:rsidDel="00000000" w:rsidP="00000000" w:rsidRDefault="00000000" w:rsidRPr="00000000" w14:paraId="0000015A">
      <w:pPr>
        <w:spacing w:after="240" w:before="240" w:lineRule="auto"/>
        <w:rPr/>
      </w:pPr>
      <w:r w:rsidDel="00000000" w:rsidR="00000000" w:rsidRPr="00000000">
        <w:rPr>
          <w:rtl w:val="0"/>
        </w:rPr>
        <w:t xml:space="preserve">To resolve this trade-off, a three-load-cell configuration was adopted.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15B">
      <w:pPr>
        <w:spacing w:after="240" w:before="240" w:lineRule="auto"/>
        <w:rPr/>
      </w:pPr>
      <w:r w:rsidDel="00000000" w:rsidR="00000000" w:rsidRPr="00000000">
        <w:rPr>
          <w:rtl w:val="0"/>
        </w:rPr>
        <w:t xml:space="preserve">Furthermore, the three-load-cell configuration allowed for scalability to fit the dimensions of any bins the factory uses by just ensuring that the 3 points of contact remained within the off center loading limit.</w:t>
      </w:r>
    </w:p>
    <w:p w:rsidR="00000000" w:rsidDel="00000000" w:rsidP="00000000" w:rsidRDefault="00000000" w:rsidRPr="00000000" w14:paraId="0000015C">
      <w:pPr>
        <w:spacing w:after="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±2.5g. As a result, a higher-capacity cell trades absolute resolution for a greater usable range. In our own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15D">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w:t>
      </w:r>
      <w:r w:rsidDel="00000000" w:rsidR="00000000" w:rsidRPr="00000000">
        <w:rPr>
          <w:i w:val="1"/>
          <w:iCs w:val="1"/>
          <w:u w:val="single"/>
          <w:rtl w:val="0"/>
        </w:rPr>
        <w:t xml:space="preserve">By industry standards, a single bin may not exceed 25 kg,</w:t>
      </w:r>
      <w:r w:rsidDel="00000000" w:rsidR="00000000" w:rsidRPr="00000000">
        <w:rPr>
          <w:rtl w:val="0"/>
        </w:rPr>
        <w:t xml:space="preserve"> with a typical </w:t>
      </w:r>
      <w:r w:rsidDel="00000000" w:rsidR="00000000" w:rsidRPr="00000000">
        <w:rPr>
          <w:i w:val="1"/>
          <w:iCs w:val="1"/>
          <w:u w:val="single"/>
          <w:rtl w:val="0"/>
        </w:rPr>
        <w:t xml:space="preserve">"heavy" bin falling in the 10–15 kg range</w:t>
      </w:r>
      <w:r w:rsidDel="00000000" w:rsidR="00000000" w:rsidRPr="00000000">
        <w:rPr>
          <w:rtl w:val="0"/>
        </w:rPr>
        <w:t xml:space="preserve">, which informs the upper bound of the load cell capacity required for the larger platforms.</w:t>
      </w:r>
    </w:p>
    <w:p w:rsidR="00000000" w:rsidDel="00000000" w:rsidP="00000000" w:rsidRDefault="00000000" w:rsidRPr="00000000" w14:paraId="0000015E">
      <w:pPr>
        <w:pStyle w:val="heading3"/>
        <w:rPr/>
      </w:pPr>
      <w:bookmarkStart w:colFirst="0" w:colLast="0" w:name="_o7pl8p733r01" w:id="31"/>
      <w:bookmarkEnd w:id="31"/>
      <w:r w:rsidDel="00000000" w:rsidR="00000000" w:rsidRPr="00000000">
        <w:rPr>
          <w:rtl w:val="0"/>
        </w:rPr>
        <w:t xml:space="preserve">3.2.2 Load </w:t>
      </w:r>
      <w:commentRangeStart w:id="24"/>
      <w:commentRangeStart w:id="25"/>
      <w:r w:rsidDel="00000000" w:rsidR="00000000" w:rsidRPr="00000000">
        <w:rPr>
          <w:rtl w:val="0"/>
        </w:rPr>
        <w:t xml:space="preserve">Cells</w:t>
      </w:r>
      <w:commentRangeEnd w:id="24"/>
      <w:r w:rsidDel="00000000" w:rsidR="00000000" w:rsidRPr="00000000">
        <w:commentReference w:id="24"/>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15F">
      <w:pPr>
        <w:pStyle w:val="heading2"/>
        <w:rPr>
          <w:sz w:val="26"/>
          <w:szCs w:val="26"/>
        </w:rPr>
      </w:pPr>
      <w:bookmarkStart w:colFirst="0" w:colLast="0" w:name="_u39qa6vrvt43" w:id="32"/>
      <w:bookmarkEnd w:id="32"/>
      <w:r w:rsidDel="00000000" w:rsidR="00000000" w:rsidRPr="00000000">
        <w:rPr>
          <w:rtl w:val="0"/>
        </w:rPr>
        <w:t xml:space="preserve">3.3 User Interface</w:t>
      </w: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The User Interface (UI) functions as an active, event-driven guidance engine connecting the ground operator and supervisory personnel to the sensing suites. To maintain system responsiveness, the UI architecture decouples high-frequency sensor data processing from front-end visual rendering through an asynchronous client-server framework.</w:t>
      </w:r>
    </w:p>
    <w:p w:rsidR="00000000" w:rsidDel="00000000" w:rsidP="00000000" w:rsidRDefault="00000000" w:rsidRPr="00000000" w14:paraId="00000161">
      <w:pPr>
        <w:pStyle w:val="heading3"/>
        <w:keepNext w:val="0"/>
        <w:keepLines w:val="0"/>
        <w:spacing w:after="40" w:before="240" w:lineRule="auto"/>
        <w:rPr/>
      </w:pPr>
      <w:bookmarkStart w:colFirst="0" w:colLast="0" w:name="_pcrofbv0x2at" w:id="33"/>
      <w:bookmarkEnd w:id="33"/>
      <w:commentRangeStart w:id="26"/>
      <w:r w:rsidDel="00000000" w:rsidR="00000000" w:rsidRPr="00000000">
        <w:rPr>
          <w:rtl w:val="0"/>
        </w:rPr>
        <w:t xml:space="preserve">3.3.1 Frontend</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The frontend subsystem operates on a touchscreen monitor at the kitting workstation. It provides intuitive, minimally-intrusive guidance during normal packing and immediate interventions upon error detection.</w:t>
      </w:r>
    </w:p>
    <w:p w:rsidR="00000000" w:rsidDel="00000000" w:rsidP="00000000" w:rsidRDefault="00000000" w:rsidRPr="00000000" w14:paraId="00000163">
      <w:pPr>
        <w:spacing w:after="240" w:before="240" w:lineRule="auto"/>
        <w:rPr/>
      </w:pPr>
      <w:r w:rsidDel="00000000" w:rsidR="00000000" w:rsidRPr="00000000">
        <w:rPr>
          <w:rtl w:val="0"/>
        </w:rPr>
        <w:t xml:space="preserve">To establish an intuitive baseline, the frontend renders a 2D spatial layout mirroring the physical workstation grid (FR-07). This display synthesizes computer vision coordinates and active order metadata, presenting real-time hand trajectories alongside aggregate mass telemetry so the operator can passively monitor progress without manual weighing steps (FR-04). To ensure zero cycle-time friction, the interface remains entirely passive during correct picking sequences. Upon an error trigger, it dynamically transitions to an active alert state within sub-second latency thresholds (FR-05). Instead of ambiguous alarms, the frontend presents targeted, location-specific guidance: the erroneous bin is highlighted in high-contrast colors, and clear text prompts specify the exact required corrective action (FR-06). The interface requires physical error remediation before allowing the order sequence to advance, preventing defective kits from proceeding downstream.</w:t>
      </w:r>
    </w:p>
    <w:p w:rsidR="00000000" w:rsidDel="00000000" w:rsidP="00000000" w:rsidRDefault="00000000" w:rsidRPr="00000000" w14:paraId="00000164">
      <w:pPr>
        <w:spacing w:after="240" w:before="240" w:lineRule="auto"/>
        <w:rPr/>
      </w:pPr>
      <w:commentRangeStart w:id="27"/>
      <w:r w:rsidDel="00000000" w:rsidR="00000000" w:rsidRPr="00000000">
        <w:rPr>
          <w:rtl w:val="0"/>
        </w:rPr>
        <w:t xml:space="preserve">Additionally, the frontend incorporates a remote supervisory view accessible over the local network. This aggregates live operational statuses, historical error logs, and shift throughput metrics across active lines, granting supervisors situational awareness without requiring physical attendance at the workstations (FR-10).</w:t>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0165">
      <w:pPr>
        <w:pStyle w:val="heading3"/>
        <w:keepNext w:val="0"/>
        <w:keepLines w:val="0"/>
        <w:spacing w:after="40" w:before="240" w:lineRule="auto"/>
        <w:rPr/>
      </w:pPr>
      <w:bookmarkStart w:colFirst="0" w:colLast="0" w:name="_zh5cw8ju46oj" w:id="34"/>
      <w:bookmarkEnd w:id="34"/>
      <w:r w:rsidDel="00000000" w:rsidR="00000000" w:rsidRPr="00000000">
        <w:rPr>
          <w:rtl w:val="0"/>
        </w:rPr>
        <w:t xml:space="preserve">3.3.2 </w:t>
      </w:r>
      <w:commentRangeStart w:id="28"/>
      <w:r w:rsidDel="00000000" w:rsidR="00000000" w:rsidRPr="00000000">
        <w:rPr>
          <w:rtl w:val="0"/>
        </w:rPr>
        <w:t xml:space="preserve">Backend</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The backend subsystem constitutes the core event processing and state evaluation engine. Operating as an asynchronous background service, it ingests 30 FPS hand-landmark tracking and continuous load-cell mass data into an in-memory state repository. This asynchronous Inter-Process Communication (IPC) architecture prevents UI rendering from blocking the primary vision pipeline, delivering sub-50 ms latency for real-time alerting (FR-05) while preserving computational headroom for future multi-workstation scalability (FR-11).</w:t>
      </w:r>
    </w:p>
    <w:p w:rsidR="00000000" w:rsidDel="00000000" w:rsidP="00000000" w:rsidRDefault="00000000" w:rsidRPr="00000000" w14:paraId="00000167">
      <w:pPr>
        <w:spacing w:after="240" w:before="240" w:lineRule="auto"/>
        <w:rPr/>
      </w:pPr>
      <w:r w:rsidDel="00000000" w:rsidR="00000000" w:rsidRPr="00000000">
        <w:rPr>
          <w:rtl w:val="0"/>
        </w:rPr>
        <w:t xml:space="preserve">The core decision logic is governed by a deterministic Finite State Machine (FSM) that evaluates incoming sensor streams against pre-loaded order rules. To achieve accurate wrong-part detection, the FSM compares the spatially assigned bin ID (derived from the computer vision subsystem) against the active order manifest, immediately triggering an anomaly state if an unprescribed bin is accessed (FR-01, FR-02). Simultaneously, it evaluates signed mass deltas against unit component weights to flag quantity discrepancies (FR-04). Upon order completion, the FSM verifies that all required SKU quantities have been satisfied before authorizing kit sign-off (FR-03). Because the architecture relies on bin-centric vision and derives pick counts directly from passive weight changes, new component types are onboarded seamlessly by simply updating the configuration database with the new SKU identity and unit mass, preserving full verification coverage without requiring AI model retraining (FR-</w:t>
      </w:r>
      <w:r w:rsidDel="00000000" w:rsidR="00000000" w:rsidRPr="00000000">
        <w:br w:type="page"/>
      </w:r>
      <w:r w:rsidDel="00000000" w:rsidR="00000000" w:rsidRPr="00000000">
        <w:rPr>
          <w:rtl w:val="0"/>
        </w:rPr>
      </w:r>
    </w:p>
    <w:p>
      <w:pPr>
        <w:pStyle w:val="Heading1"/>
      </w:pPr>
      <w:r>
        <w:t>Chapter 4: Testing, Evaluation and Iterations</w:t>
      </w:r>
    </w:p>
    <w:p>
      <w:r>
        <w:rPr>
          <w:rFonts w:ascii="Arial" w:hAnsi="Arial"/>
          <w:b w:val="0"/>
          <w:i w:val="0"/>
          <w:sz w:val="24"/>
        </w:rPr>
        <w:t>While Chapter 3 detailed the rapid prototyping of each subcomponent in isolation to ensure they individually met all functional requirements, this chapter focuses on the system-level integration and evaluation. We first integrated all components to construct the complete prototype, and then conducted rigorous developer testing for each subsystem, followed by end-to-end integration testing. This testing phase was crucial to ensure the system was fully robust and ready for the formal user testing and validation phase presented in Chapter 5.</w:t>
      </w:r>
    </w:p>
    <w:p>
      <w:pPr>
        <w:pStyle w:val="Heading2"/>
      </w:pPr>
      <w:r>
        <w:t>4.1 System Integration</w:t>
      </w:r>
    </w:p>
    <w:p>
      <w:r>
        <w:rPr>
          <w:rFonts w:ascii="Arial" w:hAnsi="Arial"/>
          <w:b w:val="0"/>
          <w:i w:val="0"/>
          <w:sz w:val="24"/>
        </w:rPr>
        <w:t>The integration of the system directly follows the system architecture diagram established in Chapter 2. A central pipeline orchestrator was developed to coordinate the real-time data flow between the computer vision, load cell, and HMI subsystems, bringing the isolated components together into a unified architecture.</w:t>
      </w:r>
    </w:p>
    <w:p>
      <w:r>
        <w:rPr>
          <w:rFonts w:ascii="Arial" w:hAnsi="Arial"/>
          <w:b w:val="0"/>
          <w:i w:val="0"/>
          <w:sz w:val="24"/>
        </w:rPr>
        <w:t>The physical deployment of the AEGIS prototype brings together the structural CAD designs from Chapter 3 into a fully realised workstation. As shown in Figure 4.1, the complete setup features the overhead camera mount, the integrated load-cell receptor platform beneath the bins, and the operator-facing HMI dashboard. This integrated environment allows for seamless testing of the combined computer vision and weight-sensing pipeline.</w:t>
      </w:r>
    </w:p>
    <w:p>
      <w:r>
        <w:rPr>
          <w:rFonts w:ascii="Arial" w:hAnsi="Arial"/>
          <w:b w:val="0"/>
          <w:i w:val="0"/>
          <w:sz w:val="24"/>
        </w:rPr>
        <w:t>Once initialised, the real-time processing loop executes continuously. Each frame follows the sequence shown in Figure 4.2: camera capture, hand tracking, bin assignment, weight delta evaluation, FSM state update, and HMI refresh.</w:t>
      </w:r>
    </w:p>
    <w:p>
      <w:r>
        <w:rPr>
          <w:rFonts w:ascii="Arial" w:hAnsi="Arial"/>
          <w:b w:val="0"/>
          <w:i w:val="0"/>
          <w:sz w:val="24"/>
        </w:rPr>
        <w:t>The CV and load cell threads write to a shared PipelineState object, while the FastAPI web server reads from it independently. This decoupling ensures that the sensing loop runs at full frame rate regardless of HMI refresh timing.</w:t>
      </w:r>
    </w:p>
    <w:p>
      <w:pPr>
        <w:spacing w:after="240"/>
        <w:jc w:val="center"/>
      </w:pPr>
      <w:r>
        <w:drawing>
          <wp:inline>
            <wp:extent cx="5486400" cy="293046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930464"/>
                    </a:xfrm>
                    <a:prstGeom prst="rect"/>
                  </pic:spPr>
                </pic:pic>
              </a:graphicData>
            </a:graphic>
          </wp:inline>
        </w:drawing>
      </w:r>
    </w:p>
    <w:p>
      <w:pPr>
        <w:jc w:val="center"/>
      </w:pPr>
      <w:r>
        <w:rPr>
          <w:rFonts w:ascii="Arial" w:hAnsi="Arial"/>
          <w:i/>
          <w:sz w:val="20"/>
        </w:rPr>
        <w:t>Figure 4.1: Fully integrated AEGIS workstation setup, transitioning from the Chapter 3 CAD model to the physical prototype.</w:t>
      </w:r>
    </w:p>
    <w:p>
      <w:pPr>
        <w:spacing w:after="240"/>
        <w:jc w:val="center"/>
      </w:pPr>
      <w:r>
        <w:drawing>
          <wp:inline>
            <wp:extent cx="5486400" cy="27432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Arial" w:hAnsi="Arial"/>
          <w:i/>
          <w:sz w:val="20"/>
        </w:rPr>
        <w:t>Figure 4.2: Real-time processing loop data flow diagram.</w:t>
      </w:r>
    </w:p>
    <w:p>
      <w:pPr>
        <w:pStyle w:val="Heading2"/>
      </w:pPr>
      <w:r>
        <w:t>4.2 Sensors</w:t>
      </w:r>
    </w:p>
    <w:p>
      <w:pPr>
        <w:pStyle w:val="Heading3"/>
      </w:pPr>
      <w:r>
        <w:t>4.2.1 Computer Vision</w:t>
      </w:r>
    </w:p>
    <w:p>
      <w:pPr>
        <w:pStyle w:val="Heading4"/>
      </w:pPr>
      <w:r>
        <w:t>4.2.1.1 Testing Framework</w:t>
      </w:r>
    </w:p>
    <w:p>
      <w:r>
        <w:rPr>
          <w:rFonts w:ascii="Arial" w:hAnsi="Arial"/>
          <w:b w:val="0"/>
          <w:i w:val="0"/>
          <w:sz w:val="24"/>
        </w:rPr>
        <w:t>The CV detector was evaluated using a layer-by-layer permutation protocol designed to test invariance to bin position, colour, and fill level. Testing proceeded across three setup groups, each isolating one variable. The test conditions are summarised in Table 4.1.</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Group</w:t>
            </w:r>
          </w:p>
        </w:tc>
        <w:tc>
          <w:tcPr>
            <w:tcW w:type="dxa" w:w="3120"/>
          </w:tcPr>
          <w:p>
            <w:pPr>
              <w:jc w:val="center"/>
            </w:pPr>
            <w:r>
              <w:rPr>
                <w:rFonts w:ascii="Arial" w:hAnsi="Arial"/>
                <w:b/>
                <w:sz w:val="20"/>
              </w:rPr>
              <w:t>Variable Tested</w:t>
            </w:r>
          </w:p>
        </w:tc>
        <w:tc>
          <w:tcPr>
            <w:tcW w:type="dxa" w:w="3120"/>
          </w:tcPr>
          <w:p>
            <w:pPr>
              <w:jc w:val="center"/>
            </w:pPr>
            <w:r>
              <w:rPr>
                <w:rFonts w:ascii="Arial" w:hAnsi="Arial"/>
                <w:b/>
                <w:sz w:val="20"/>
              </w:rPr>
              <w:t>Conditions</w:t>
            </w:r>
          </w:p>
        </w:tc>
      </w:tr>
      <w:tr>
        <w:tc>
          <w:tcPr>
            <w:tcW w:type="dxa" w:w="3120"/>
          </w:tcPr>
          <w:p>
            <w:r>
              <w:rPr>
                <w:rFonts w:ascii="Arial" w:hAnsi="Arial"/>
                <w:sz w:val="20"/>
              </w:rPr>
              <w:t>A</w:t>
            </w:r>
          </w:p>
        </w:tc>
        <w:tc>
          <w:tcPr>
            <w:tcW w:type="dxa" w:w="3120"/>
          </w:tcPr>
          <w:p>
            <w:r>
              <w:rPr>
                <w:rFonts w:ascii="Arial" w:hAnsi="Arial"/>
                <w:sz w:val="20"/>
              </w:rPr>
              <w:t>Bin colour and layout</w:t>
            </w:r>
          </w:p>
        </w:tc>
        <w:tc>
          <w:tcPr>
            <w:tcW w:type="dxa" w:w="3120"/>
          </w:tcPr>
          <w:p>
            <w:r>
              <w:rPr>
                <w:rFonts w:ascii="Arial" w:hAnsi="Arial"/>
                <w:sz w:val="20"/>
              </w:rPr>
              <w:t>A1: 9 blue bins (baseline); A2: mixed red/green/blue; A3: blue + mixed set</w:t>
            </w:r>
          </w:p>
        </w:tc>
      </w:tr>
      <w:tr>
        <w:tc>
          <w:tcPr>
            <w:tcW w:type="dxa" w:w="3120"/>
          </w:tcPr>
          <w:p>
            <w:r>
              <w:rPr>
                <w:rFonts w:ascii="Arial" w:hAnsi="Arial"/>
                <w:sz w:val="20"/>
              </w:rPr>
              <w:t>B</w:t>
            </w:r>
          </w:p>
        </w:tc>
        <w:tc>
          <w:tcPr>
            <w:tcW w:type="dxa" w:w="3120"/>
          </w:tcPr>
          <w:p>
            <w:r>
              <w:rPr>
                <w:rFonts w:ascii="Arial" w:hAnsi="Arial"/>
                <w:sz w:val="20"/>
              </w:rPr>
              <w:t>Bin contents and fill level</w:t>
            </w:r>
          </w:p>
        </w:tc>
        <w:tc>
          <w:tcPr>
            <w:tcW w:type="dxa" w:w="3120"/>
          </w:tcPr>
          <w:p>
            <w:r>
              <w:rPr>
                <w:rFonts w:ascii="Arial" w:hAnsi="Arial"/>
                <w:sz w:val="20"/>
              </w:rPr>
              <w:t>7 item categories at 3 fill levels (empty, partial, full). Items tested: matte connectors, reflective brackets, shiny screws, PVC pipes, copper rods, dark connectors, mixed items</w:t>
            </w:r>
          </w:p>
        </w:tc>
      </w:tr>
      <w:tr>
        <w:tc>
          <w:tcPr>
            <w:tcW w:type="dxa" w:w="3120"/>
          </w:tcPr>
          <w:p>
            <w:r>
              <w:rPr>
                <w:rFonts w:ascii="Arial" w:hAnsi="Arial"/>
                <w:sz w:val="20"/>
              </w:rPr>
              <w:t>Lighting</w:t>
            </w:r>
          </w:p>
        </w:tc>
        <w:tc>
          <w:tcPr>
            <w:tcW w:type="dxa" w:w="3120"/>
          </w:tcPr>
          <w:p>
            <w:r>
              <w:rPr>
                <w:rFonts w:ascii="Arial" w:hAnsi="Arial"/>
                <w:sz w:val="20"/>
              </w:rPr>
              <w:t>Ambient illuminance</w:t>
            </w:r>
          </w:p>
        </w:tc>
        <w:tc>
          <w:tcPr>
            <w:tcW w:type="dxa" w:w="3120"/>
          </w:tcPr>
          <w:p>
            <w:r>
              <w:rPr>
                <w:rFonts w:ascii="Arial" w:hAnsi="Arial"/>
                <w:sz w:val="20"/>
              </w:rPr>
              <w:t>8 levels from approximately 0 lux to 506 lux; 9 bins measured per level (72 readings total)</w:t>
            </w:r>
          </w:p>
        </w:tc>
      </w:tr>
    </w:tbl>
    <w:p/>
    <w:p>
      <w:r>
        <w:rPr>
          <w:rFonts w:ascii="Arial" w:hAnsi="Arial"/>
          <w:b w:val="0"/>
          <w:i/>
          <w:sz w:val="20"/>
        </w:rPr>
        <w:t>Table 4.1: CV testing conditions.</w:t>
      </w:r>
    </w:p>
    <w:p>
      <w:pPr>
        <w:spacing w:after="240"/>
        <w:jc w:val="center"/>
      </w:pPr>
      <w:r>
        <w:drawing>
          <wp:inline>
            <wp:extent cx="5486400" cy="6679692"/>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6679692"/>
                    </a:xfrm>
                    <a:prstGeom prst="rect"/>
                  </pic:spPr>
                </pic:pic>
              </a:graphicData>
            </a:graphic>
          </wp:inline>
        </w:drawing>
      </w:r>
    </w:p>
    <w:p>
      <w:pPr>
        <w:jc w:val="center"/>
      </w:pPr>
      <w:r>
        <w:rPr>
          <w:rFonts w:ascii="Arial" w:hAnsi="Arial"/>
          <w:i/>
          <w:sz w:val="20"/>
        </w:rPr>
        <w:t>Figure 4.3: CV test setups. (a) Group A baseline with all blue bins. (b) Group A2 with mixed colours. (c) Group B with varied items at different fill levels. (d) Lighting sweep with lux meter.</w:t>
      </w:r>
    </w:p>
    <w:p>
      <w:pPr>
        <w:pStyle w:val="Heading4"/>
      </w:pPr>
      <w:r>
        <w:t>4.2.1.2 Evaluation Results</w:t>
      </w:r>
    </w:p>
    <w:p>
      <w:r>
        <w:rPr>
          <w:rFonts w:ascii="Arial" w:hAnsi="Arial"/>
          <w:b/>
          <w:i w:val="0"/>
          <w:sz w:val="24"/>
        </w:rPr>
        <w:t>Group A Results</w:t>
      </w:r>
    </w:p>
    <w:p>
      <w:r>
        <w:rPr>
          <w:rFonts w:ascii="Arial" w:hAnsi="Arial"/>
          <w:b w:val="0"/>
          <w:i w:val="0"/>
          <w:sz w:val="24"/>
        </w:rPr>
        <w:t>Under condition A1, the model achieved 100% detection across 20 sample frames. When non-blue bins were introduced under conditions A2 and A3, detection accuracy decreased to 80% and 85% respectively, as shown in Figure 4.4. Analysis of the failure cases revealed hallucinated bounding boxes when non-blue rims were present. This finding informed the decision to standardise on blue bins for the deployment configuration.</w:t>
      </w:r>
    </w:p>
    <w:p>
      <w:pPr>
        <w:jc w:val="center"/>
      </w:pPr>
      <w:r>
        <w:rPr>
          <w:i/>
          <w:color w:val="969696"/>
          <w:sz w:val="22"/>
        </w:rPr>
        <w:t>[INSERT FIGURE HERE]</w:t>
      </w:r>
    </w:p>
    <w:p>
      <w:pPr>
        <w:spacing w:after="240"/>
        <w:jc w:val="center"/>
      </w:pPr>
      <w:r>
        <w:rPr>
          <w:rFonts w:ascii="Arial" w:hAnsi="Arial"/>
          <w:i/>
          <w:sz w:val="20"/>
        </w:rPr>
        <w:t>Figure 4.4: Group A detection results. (a) A1: 100% detection. (b) A2: hallucinated bounding box example. (c) Accuracy comparison across the three conditions.</w:t>
      </w:r>
    </w:p>
    <w:p>
      <w:r>
        <w:rPr>
          <w:rFonts w:ascii="Arial" w:hAnsi="Arial"/>
          <w:b/>
          <w:i w:val="0"/>
          <w:sz w:val="24"/>
        </w:rPr>
        <w:t>Group B Results</w:t>
      </w:r>
    </w:p>
    <w:p>
      <w:r>
        <w:rPr>
          <w:rFonts w:ascii="Arial" w:hAnsi="Arial"/>
          <w:b w:val="0"/>
          <w:i w:val="0"/>
          <w:sz w:val="24"/>
        </w:rPr>
        <w:t>With standardised blue bins, detection held at 100% across all seven item categories at every fill level, including copper rods protruding above the bin rim, as shown in Figure 4.5. This confirms that the model is rim-centric and content-invariant.</w:t>
      </w:r>
    </w:p>
    <w:p>
      <w:pPr>
        <w:spacing w:after="240"/>
        <w:jc w:val="center"/>
      </w:pPr>
      <w:r>
        <w:drawing>
          <wp:inline>
            <wp:extent cx="5486400" cy="1019556"/>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019556"/>
                    </a:xfrm>
                    <a:prstGeom prst="rect"/>
                  </pic:spPr>
                </pic:pic>
              </a:graphicData>
            </a:graphic>
          </wp:inline>
        </w:drawing>
      </w:r>
    </w:p>
    <w:p>
      <w:pPr>
        <w:jc w:val="center"/>
      </w:pPr>
      <w:r>
        <w:rPr>
          <w:rFonts w:ascii="Arial" w:hAnsi="Arial"/>
          <w:i/>
          <w:sz w:val="20"/>
        </w:rPr>
        <w:t>Figure 4.5: Group B sample detections across item categories and fill levels.</w:t>
      </w:r>
    </w:p>
    <w:p>
      <w:r>
        <w:rPr>
          <w:rFonts w:ascii="Arial" w:hAnsi="Arial"/>
          <w:b/>
          <w:i w:val="0"/>
          <w:sz w:val="24"/>
        </w:rPr>
        <w:t>Model Validation Metrics</w:t>
      </w:r>
    </w:p>
    <w:p>
      <w:r>
        <w:rPr>
          <w:rFonts w:ascii="Arial" w:hAnsi="Arial"/>
          <w:b w:val="0"/>
          <w:i w:val="0"/>
          <w:sz w:val="24"/>
        </w:rPr>
        <w:t>The fullness-varied model (Setup V3) achieved the validation metrics shown in Table 4.2. Training curves are presented in Figure 4.6.</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Metric</w:t>
            </w:r>
          </w:p>
        </w:tc>
        <w:tc>
          <w:tcPr>
            <w:tcW w:type="dxa" w:w="4680"/>
          </w:tcPr>
          <w:p>
            <w:pPr>
              <w:jc w:val="center"/>
            </w:pPr>
            <w:r>
              <w:rPr>
                <w:rFonts w:ascii="Arial" w:hAnsi="Arial"/>
                <w:b/>
                <w:sz w:val="20"/>
              </w:rPr>
              <w:t>Value</w:t>
            </w:r>
          </w:p>
        </w:tc>
      </w:tr>
      <w:tr>
        <w:tc>
          <w:tcPr>
            <w:tcW w:type="dxa" w:w="4680"/>
          </w:tcPr>
          <w:p>
            <w:r>
              <w:rPr>
                <w:rFonts w:ascii="Arial" w:hAnsi="Arial"/>
                <w:sz w:val="20"/>
              </w:rPr>
              <w:t>Precision</w:t>
            </w:r>
          </w:p>
        </w:tc>
        <w:tc>
          <w:tcPr>
            <w:tcW w:type="dxa" w:w="4680"/>
          </w:tcPr>
          <w:p>
            <w:r>
              <w:rPr>
                <w:rFonts w:ascii="Arial" w:hAnsi="Arial"/>
                <w:sz w:val="20"/>
              </w:rPr>
              <w:t>0.999</w:t>
            </w:r>
          </w:p>
        </w:tc>
      </w:tr>
      <w:tr>
        <w:tc>
          <w:tcPr>
            <w:tcW w:type="dxa" w:w="4680"/>
          </w:tcPr>
          <w:p>
            <w:r>
              <w:rPr>
                <w:rFonts w:ascii="Arial" w:hAnsi="Arial"/>
                <w:sz w:val="20"/>
              </w:rPr>
              <w:t>Recall</w:t>
            </w:r>
          </w:p>
        </w:tc>
        <w:tc>
          <w:tcPr>
            <w:tcW w:type="dxa" w:w="4680"/>
          </w:tcPr>
          <w:p>
            <w:r>
              <w:rPr>
                <w:rFonts w:ascii="Arial" w:hAnsi="Arial"/>
                <w:sz w:val="20"/>
              </w:rPr>
              <w:t>1.000</w:t>
            </w:r>
          </w:p>
        </w:tc>
      </w:tr>
      <w:tr>
        <w:tc>
          <w:tcPr>
            <w:tcW w:type="dxa" w:w="4680"/>
          </w:tcPr>
          <w:p>
            <w:r>
              <w:rPr>
                <w:rFonts w:ascii="Arial" w:hAnsi="Arial"/>
                <w:sz w:val="20"/>
              </w:rPr>
              <w:t>mAP50</w:t>
            </w:r>
          </w:p>
        </w:tc>
        <w:tc>
          <w:tcPr>
            <w:tcW w:type="dxa" w:w="4680"/>
          </w:tcPr>
          <w:p>
            <w:r>
              <w:rPr>
                <w:rFonts w:ascii="Arial" w:hAnsi="Arial"/>
                <w:sz w:val="20"/>
              </w:rPr>
              <w:t>0.995</w:t>
            </w:r>
          </w:p>
        </w:tc>
      </w:tr>
      <w:tr>
        <w:tc>
          <w:tcPr>
            <w:tcW w:type="dxa" w:w="4680"/>
          </w:tcPr>
          <w:p>
            <w:r>
              <w:rPr>
                <w:rFonts w:ascii="Arial" w:hAnsi="Arial"/>
                <w:sz w:val="20"/>
              </w:rPr>
              <w:t>mAP50-95</w:t>
            </w:r>
          </w:p>
        </w:tc>
        <w:tc>
          <w:tcPr>
            <w:tcW w:type="dxa" w:w="4680"/>
          </w:tcPr>
          <w:p>
            <w:r>
              <w:rPr>
                <w:rFonts w:ascii="Arial" w:hAnsi="Arial"/>
                <w:sz w:val="20"/>
              </w:rPr>
              <w:t>0.935</w:t>
            </w:r>
          </w:p>
        </w:tc>
      </w:tr>
      <w:tr>
        <w:tc>
          <w:tcPr>
            <w:tcW w:type="dxa" w:w="4680"/>
          </w:tcPr>
          <w:p>
            <w:r>
              <w:rPr>
                <w:rFonts w:ascii="Arial" w:hAnsi="Arial"/>
                <w:sz w:val="20"/>
              </w:rPr>
              <w:t>Epochs</w:t>
            </w:r>
          </w:p>
        </w:tc>
        <w:tc>
          <w:tcPr>
            <w:tcW w:type="dxa" w:w="4680"/>
          </w:tcPr>
          <w:p>
            <w:r>
              <w:rPr>
                <w:rFonts w:ascii="Arial" w:hAnsi="Arial"/>
                <w:sz w:val="20"/>
              </w:rPr>
              <w:t>55 (early stopping at epoch 54)</w:t>
            </w:r>
          </w:p>
        </w:tc>
      </w:tr>
    </w:tbl>
    <w:p/>
    <w:p>
      <w:r>
        <w:rPr>
          <w:rFonts w:ascii="Arial" w:hAnsi="Arial"/>
          <w:b w:val="0"/>
          <w:i/>
          <w:sz w:val="20"/>
        </w:rPr>
        <w:t>Table 4.2: YOLOv8-OBB validation metrics (Setup V3).</w:t>
      </w:r>
    </w:p>
    <w:p>
      <w:pPr>
        <w:spacing w:after="240"/>
        <w:jc w:val="center"/>
      </w:pPr>
      <w:r>
        <w:drawing>
          <wp:inline>
            <wp:extent cx="5486400" cy="329184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291840"/>
                    </a:xfrm>
                    <a:prstGeom prst="rect"/>
                  </pic:spPr>
                </pic:pic>
              </a:graphicData>
            </a:graphic>
          </wp:inline>
        </w:drawing>
      </w:r>
    </w:p>
    <w:p>
      <w:pPr>
        <w:jc w:val="center"/>
      </w:pPr>
      <w:r>
        <w:rPr>
          <w:rFonts w:ascii="Arial" w:hAnsi="Arial"/>
          <w:i/>
          <w:sz w:val="20"/>
        </w:rPr>
        <w:t>Figure 4.6: Training curves for Setup V3, showing loss convergence and mAP over epochs.</w:t>
      </w:r>
    </w:p>
    <w:p>
      <w:r>
        <w:rPr>
          <w:rFonts w:ascii="Arial" w:hAnsi="Arial"/>
          <w:b/>
          <w:i w:val="0"/>
          <w:sz w:val="24"/>
        </w:rPr>
        <w:t>Lighting Characterisation</w:t>
      </w:r>
    </w:p>
    <w:p>
      <w:r>
        <w:rPr>
          <w:rFonts w:ascii="Arial" w:hAnsi="Arial"/>
          <w:b w:val="0"/>
          <w:i w:val="0"/>
          <w:sz w:val="24"/>
        </w:rPr>
        <w:t>Detection held at 100% across all 72 readings, including near-darkness at approximately 0 lux. As shown in Figure 4.7, confidence correlated weakly with illuminance (Pearson r = 0.27 linear, r = 0.40 log-lux) and the trend was non-monotonic. The rim-centric detector is not lighting-limited over the station's operating range, satisfying FR-09.</w:t>
      </w:r>
    </w:p>
    <w:p>
      <w:pPr>
        <w:spacing w:after="240"/>
        <w:jc w:val="center"/>
      </w:pPr>
      <w:r>
        <w:drawing>
          <wp:inline>
            <wp:extent cx="5486400" cy="3291840"/>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291840"/>
                    </a:xfrm>
                    <a:prstGeom prst="rect"/>
                  </pic:spPr>
                </pic:pic>
              </a:graphicData>
            </a:graphic>
          </wp:inline>
        </w:drawing>
      </w:r>
    </w:p>
    <w:p>
      <w:pPr>
        <w:jc w:val="center"/>
      </w:pPr>
      <w:r>
        <w:rPr>
          <w:rFonts w:ascii="Arial" w:hAnsi="Arial"/>
          <w:i/>
          <w:sz w:val="20"/>
        </w:rPr>
        <w:t>Figure 4.7: Lighting characterisation results. (a) Lux readings across 9 bins at 8 levels. (b) Confidence versus illuminance scatter plot. (c) Sample detections at approximately 0 lux and 506 lux.</w:t>
      </w:r>
    </w:p>
    <w:p>
      <w:r>
        <w:rPr>
          <w:rFonts w:ascii="Arial" w:hAnsi="Arial"/>
          <w:sz w:val="24"/>
        </w:rPr>
        <w:t>4.2.2 Load Cells</w:t>
      </w:r>
    </w:p>
    <w:p>
      <w:r>
        <w:rPr>
          <w:rFonts w:ascii="Arial" w:hAnsi="Arial"/>
          <w:sz w:val="24"/>
        </w:rPr>
        <w:t>4.2.2.1 Testing Framework</w:t>
      </w:r>
    </w:p>
    <w:p>
      <w:r>
        <w:rPr>
          <w:rFonts w:ascii="Arial" w:hAnsi="Arial"/>
          <w:sz w:val="24"/>
        </w:rPr>
        <w:t>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
        <w:rPr>
          <w:rFonts w:ascii="Arial" w:hAnsi="Arial"/>
          <w:sz w:val="24"/>
        </w:rPr>
        <w:t>Platforms under test.</w:t>
      </w:r>
    </w:p>
    <w:p>
      <w:r>
        <w:rPr>
          <w:rFonts w:ascii="Arial" w:hAnsi="Arial"/>
          <w:sz w:val="24"/>
        </w:rPr>
        <w:t>For the 5 kg and 10 kg platforms, three individual load cells share one rigid base and one bin, with bridge outputs summed in hardware ahead of the HX711 — each platform reports one combined weight, not three independent readings.</w:t>
      </w:r>
    </w:p>
    <w:p>
      <w:r>
        <w:rPr>
          <w:rFonts w:ascii="Arial" w:hAnsi="Arial"/>
          <w:sz w:val="24"/>
        </w:rPr>
        <w:t>Load cell hardware.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
        <w:rPr>
          <w:rFonts w:ascii="Arial" w:hAnsi="Arial"/>
          <w:sz w:val="24"/>
        </w:rPr>
        <w:t>Reference equipment.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
        <w:rPr>
          <w:rFonts w:ascii="Arial" w:hAnsi="Arial"/>
          <w:sz w:val="24"/>
        </w:rPr>
        <w:t>Test scope.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
        <w:rPr>
          <w:rFonts w:ascii="Arial" w:hAnsi="Arial"/>
          <w:sz w:val="24"/>
        </w:rPr>
        <w:t>Test protocol summary.</w:t>
      </w:r>
    </w:p>
    <w:p>
      <w:r>
        <w:rPr>
          <w:rFonts w:ascii="Arial" w:hAnsi="Arial"/>
          <w:sz w:val="24"/>
        </w:rPr>
        <w:t>Test A7 does not appear in the underlying qualification data and is intentionally absent from this report.</w:t>
      </w:r>
    </w:p>
    <w:p>
      <w:r>
        <w:rPr>
          <w:rFonts w:ascii="Arial" w:hAnsi="Arial"/>
          <w:sz w:val="24"/>
        </w:rPr>
        <w:t>Interpreting results against a target. The YZC-133 figures above are per-cell and supplier-published, not independently verified, so they are used below only as an approximate reference —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
        <w:rPr>
          <w:rFonts w:ascii="Arial" w:hAnsi="Arial"/>
          <w:sz w:val="24"/>
        </w:rPr>
        <w:t>4.2.2.2 Evaluation Results</w:t>
      </w:r>
    </w:p>
    <w:p>
      <w:r>
        <w:rPr>
          <w:rFonts w:ascii="Arial" w:hAnsi="Arial"/>
          <w:sz w:val="24"/>
        </w:rPr>
        <w:t>Capability</w:t>
      </w:r>
    </w:p>
    <w:p>
      <w:r>
        <w:rPr>
          <w:rFonts w:ascii="Arial" w:hAnsi="Arial"/>
          <w:sz w:val="24"/>
        </w:rPr>
        <w:t>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
        <w:rPr>
          <w:rFonts w:ascii="Arial" w:hAnsi="Arial"/>
          <w:sz w:val="24"/>
        </w:rPr>
        <w:t>A2 — Repeatability. Against the scaled per-cell targets (0.5 g / 2.5 g / 5.0 g):</w:t>
      </w:r>
    </w:p>
    <w:p>
      <w:r>
        <w:rPr>
          <w:rFonts w:ascii="Arial" w:hAnsi="Arial"/>
          <w:sz w:val="24"/>
        </w:rPr>
        <w:t>The 5 kg, 75% row uses a corrected value: Trial 4 was logged as 2751.151 g, inconsistent with the other four trials (~3750 g) and the row's own printed mean/SD; the confirmed correct value of 3751.151 g is used above.</w:t>
      </w:r>
    </w:p>
    <w:p>
      <w:r>
        <w:rPr>
          <w:rFonts w:ascii="Arial" w:hAnsi="Arial"/>
          <w:sz w:val="24"/>
        </w:rPr>
        <w:t>The 1 kg platform stays within target at every load level tested. The 5 kg and 10 kg platforms sit close to or within target at 50%, then exceed it at 75–100%.</w:t>
      </w:r>
    </w:p>
    <w:p>
      <w:r>
        <w:rPr>
          <w:rFonts w:ascii="Arial" w:hAnsi="Arial"/>
          <w:sz w:val="24"/>
        </w:rPr>
        <w:t>A3 — Hysteresis. Max |up − down| deviation: 0.087 g (1 kg, at 500 g), 5.44 g (5 kg, at 2500 g), 16.99 g (10 kg, at 7500 g) — against scaled targets of 0.5 g, 2.5 g, and 5.0 g respectively.</w:t>
      </w:r>
    </w:p>
    <w:p>
      <w:r>
        <w:rPr>
          <w:rFonts w:ascii="Arial" w:hAnsi="Arial"/>
          <w:sz w:val="24"/>
        </w:rPr>
        <w:t>Stability</w:t>
      </w:r>
    </w:p>
    <w:p>
      <w:r>
        <w:rPr>
          <w:rFonts w:ascii="Arial" w:hAnsi="Arial"/>
          <w:sz w:val="24"/>
        </w:rPr>
        <w:t>A4 — Warm-up drift. All three configs shown at matched timestamps (5 kg/10 kg were logged at coarser 10-minute intervals in the source data; the 1 kg series is shown at the same four points for a fair comparison):</w:t>
      </w:r>
    </w:p>
    <w:p>
      <w:r>
        <w:rPr>
          <w:rFonts w:ascii="Arial" w:hAnsi="Arial"/>
          <w:sz w:val="24"/>
        </w:rPr>
        <w:t>Corrected: the source data listed +0.90 g drift at this point, inconsistent with the reading itself; the reading (5009.76 g) was confirmed correct, giving a drift of −0.10 g.</w:t>
      </w:r>
    </w:p>
    <w:p>
      <w:r>
        <w:rPr>
          <w:rFonts w:ascii="Arial" w:hAnsi="Arial"/>
          <w:sz w:val="24"/>
        </w:rPr>
        <w:t>None of the three platforms show a clear plateau within the 30-minute window: the 1 kg and 10 kg platforms are still trending at t=30; the 5 kg platform's apparent easing between t=20 and t=30 is based on only two points past its peak.</w:t>
      </w:r>
    </w:p>
    <w:p>
      <w:r>
        <w:rPr>
          <w:rFonts w:ascii="Arial" w:hAnsi="Arial"/>
          <w:sz w:val="24"/>
        </w:rPr>
        <w:t>A5 — Creep. At 100% load: 1 kg = +0.055% (+0.55 g) over 15 min; 5 kg = +0.035% (+1.76 g); 10 kg = −0.058% (−5.80 g). These figures are not directly comparable to the supplier's creep spec, which is rated over a 3-minute window rather than the 15 minutes tested here.</w:t>
      </w:r>
    </w:p>
    <w:p>
      <w:r>
        <w:rPr>
          <w:rFonts w:ascii="Arial" w:hAnsi="Arial"/>
          <w:sz w:val="24"/>
        </w:rPr>
        <w:t>Integration</w:t>
      </w:r>
    </w:p>
    <w:p>
      <w:r>
        <w:rPr>
          <w:rFonts w:ascii="Arial" w:hAnsi="Arial"/>
          <w:sz w:val="24"/>
        </w:rPr>
        <w:t>A6 — Off-centre / placement sensitivity.</w:t>
      </w:r>
    </w:p>
    <w:p>
      <w:r>
        <w:rPr>
          <w:rFonts w:ascii="Arial" w:hAnsi="Arial"/>
          <w:sz w:val="24"/>
        </w:rPr>
        <w:t>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
        <w:rPr>
          <w:rFonts w:ascii="Arial" w:hAnsi="Arial"/>
          <w:sz w:val="24"/>
        </w:rPr>
        <w:t>A8 — Settling time. All three platforms settled in under 1 second at every step size tested (1 kg: ~0.4 s; 5 kg: 0.4–0.6 s; 10 kg: 0.4–0.6 s, increasing modestly with step size).</w:t>
      </w:r>
    </w:p>
    <w:p>
      <w:r>
        <w:rPr>
          <w:rFonts w:ascii="Arial" w:hAnsi="Arial"/>
          <w:sz w:val="24"/>
        </w:rPr>
        <w:t>Observed pattern</w:t>
      </w:r>
    </w:p>
    <w:p>
      <w:r>
        <w:rPr>
          <w:rFonts w:ascii="Arial" w:hAnsi="Arial"/>
          <w:sz w:val="24"/>
        </w:rPr>
        <w:t>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pPr>
        <w:pStyle w:val="Heading2"/>
      </w:pPr>
      <w:r>
        <w:t>4.3 Backend Verification (Unit Testing)</w:t>
      </w:r>
    </w:p>
    <w:p>
      <w:pPr>
        <w:pStyle w:val="Heading3"/>
      </w:pPr>
      <w:r>
        <w:t>4.3.1 Testing Framework</w:t>
      </w:r>
    </w:p>
    <w:p>
      <w:r>
        <w:rPr>
          <w:rFonts w:ascii="Arial" w:hAnsi="Arial"/>
          <w:b w:val="0"/>
          <w:i w:val="0"/>
          <w:sz w:val="24"/>
        </w:rPr>
        <w:t>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4.2.2.</w:t>
      </w:r>
    </w:p>
    <w:p>
      <w:pPr>
        <w:pStyle w:val="Heading3"/>
      </w:pPr>
      <w:r>
        <w:t>4.3.2 Evaluation Results</w:t>
      </w:r>
    </w:p>
    <w:p>
      <w:r>
        <w:rPr>
          <w:rFonts w:ascii="Arial" w:hAnsi="Arial"/>
          <w:b w:val="0"/>
          <w:i w:val="0"/>
          <w:sz w:val="24"/>
        </w:rPr>
        <w:t>All 134 test cases across 16 modules pass. Coverage results are presented in Table 4.3 and Figure 4.8.</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Module</w:t>
            </w:r>
          </w:p>
        </w:tc>
        <w:tc>
          <w:tcPr>
            <w:tcW w:type="dxa" w:w="3120"/>
          </w:tcPr>
          <w:p>
            <w:pPr>
              <w:jc w:val="center"/>
            </w:pPr>
            <w:r>
              <w:rPr>
                <w:rFonts w:ascii="Arial" w:hAnsi="Arial"/>
                <w:b/>
                <w:sz w:val="20"/>
              </w:rPr>
              <w:t>Statements</w:t>
            </w:r>
          </w:p>
        </w:tc>
        <w:tc>
          <w:tcPr>
            <w:tcW w:type="dxa" w:w="3120"/>
          </w:tcPr>
          <w:p>
            <w:pPr>
              <w:jc w:val="center"/>
            </w:pPr>
            <w:r>
              <w:rPr>
                <w:rFonts w:ascii="Arial" w:hAnsi="Arial"/>
                <w:b/>
                <w:sz w:val="20"/>
              </w:rPr>
              <w:t>Coverage</w:t>
            </w:r>
          </w:p>
        </w:tc>
      </w:tr>
      <w:tr>
        <w:tc>
          <w:tcPr>
            <w:tcW w:type="dxa" w:w="3120"/>
          </w:tcPr>
          <w:p>
            <w:r>
              <w:rPr>
                <w:rFonts w:ascii="Arial" w:hAnsi="Arial"/>
                <w:sz w:val="20"/>
              </w:rPr>
              <w:t>placement.py (FSM core)</w:t>
            </w:r>
          </w:p>
        </w:tc>
        <w:tc>
          <w:tcPr>
            <w:tcW w:type="dxa" w:w="3120"/>
          </w:tcPr>
          <w:p>
            <w:r>
              <w:rPr>
                <w:rFonts w:ascii="Arial" w:hAnsi="Arial"/>
                <w:sz w:val="20"/>
              </w:rPr>
              <w:t>196</w:t>
            </w:r>
          </w:p>
        </w:tc>
        <w:tc>
          <w:tcPr>
            <w:tcW w:type="dxa" w:w="3120"/>
          </w:tcPr>
          <w:p>
            <w:r>
              <w:rPr>
                <w:rFonts w:ascii="Arial" w:hAnsi="Arial"/>
                <w:sz w:val="20"/>
              </w:rPr>
              <w:t>98%</w:t>
            </w:r>
          </w:p>
        </w:tc>
      </w:tr>
      <w:tr>
        <w:tc>
          <w:tcPr>
            <w:tcW w:type="dxa" w:w="3120"/>
          </w:tcPr>
          <w:p>
            <w:r>
              <w:rPr>
                <w:rFonts w:ascii="Arial" w:hAnsi="Arial"/>
                <w:sz w:val="20"/>
              </w:rPr>
              <w:t>bin_assignment.py</w:t>
            </w:r>
          </w:p>
        </w:tc>
        <w:tc>
          <w:tcPr>
            <w:tcW w:type="dxa" w:w="3120"/>
          </w:tcPr>
          <w:p>
            <w:r>
              <w:rPr>
                <w:rFonts w:ascii="Arial" w:hAnsi="Arial"/>
                <w:sz w:val="20"/>
              </w:rPr>
              <w:t>260</w:t>
            </w:r>
          </w:p>
        </w:tc>
        <w:tc>
          <w:tcPr>
            <w:tcW w:type="dxa" w:w="3120"/>
          </w:tcPr>
          <w:p>
            <w:r>
              <w:rPr>
                <w:rFonts w:ascii="Arial" w:hAnsi="Arial"/>
                <w:sz w:val="20"/>
              </w:rPr>
              <w:t>83%</w:t>
            </w:r>
          </w:p>
        </w:tc>
      </w:tr>
      <w:tr>
        <w:tc>
          <w:tcPr>
            <w:tcW w:type="dxa" w:w="3120"/>
          </w:tcPr>
          <w:p>
            <w:r>
              <w:rPr>
                <w:rFonts w:ascii="Arial" w:hAnsi="Arial"/>
                <w:sz w:val="20"/>
              </w:rPr>
              <w:t>occlusion_hold.py</w:t>
            </w:r>
          </w:p>
        </w:tc>
        <w:tc>
          <w:tcPr>
            <w:tcW w:type="dxa" w:w="3120"/>
          </w:tcPr>
          <w:p>
            <w:r>
              <w:rPr>
                <w:rFonts w:ascii="Arial" w:hAnsi="Arial"/>
                <w:sz w:val="20"/>
              </w:rPr>
              <w:t>35</w:t>
            </w:r>
          </w:p>
        </w:tc>
        <w:tc>
          <w:tcPr>
            <w:tcW w:type="dxa" w:w="3120"/>
          </w:tcPr>
          <w:p>
            <w:r>
              <w:rPr>
                <w:rFonts w:ascii="Arial" w:hAnsi="Arial"/>
                <w:sz w:val="20"/>
              </w:rPr>
              <w:t>100%</w:t>
            </w:r>
          </w:p>
        </w:tc>
      </w:tr>
      <w:tr>
        <w:tc>
          <w:tcPr>
            <w:tcW w:type="dxa" w:w="3120"/>
          </w:tcPr>
          <w:p>
            <w:r>
              <w:rPr>
                <w:rFonts w:ascii="Arial" w:hAnsi="Arial"/>
                <w:sz w:val="20"/>
              </w:rPr>
              <w:t>grid_allocator.py</w:t>
            </w:r>
          </w:p>
        </w:tc>
        <w:tc>
          <w:tcPr>
            <w:tcW w:type="dxa" w:w="3120"/>
          </w:tcPr>
          <w:p>
            <w:r>
              <w:rPr>
                <w:rFonts w:ascii="Arial" w:hAnsi="Arial"/>
                <w:sz w:val="20"/>
              </w:rPr>
              <w:t>107</w:t>
            </w:r>
          </w:p>
        </w:tc>
        <w:tc>
          <w:tcPr>
            <w:tcW w:type="dxa" w:w="3120"/>
          </w:tcPr>
          <w:p>
            <w:r>
              <w:rPr>
                <w:rFonts w:ascii="Arial" w:hAnsi="Arial"/>
                <w:sz w:val="20"/>
              </w:rPr>
              <w:t>93%</w:t>
            </w:r>
          </w:p>
        </w:tc>
      </w:tr>
      <w:tr>
        <w:tc>
          <w:tcPr>
            <w:tcW w:type="dxa" w:w="3120"/>
          </w:tcPr>
          <w:p>
            <w:r>
              <w:rPr>
                <w:rFonts w:ascii="Arial" w:hAnsi="Arial"/>
                <w:sz w:val="20"/>
              </w:rPr>
              <w:t>grid_calibrator.py</w:t>
            </w:r>
          </w:p>
        </w:tc>
        <w:tc>
          <w:tcPr>
            <w:tcW w:type="dxa" w:w="3120"/>
          </w:tcPr>
          <w:p>
            <w:r>
              <w:rPr>
                <w:rFonts w:ascii="Arial" w:hAnsi="Arial"/>
                <w:sz w:val="20"/>
              </w:rPr>
              <w:t>79</w:t>
            </w:r>
          </w:p>
        </w:tc>
        <w:tc>
          <w:tcPr>
            <w:tcW w:type="dxa" w:w="3120"/>
          </w:tcPr>
          <w:p>
            <w:r>
              <w:rPr>
                <w:rFonts w:ascii="Arial" w:hAnsi="Arial"/>
                <w:sz w:val="20"/>
              </w:rPr>
              <w:t>96%</w:t>
            </w:r>
          </w:p>
        </w:tc>
      </w:tr>
      <w:tr>
        <w:tc>
          <w:tcPr>
            <w:tcW w:type="dxa" w:w="3120"/>
          </w:tcPr>
          <w:p>
            <w:r>
              <w:rPr>
                <w:rFonts w:ascii="Arial" w:hAnsi="Arial"/>
                <w:sz w:val="20"/>
              </w:rPr>
              <w:t>grid_session.py</w:t>
            </w:r>
          </w:p>
        </w:tc>
        <w:tc>
          <w:tcPr>
            <w:tcW w:type="dxa" w:w="3120"/>
          </w:tcPr>
          <w:p>
            <w:r>
              <w:rPr>
                <w:rFonts w:ascii="Arial" w:hAnsi="Arial"/>
                <w:sz w:val="20"/>
              </w:rPr>
              <w:t>74</w:t>
            </w:r>
          </w:p>
        </w:tc>
        <w:tc>
          <w:tcPr>
            <w:tcW w:type="dxa" w:w="3120"/>
          </w:tcPr>
          <w:p>
            <w:r>
              <w:rPr>
                <w:rFonts w:ascii="Arial" w:hAnsi="Arial"/>
                <w:sz w:val="20"/>
              </w:rPr>
              <w:t>95%</w:t>
            </w:r>
          </w:p>
        </w:tc>
      </w:tr>
      <w:tr>
        <w:tc>
          <w:tcPr>
            <w:tcW w:type="dxa" w:w="3120"/>
          </w:tcPr>
          <w:p>
            <w:r>
              <w:rPr>
                <w:rFonts w:ascii="Arial" w:hAnsi="Arial"/>
                <w:sz w:val="20"/>
              </w:rPr>
              <w:t>inventory.py</w:t>
            </w:r>
          </w:p>
        </w:tc>
        <w:tc>
          <w:tcPr>
            <w:tcW w:type="dxa" w:w="3120"/>
          </w:tcPr>
          <w:p>
            <w:r>
              <w:rPr>
                <w:rFonts w:ascii="Arial" w:hAnsi="Arial"/>
                <w:sz w:val="20"/>
              </w:rPr>
              <w:t>45</w:t>
            </w:r>
          </w:p>
        </w:tc>
        <w:tc>
          <w:tcPr>
            <w:tcW w:type="dxa" w:w="3120"/>
          </w:tcPr>
          <w:p>
            <w:r>
              <w:rPr>
                <w:rFonts w:ascii="Arial" w:hAnsi="Arial"/>
                <w:sz w:val="20"/>
              </w:rPr>
              <w:t>78%</w:t>
            </w:r>
          </w:p>
        </w:tc>
      </w:tr>
      <w:tr>
        <w:tc>
          <w:tcPr>
            <w:tcW w:type="dxa" w:w="3120"/>
          </w:tcPr>
          <w:p>
            <w:r>
              <w:rPr>
                <w:rFonts w:ascii="Arial" w:hAnsi="Arial"/>
                <w:sz w:val="20"/>
              </w:rPr>
              <w:t>cycle.py</w:t>
            </w:r>
          </w:p>
        </w:tc>
        <w:tc>
          <w:tcPr>
            <w:tcW w:type="dxa" w:w="3120"/>
          </w:tcPr>
          <w:p>
            <w:r>
              <w:rPr>
                <w:rFonts w:ascii="Arial" w:hAnsi="Arial"/>
                <w:sz w:val="20"/>
              </w:rPr>
              <w:t>39</w:t>
            </w:r>
          </w:p>
        </w:tc>
        <w:tc>
          <w:tcPr>
            <w:tcW w:type="dxa" w:w="3120"/>
          </w:tcPr>
          <w:p>
            <w:r>
              <w:rPr>
                <w:rFonts w:ascii="Arial" w:hAnsi="Arial"/>
                <w:sz w:val="20"/>
              </w:rPr>
              <w:t>100%</w:t>
            </w:r>
          </w:p>
        </w:tc>
      </w:tr>
      <w:tr>
        <w:tc>
          <w:tcPr>
            <w:tcW w:type="dxa" w:w="3120"/>
          </w:tcPr>
          <w:p>
            <w:r>
              <w:rPr>
                <w:rFonts w:ascii="Arial" w:hAnsi="Arial"/>
                <w:sz w:val="20"/>
              </w:rPr>
              <w:t>Overall project</w:t>
            </w:r>
          </w:p>
        </w:tc>
        <w:tc>
          <w:tcPr>
            <w:tcW w:type="dxa" w:w="3120"/>
          </w:tcPr>
          <w:p>
            <w:r>
              <w:rPr>
                <w:rFonts w:ascii="Arial" w:hAnsi="Arial"/>
                <w:sz w:val="20"/>
              </w:rPr>
              <w:t>2,569</w:t>
            </w:r>
          </w:p>
        </w:tc>
        <w:tc>
          <w:tcPr>
            <w:tcW w:type="dxa" w:w="3120"/>
          </w:tcPr>
          <w:p>
            <w:r>
              <w:rPr>
                <w:rFonts w:ascii="Arial" w:hAnsi="Arial"/>
                <w:sz w:val="20"/>
              </w:rPr>
              <w:t>50%</w:t>
            </w:r>
          </w:p>
        </w:tc>
      </w:tr>
    </w:tbl>
    <w:p/>
    <w:p>
      <w:r>
        <w:rPr>
          <w:rFonts w:ascii="Arial" w:hAnsi="Arial"/>
          <w:b w:val="0"/>
          <w:i/>
          <w:sz w:val="20"/>
        </w:rPr>
        <w:t>Table 4.3: Unit test coverage summary (134/134 passing).</w:t>
      </w:r>
    </w:p>
    <w:p>
      <w:r>
        <w:rPr>
          <w:rFonts w:ascii="Arial" w:hAnsi="Arial"/>
          <w:b w:val="0"/>
          <w:i w:val="0"/>
          <w:sz w:val="24"/>
        </w:rPr>
        <w:t>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pPr>
        <w:spacing w:after="240"/>
        <w:jc w:val="center"/>
      </w:pPr>
      <w:r>
        <w:drawing>
          <wp:inline>
            <wp:extent cx="5486400" cy="10489997"/>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10489997"/>
                    </a:xfrm>
                    <a:prstGeom prst="rect"/>
                  </pic:spPr>
                </pic:pic>
              </a:graphicData>
            </a:graphic>
          </wp:inline>
        </w:drawing>
      </w:r>
    </w:p>
    <w:p>
      <w:pPr>
        <w:jc w:val="center"/>
      </w:pPr>
      <w:r>
        <w:rPr>
          <w:rFonts w:ascii="Arial" w:hAnsi="Arial"/>
          <w:i/>
          <w:sz w:val="20"/>
        </w:rPr>
        <w:t>Figure 4.8: (a) Pytest terminal output showing 134/134 tests passing. (b) Coverage report summary for the core verification modules.</w:t>
      </w:r>
    </w:p>
    <w:p>
      <w:pPr>
        <w:pStyle w:val="Heading2"/>
      </w:pPr>
      <w:r>
        <w:t>4.4 Developer-Phase Iterations</w:t>
      </w:r>
    </w:p>
    <w:p>
      <w:r>
        <w:rPr>
          <w:rFonts w:ascii="Arial" w:hAnsi="Arial"/>
          <w:b w:val="0"/>
          <w:i w:val="0"/>
          <w:sz w:val="24"/>
        </w:rPr>
        <w:t>Two significant iterations arose from the functional testing phase. Both follow a structured gap-to-solution-to-validation pattern.</w:t>
      </w:r>
    </w:p>
    <w:p>
      <w:pPr>
        <w:pStyle w:val="Heading3"/>
      </w:pPr>
      <w:r>
        <w:t>4.4.1 Hardware Iteration: Load Cell Platform Redesign</w:t>
      </w:r>
    </w:p>
    <w:p>
      <w:r>
        <w:rPr>
          <w:rFonts w:ascii="Arial" w:hAnsi="Arial"/>
          <w:b w:val="0"/>
          <w:i w:val="0"/>
          <w:sz w:val="24"/>
        </w:rPr>
        <w:t>Gap: Bench testing revealed that a single cantilever load cell could not support larger bins without tipping, while expanding the platform on a single-point cell introduced extreme off-centre measurement errors [Table 4.5].</w:t>
      </w:r>
    </w:p>
    <w:p>
      <w:r>
        <w:rPr>
          <w:rFonts w:ascii="Arial" w:hAnsi="Arial"/>
          <w:b w:val="0"/>
          <w:i w:val="0"/>
          <w:sz w:val="24"/>
        </w:rPr>
        <w:t>Solution: The platform was redesigned as a three-point summed load cell triangle for medium and large bin configurations. This configuration stabilises the centre of gravity within the support triangle while the HX711 summation circuit maintains a single-channel interface to the microcontroller, preserving full software compatibility.</w:t>
      </w:r>
    </w:p>
    <w:p>
      <w:pPr>
        <w:jc w:val="center"/>
      </w:pPr>
      <w:r>
        <w:rPr>
          <w:i/>
          <w:color w:val="969696"/>
          <w:sz w:val="22"/>
        </w:rPr>
        <w:t>[INSERT FIGURE HERE]</w:t>
      </w:r>
    </w:p>
    <w:p>
      <w:pPr>
        <w:spacing w:after="240"/>
        <w:jc w:val="center"/>
      </w:pPr>
      <w:r>
        <w:rPr>
          <w:rFonts w:ascii="Arial" w:hAnsi="Arial"/>
          <w:i/>
          <w:sz w:val="20"/>
        </w:rPr>
        <w:t>Figure 4.9: Load cell platform evolution. (a) Initial single-cell cantilever platform exhibiting tipping instability. (b) Final three-point triangle configuration with stable bin seating.</w:t>
      </w:r>
    </w:p>
    <w:p>
      <w:pPr>
        <w:pStyle w:val="Heading3"/>
      </w:pPr>
      <w:r>
        <w:t>4.4.2 Software Iteration: Occlusion Gate</w:t>
      </w:r>
    </w:p>
    <w:p>
      <w:r>
        <w:rPr>
          <w:rFonts w:ascii="Arial" w:hAnsi="Arial"/>
          <w:b w:val="0"/>
          <w:i w:val="0"/>
          <w:sz w:val="24"/>
        </w:rPr>
        <w:t>Gap: During integration testing, a critical computer vision error was identified when operators reached into the bottom row of bins. The shelf lip of the two-tier rack physically occludes the operator's fingertips, causing MediaPipe to extrapolate the index fingertip upward into the geofence of the top-tier bins. This produced false "Out-of-Sequence" and "Wrong-Bin" alarms, as illustrated in Figure 4.10a-b.</w:t>
      </w:r>
    </w:p>
    <w:p>
      <w:r>
        <w:rPr>
          <w:rFonts w:ascii="Arial" w:hAnsi="Arial"/>
          <w:b w:val="0"/>
          <w:i w:val="0"/>
          <w:sz w:val="24"/>
        </w:rPr>
        <w:t>Solution: An Occlusion Gate was implemented within the bin assignment engine. The gate verifies the position of the hand's proximal anchors (wrist landmark and MCP knuckle centroid), which remain visible below the shelf lip even when the distal joints are occluded. When these anchors are detected at or below the bottom-bin boundary, the gate overrides any fingertip-derived top-bin assignment and forces the correct bottom-bin assignment [Figure 4.10c].</w:t>
      </w:r>
    </w:p>
    <w:p>
      <w:r>
        <w:rPr>
          <w:rFonts w:ascii="Arial" w:hAnsi="Arial"/>
          <w:b w:val="0"/>
          <w:i w:val="0"/>
          <w:sz w:val="24"/>
        </w:rPr>
        <w:t>A stateful Occlusion Hold module was additionally developed to address complete hand disappearance behind the shelf lip. The hold module maintains the last-known bottom-bin assignment for a configurable timeout (default: 500 ms), releasing only when the hand reappears.</w:t>
      </w:r>
    </w:p>
    <w:p>
      <w:r>
        <w:rPr>
          <w:rFonts w:ascii="Arial" w:hAnsi="Arial"/>
          <w:b w:val="0"/>
          <w:i w:val="0"/>
          <w:sz w:val="24"/>
        </w:rPr>
        <w:t>Both modules are covered by the unit test suite: 22 test cases for the gate and 12 for the hold, all passing. The combined effect eliminated the false-alarm issue in subsequent integration testing.</w:t>
      </w:r>
    </w:p>
    <w:p>
      <w:pPr>
        <w:jc w:val="center"/>
      </w:pPr>
      <w:r>
        <w:rPr>
          <w:i/>
          <w:color w:val="969696"/>
          <w:sz w:val="22"/>
        </w:rPr>
        <w:t>[INSERT FIGURE HERE]</w:t>
      </w:r>
    </w:p>
    <w:p>
      <w:pPr>
        <w:spacing w:after="240"/>
        <w:jc w:val="center"/>
      </w:pPr>
      <w:r>
        <w:rPr>
          <w:rFonts w:ascii="Arial" w:hAnsi="Arial"/>
          <w:i/>
          <w:sz w:val="20"/>
        </w:rPr>
        <w:t>Figure 4.10: Occlusion Gate operation. (a) Side-view schematic showing the shelf lip occluding fingertips during a bottom-bin reach. (b) Without the gate: false top-bin assignment. (c) With the gate: proximal anchor detection overrides to the correct bottom bin.</w:t>
      </w:r>
    </w:p>
    <w:p>
      <w:r>
        <w:br w:type="page"/>
      </w:r>
    </w:p>
    <w:p>
      <w:pPr>
        <w:pStyle w:val="Heading1"/>
      </w:pPr>
      <w:r>
        <w:t>Chapter 5: User Testing &amp; Validation</w:t>
      </w:r>
    </w:p>
    <w:p>
      <w:r>
        <w:rPr>
          <w:rFonts w:ascii="Arial" w:hAnsi="Arial"/>
          <w:b w:val="0"/>
          <w:i w:val="0"/>
          <w:sz w:val="24"/>
        </w:rPr>
        <w:t>This chapter presents system-level validation of the integrated prototype, comprising a developer user study, the HMI iteration driven by operator feedback, a final stakeholder validation with TE Connectivity, and the formal requirements traceability matrix.</w:t>
      </w:r>
    </w:p>
    <w:p>
      <w:pPr>
        <w:pStyle w:val="Heading2"/>
      </w:pPr>
      <w:r>
        <w:t>5.1 Usability Study</w:t>
      </w:r>
    </w:p>
    <w:p>
      <w:pPr>
        <w:pStyle w:val="Heading3"/>
      </w:pPr>
      <w:r>
        <w:t>5.1.1 Testing Framework</w:t>
      </w:r>
    </w:p>
    <w:p>
      <w:r>
        <w:rPr>
          <w:rFonts w:ascii="Arial" w:hAnsi="Arial"/>
          <w:b w:val="0"/>
          <w:i w:val="0"/>
          <w:sz w:val="24"/>
        </w:rPr>
        <w:t>The integrated system was evaluated through a structured usability study with six operators conducted between 8 and 13 July 2026. The study employed a within-subjects, counterbalanced design in which each operator completed a paper-based Control block and an AEGIS System block with three bills of materials (BOMs) per block. Block order was counterbalanced across participants to control for learning effects. The participant schedule is shown in Table 5.1.</w:t>
      </w:r>
    </w:p>
    <w:p>
      <w:r>
        <w:rPr>
          <w:rFonts w:ascii="Arial" w:hAnsi="Arial"/>
          <w:b w:val="0"/>
          <w:i w:val="0"/>
          <w:sz w:val="24"/>
        </w:rPr>
        <w:t>Each session comprised three phases: (1) a structured alert walkthrough across all four fault types, (2) a rating interview across nine dimensions scored on a 1 to 5 Likert scale, and (3) an open-ended interview capturing free-form feedback. The nine dimensions were selected to separate task communication (what and how many to pack) from exception communication (warnings, errors, and corrective instructions).</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Operator</w:t>
            </w:r>
          </w:p>
        </w:tc>
        <w:tc>
          <w:tcPr>
            <w:tcW w:type="dxa" w:w="2340"/>
          </w:tcPr>
          <w:p>
            <w:pPr>
              <w:jc w:val="center"/>
            </w:pPr>
            <w:r>
              <w:rPr>
                <w:rFonts w:ascii="Arial" w:hAnsi="Arial"/>
                <w:b/>
                <w:sz w:val="20"/>
              </w:rPr>
              <w:t>Date</w:t>
            </w:r>
          </w:p>
        </w:tc>
        <w:tc>
          <w:tcPr>
            <w:tcW w:type="dxa" w:w="2340"/>
          </w:tcPr>
          <w:p>
            <w:pPr>
              <w:jc w:val="center"/>
            </w:pPr>
            <w:r>
              <w:rPr>
                <w:rFonts w:ascii="Arial" w:hAnsi="Arial"/>
                <w:b/>
                <w:sz w:val="20"/>
              </w:rPr>
              <w:t>Group</w:t>
            </w:r>
          </w:p>
        </w:tc>
        <w:tc>
          <w:tcPr>
            <w:tcW w:type="dxa" w:w="2340"/>
          </w:tcPr>
          <w:p>
            <w:pPr>
              <w:jc w:val="center"/>
            </w:pPr>
            <w:r>
              <w:rPr>
                <w:rFonts w:ascii="Arial" w:hAnsi="Arial"/>
                <w:b/>
                <w:sz w:val="20"/>
              </w:rPr>
              <w:t>BOM Order</w:t>
            </w:r>
          </w:p>
        </w:tc>
      </w:tr>
      <w:tr>
        <w:tc>
          <w:tcPr>
            <w:tcW w:type="dxa" w:w="2340"/>
          </w:tcPr>
          <w:p>
            <w:r>
              <w:rPr>
                <w:rFonts w:ascii="Arial" w:hAnsi="Arial"/>
                <w:sz w:val="20"/>
              </w:rPr>
              <w:t>Benny</w:t>
            </w:r>
          </w:p>
        </w:tc>
        <w:tc>
          <w:tcPr>
            <w:tcW w:type="dxa" w:w="2340"/>
          </w:tcPr>
          <w:p>
            <w:r>
              <w:rPr>
                <w:rFonts w:ascii="Arial" w:hAnsi="Arial"/>
                <w:sz w:val="20"/>
              </w:rPr>
              <w:t>8 Jul</w:t>
            </w:r>
          </w:p>
        </w:tc>
        <w:tc>
          <w:tcPr>
            <w:tcW w:type="dxa" w:w="2340"/>
          </w:tcPr>
          <w:p>
            <w:r>
              <w:rPr>
                <w:rFonts w:ascii="Arial" w:hAnsi="Arial"/>
                <w:sz w:val="20"/>
              </w:rPr>
              <w:t>*</w:t>
            </w:r>
          </w:p>
        </w:tc>
        <w:tc>
          <w:tcPr>
            <w:tcW w:type="dxa" w:w="2340"/>
          </w:tcPr>
          <w:p>
            <w:r>
              <w:rPr>
                <w:rFonts w:ascii="Arial" w:hAnsi="Arial"/>
                <w:sz w:val="20"/>
              </w:rPr>
              <w:t>1, 2, 3</w:t>
            </w:r>
          </w:p>
        </w:tc>
      </w:tr>
      <w:tr>
        <w:tc>
          <w:tcPr>
            <w:tcW w:type="dxa" w:w="2340"/>
          </w:tcPr>
          <w:p>
            <w:r>
              <w:rPr>
                <w:rFonts w:ascii="Arial" w:hAnsi="Arial"/>
                <w:sz w:val="20"/>
              </w:rPr>
              <w:t>Chloe</w:t>
            </w:r>
          </w:p>
        </w:tc>
        <w:tc>
          <w:tcPr>
            <w:tcW w:type="dxa" w:w="2340"/>
          </w:tcPr>
          <w:p>
            <w:r>
              <w:rPr>
                <w:rFonts w:ascii="Arial" w:hAnsi="Arial"/>
                <w:sz w:val="20"/>
              </w:rPr>
              <w:t>8 Jul</w:t>
            </w:r>
          </w:p>
        </w:tc>
        <w:tc>
          <w:tcPr>
            <w:tcW w:type="dxa" w:w="2340"/>
          </w:tcPr>
          <w:p>
            <w:r>
              <w:rPr>
                <w:rFonts w:ascii="Arial" w:hAnsi="Arial"/>
                <w:sz w:val="20"/>
              </w:rPr>
              <w:t>B</w:t>
            </w:r>
          </w:p>
        </w:tc>
        <w:tc>
          <w:tcPr>
            <w:tcW w:type="dxa" w:w="2340"/>
          </w:tcPr>
          <w:p>
            <w:r>
              <w:rPr>
                <w:rFonts w:ascii="Arial" w:hAnsi="Arial"/>
                <w:sz w:val="20"/>
              </w:rPr>
              <w:t>2, 3, 1</w:t>
            </w:r>
          </w:p>
        </w:tc>
      </w:tr>
      <w:tr>
        <w:tc>
          <w:tcPr>
            <w:tcW w:type="dxa" w:w="2340"/>
          </w:tcPr>
          <w:p>
            <w:r>
              <w:rPr>
                <w:rFonts w:ascii="Arial" w:hAnsi="Arial"/>
                <w:sz w:val="20"/>
              </w:rPr>
              <w:t>Ming Zhan</w:t>
            </w:r>
          </w:p>
        </w:tc>
        <w:tc>
          <w:tcPr>
            <w:tcW w:type="dxa" w:w="2340"/>
          </w:tcPr>
          <w:p>
            <w:r>
              <w:rPr>
                <w:rFonts w:ascii="Arial" w:hAnsi="Arial"/>
                <w:sz w:val="20"/>
              </w:rPr>
              <w:t>8 Jul</w:t>
            </w:r>
          </w:p>
        </w:tc>
        <w:tc>
          <w:tcPr>
            <w:tcW w:type="dxa" w:w="2340"/>
          </w:tcPr>
          <w:p>
            <w:r>
              <w:rPr>
                <w:rFonts w:ascii="Arial" w:hAnsi="Arial"/>
                <w:sz w:val="20"/>
              </w:rPr>
              <w:t>B</w:t>
            </w:r>
          </w:p>
        </w:tc>
        <w:tc>
          <w:tcPr>
            <w:tcW w:type="dxa" w:w="2340"/>
          </w:tcPr>
          <w:p>
            <w:r>
              <w:rPr>
                <w:rFonts w:ascii="Arial" w:hAnsi="Arial"/>
                <w:sz w:val="20"/>
              </w:rPr>
              <w:t>2, 1, 3</w:t>
            </w:r>
          </w:p>
        </w:tc>
      </w:tr>
      <w:tr>
        <w:tc>
          <w:tcPr>
            <w:tcW w:type="dxa" w:w="2340"/>
          </w:tcPr>
          <w:p>
            <w:r>
              <w:rPr>
                <w:rFonts w:ascii="Arial" w:hAnsi="Arial"/>
                <w:sz w:val="20"/>
              </w:rPr>
              <w:t>Song Yi</w:t>
            </w:r>
          </w:p>
        </w:tc>
        <w:tc>
          <w:tcPr>
            <w:tcW w:type="dxa" w:w="2340"/>
          </w:tcPr>
          <w:p>
            <w:r>
              <w:rPr>
                <w:rFonts w:ascii="Arial" w:hAnsi="Arial"/>
                <w:sz w:val="20"/>
              </w:rPr>
              <w:t>9 Jul</w:t>
            </w:r>
          </w:p>
        </w:tc>
        <w:tc>
          <w:tcPr>
            <w:tcW w:type="dxa" w:w="2340"/>
          </w:tcPr>
          <w:p>
            <w:r>
              <w:rPr>
                <w:rFonts w:ascii="Arial" w:hAnsi="Arial"/>
                <w:sz w:val="20"/>
              </w:rPr>
              <w:t>A</w:t>
            </w:r>
          </w:p>
        </w:tc>
        <w:tc>
          <w:tcPr>
            <w:tcW w:type="dxa" w:w="2340"/>
          </w:tcPr>
          <w:p>
            <w:r>
              <w:rPr>
                <w:rFonts w:ascii="Arial" w:hAnsi="Arial"/>
                <w:sz w:val="20"/>
              </w:rPr>
              <w:t>2, 1, 3</w:t>
            </w:r>
          </w:p>
        </w:tc>
      </w:tr>
      <w:tr>
        <w:tc>
          <w:tcPr>
            <w:tcW w:type="dxa" w:w="2340"/>
          </w:tcPr>
          <w:p>
            <w:r>
              <w:rPr>
                <w:rFonts w:ascii="Arial" w:hAnsi="Arial"/>
                <w:sz w:val="20"/>
              </w:rPr>
              <w:t>Royce</w:t>
            </w:r>
          </w:p>
        </w:tc>
        <w:tc>
          <w:tcPr>
            <w:tcW w:type="dxa" w:w="2340"/>
          </w:tcPr>
          <w:p>
            <w:r>
              <w:rPr>
                <w:rFonts w:ascii="Arial" w:hAnsi="Arial"/>
                <w:sz w:val="20"/>
              </w:rPr>
              <w:t>10 Jul</w:t>
            </w:r>
          </w:p>
        </w:tc>
        <w:tc>
          <w:tcPr>
            <w:tcW w:type="dxa" w:w="2340"/>
          </w:tcPr>
          <w:p>
            <w:r>
              <w:rPr>
                <w:rFonts w:ascii="Arial" w:hAnsi="Arial"/>
                <w:sz w:val="20"/>
              </w:rPr>
              <w:t>A</w:t>
            </w:r>
          </w:p>
        </w:tc>
        <w:tc>
          <w:tcPr>
            <w:tcW w:type="dxa" w:w="2340"/>
          </w:tcPr>
          <w:p>
            <w:r>
              <w:rPr>
                <w:rFonts w:ascii="Arial" w:hAnsi="Arial"/>
                <w:sz w:val="20"/>
              </w:rPr>
              <w:t>3, 2, 1</w:t>
            </w:r>
          </w:p>
        </w:tc>
      </w:tr>
      <w:tr>
        <w:tc>
          <w:tcPr>
            <w:tcW w:type="dxa" w:w="2340"/>
          </w:tcPr>
          <w:p>
            <w:r>
              <w:rPr>
                <w:rFonts w:ascii="Arial" w:hAnsi="Arial"/>
                <w:sz w:val="20"/>
              </w:rPr>
              <w:t>Jack</w:t>
            </w:r>
          </w:p>
        </w:tc>
        <w:tc>
          <w:tcPr>
            <w:tcW w:type="dxa" w:w="2340"/>
          </w:tcPr>
          <w:p>
            <w:r>
              <w:rPr>
                <w:rFonts w:ascii="Arial" w:hAnsi="Arial"/>
                <w:sz w:val="20"/>
              </w:rPr>
              <w:t>13 Jul</w:t>
            </w:r>
          </w:p>
        </w:tc>
        <w:tc>
          <w:tcPr>
            <w:tcW w:type="dxa" w:w="2340"/>
          </w:tcPr>
          <w:p>
            <w:r>
              <w:rPr>
                <w:rFonts w:ascii="Arial" w:hAnsi="Arial"/>
                <w:sz w:val="20"/>
              </w:rPr>
              <w:t>B</w:t>
            </w:r>
          </w:p>
        </w:tc>
        <w:tc>
          <w:tcPr>
            <w:tcW w:type="dxa" w:w="2340"/>
          </w:tcPr>
          <w:p>
            <w:r>
              <w:rPr>
                <w:rFonts w:ascii="Arial" w:hAnsi="Arial"/>
                <w:sz w:val="20"/>
              </w:rPr>
              <w:t>1, 3, 2</w:t>
            </w:r>
          </w:p>
        </w:tc>
      </w:tr>
    </w:tbl>
    <w:p/>
    <w:p>
      <w:r>
        <w:rPr>
          <w:rFonts w:ascii="Arial" w:hAnsi="Arial"/>
          <w:b w:val="0"/>
          <w:i/>
          <w:sz w:val="20"/>
        </w:rPr>
        <w:t>Table 5.1: Participant schedule. *Benny's session used an earlier protocol (pilot).</w:t>
      </w:r>
    </w:p>
    <w:p>
      <w:pPr>
        <w:spacing w:after="240"/>
        <w:jc w:val="center"/>
      </w:pPr>
      <w:r>
        <w:drawing>
          <wp:inline>
            <wp:extent cx="5486400" cy="1472522"/>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1472522"/>
                    </a:xfrm>
                    <a:prstGeom prst="rect"/>
                  </pic:spPr>
                </pic:pic>
              </a:graphicData>
            </a:graphic>
          </wp:inline>
        </w:drawing>
      </w:r>
    </w:p>
    <w:p>
      <w:pPr>
        <w:jc w:val="center"/>
      </w:pPr>
      <w:r>
        <w:rPr>
          <w:rFonts w:ascii="Arial" w:hAnsi="Arial"/>
          <w:i/>
          <w:sz w:val="20"/>
        </w:rPr>
        <w:t>Figure 5.1: Usability study setup. (a) Operator using AEGIS during a kitting task. (b) Paper-based control condition.</w:t>
      </w:r>
    </w:p>
    <w:p>
      <w:pPr>
        <w:pStyle w:val="Heading3"/>
      </w:pPr>
      <w:r>
        <w:t>5.1.2 Evaluation Results</w:t>
      </w:r>
    </w:p>
    <w:p>
      <w:r>
        <w:rPr>
          <w:rFonts w:ascii="Arial" w:hAnsi="Arial"/>
          <w:b w:val="0"/>
          <w:i w:val="0"/>
          <w:sz w:val="24"/>
        </w:rPr>
        <w:t>Operator ratings are summarised in Table 5.2. The distribution of individual ratings is shown in Figure 5.2.</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b/>
                <w:sz w:val="20"/>
              </w:rPr>
              <w:t>ID</w:t>
            </w:r>
          </w:p>
        </w:tc>
        <w:tc>
          <w:tcPr>
            <w:tcW w:type="dxa" w:w="1872"/>
          </w:tcPr>
          <w:p>
            <w:pPr>
              <w:jc w:val="center"/>
            </w:pPr>
            <w:r>
              <w:rPr>
                <w:rFonts w:ascii="Arial" w:hAnsi="Arial"/>
                <w:b/>
                <w:sz w:val="20"/>
              </w:rPr>
              <w:t>Dimension</w:t>
            </w:r>
          </w:p>
        </w:tc>
        <w:tc>
          <w:tcPr>
            <w:tcW w:type="dxa" w:w="1872"/>
          </w:tcPr>
          <w:p>
            <w:pPr>
              <w:jc w:val="center"/>
            </w:pPr>
            <w:r>
              <w:rPr>
                <w:rFonts w:ascii="Arial" w:hAnsi="Arial"/>
                <w:b/>
                <w:sz w:val="20"/>
              </w:rPr>
              <w:t>Mean</w:t>
            </w:r>
          </w:p>
        </w:tc>
        <w:tc>
          <w:tcPr>
            <w:tcW w:type="dxa" w:w="1872"/>
          </w:tcPr>
          <w:p>
            <w:pPr>
              <w:jc w:val="center"/>
            </w:pPr>
            <w:r>
              <w:rPr>
                <w:rFonts w:ascii="Arial" w:hAnsi="Arial"/>
                <w:b/>
                <w:sz w:val="20"/>
              </w:rPr>
              <w:t>Range</w:t>
            </w:r>
          </w:p>
        </w:tc>
        <w:tc>
          <w:tcPr>
            <w:tcW w:type="dxa" w:w="1872"/>
          </w:tcPr>
          <w:p>
            <w:pPr>
              <w:jc w:val="center"/>
            </w:pPr>
            <w:r>
              <w:rPr>
                <w:rFonts w:ascii="Arial" w:hAnsi="Arial"/>
                <w:b/>
                <w:sz w:val="20"/>
              </w:rPr>
              <w:t>n</w:t>
            </w:r>
          </w:p>
        </w:tc>
      </w:tr>
      <w:tr>
        <w:tc>
          <w:tcPr>
            <w:tcW w:type="dxa" w:w="1872"/>
          </w:tcPr>
          <w:p>
            <w:r>
              <w:rPr>
                <w:rFonts w:ascii="Arial" w:hAnsi="Arial"/>
                <w:sz w:val="20"/>
              </w:rPr>
              <w:t>R1</w:t>
            </w:r>
          </w:p>
        </w:tc>
        <w:tc>
          <w:tcPr>
            <w:tcW w:type="dxa" w:w="1872"/>
          </w:tcPr>
          <w:p>
            <w:r>
              <w:rPr>
                <w:rFonts w:ascii="Arial" w:hAnsi="Arial"/>
                <w:sz w:val="20"/>
              </w:rPr>
              <w:t>Screen wording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R2</w:t>
            </w:r>
          </w:p>
        </w:tc>
        <w:tc>
          <w:tcPr>
            <w:tcW w:type="dxa" w:w="1872"/>
          </w:tcPr>
          <w:p>
            <w:r>
              <w:rPr>
                <w:rFonts w:ascii="Arial" w:hAnsi="Arial"/>
                <w:sz w:val="20"/>
              </w:rPr>
              <w:t>Layout and placement of information</w:t>
            </w:r>
          </w:p>
        </w:tc>
        <w:tc>
          <w:tcPr>
            <w:tcW w:type="dxa" w:w="1872"/>
          </w:tcPr>
          <w:p>
            <w:r>
              <w:rPr>
                <w:rFonts w:ascii="Arial" w:hAnsi="Arial"/>
                <w:sz w:val="20"/>
              </w:rPr>
              <w:t>4.2</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R3</w:t>
            </w:r>
          </w:p>
        </w:tc>
        <w:tc>
          <w:tcPr>
            <w:tcW w:type="dxa" w:w="1872"/>
          </w:tcPr>
          <w:p>
            <w:r>
              <w:rPr>
                <w:rFonts w:ascii="Arial" w:hAnsi="Arial"/>
                <w:sz w:val="20"/>
              </w:rPr>
              <w:t>Ease of understanding what to pack</w:t>
            </w:r>
          </w:p>
        </w:tc>
        <w:tc>
          <w:tcPr>
            <w:tcW w:type="dxa" w:w="1872"/>
          </w:tcPr>
          <w:p>
            <w:r>
              <w:rPr>
                <w:rFonts w:ascii="Arial" w:hAnsi="Arial"/>
                <w:sz w:val="20"/>
              </w:rPr>
              <w:t>4.9</w:t>
            </w:r>
          </w:p>
        </w:tc>
        <w:tc>
          <w:tcPr>
            <w:tcW w:type="dxa" w:w="1872"/>
          </w:tcPr>
          <w:p>
            <w:r>
              <w:rPr>
                <w:rFonts w:ascii="Arial" w:hAnsi="Arial"/>
                <w:sz w:val="20"/>
              </w:rPr>
              <w:t>4.5 to 5</w:t>
            </w:r>
          </w:p>
        </w:tc>
        <w:tc>
          <w:tcPr>
            <w:tcW w:type="dxa" w:w="1872"/>
          </w:tcPr>
          <w:p>
            <w:r>
              <w:rPr>
                <w:rFonts w:ascii="Arial" w:hAnsi="Arial"/>
                <w:sz w:val="20"/>
              </w:rPr>
              <w:t>6</w:t>
            </w:r>
          </w:p>
        </w:tc>
      </w:tr>
      <w:tr>
        <w:tc>
          <w:tcPr>
            <w:tcW w:type="dxa" w:w="1872"/>
          </w:tcPr>
          <w:p>
            <w:r>
              <w:rPr>
                <w:rFonts w:ascii="Arial" w:hAnsi="Arial"/>
                <w:sz w:val="20"/>
              </w:rPr>
              <w:t>R4</w:t>
            </w:r>
          </w:p>
        </w:tc>
        <w:tc>
          <w:tcPr>
            <w:tcW w:type="dxa" w:w="1872"/>
          </w:tcPr>
          <w:p>
            <w:r>
              <w:rPr>
                <w:rFonts w:ascii="Arial" w:hAnsi="Arial"/>
                <w:sz w:val="20"/>
              </w:rPr>
              <w:t>Ease of understanding how many to pack</w:t>
            </w:r>
          </w:p>
        </w:tc>
        <w:tc>
          <w:tcPr>
            <w:tcW w:type="dxa" w:w="1872"/>
          </w:tcPr>
          <w:p>
            <w:r>
              <w:rPr>
                <w:rFonts w:ascii="Arial" w:hAnsi="Arial"/>
                <w:sz w:val="20"/>
              </w:rPr>
              <w:t>5.0</w:t>
            </w:r>
          </w:p>
        </w:tc>
        <w:tc>
          <w:tcPr>
            <w:tcW w:type="dxa" w:w="1872"/>
          </w:tcPr>
          <w:p>
            <w:r>
              <w:rPr>
                <w:rFonts w:ascii="Arial" w:hAnsi="Arial"/>
                <w:sz w:val="20"/>
              </w:rPr>
              <w:t>5 to 5</w:t>
            </w:r>
          </w:p>
        </w:tc>
        <w:tc>
          <w:tcPr>
            <w:tcW w:type="dxa" w:w="1872"/>
          </w:tcPr>
          <w:p>
            <w:r>
              <w:rPr>
                <w:rFonts w:ascii="Arial" w:hAnsi="Arial"/>
                <w:sz w:val="20"/>
              </w:rPr>
              <w:t>6</w:t>
            </w:r>
          </w:p>
        </w:tc>
      </w:tr>
      <w:tr>
        <w:tc>
          <w:tcPr>
            <w:tcW w:type="dxa" w:w="1872"/>
          </w:tcPr>
          <w:p>
            <w:r>
              <w:rPr>
                <w:rFonts w:ascii="Arial" w:hAnsi="Arial"/>
                <w:sz w:val="20"/>
              </w:rPr>
              <w:t>R5</w:t>
            </w:r>
          </w:p>
        </w:tc>
        <w:tc>
          <w:tcPr>
            <w:tcW w:type="dxa" w:w="1872"/>
          </w:tcPr>
          <w:p>
            <w:r>
              <w:rPr>
                <w:rFonts w:ascii="Arial" w:hAnsi="Arial"/>
                <w:sz w:val="20"/>
              </w:rPr>
              <w:t>Running count usefulness</w:t>
            </w:r>
          </w:p>
        </w:tc>
        <w:tc>
          <w:tcPr>
            <w:tcW w:type="dxa" w:w="1872"/>
          </w:tcPr>
          <w:p>
            <w:r>
              <w:rPr>
                <w:rFonts w:ascii="Arial" w:hAnsi="Arial"/>
                <w:sz w:val="20"/>
              </w:rPr>
              <w:t>3.8</w:t>
            </w:r>
          </w:p>
        </w:tc>
        <w:tc>
          <w:tcPr>
            <w:tcW w:type="dxa" w:w="1872"/>
          </w:tcPr>
          <w:p>
            <w:r>
              <w:rPr>
                <w:rFonts w:ascii="Arial" w:hAnsi="Arial"/>
                <w:sz w:val="20"/>
              </w:rPr>
              <w:t>1 to 5</w:t>
            </w:r>
          </w:p>
        </w:tc>
        <w:tc>
          <w:tcPr>
            <w:tcW w:type="dxa" w:w="1872"/>
          </w:tcPr>
          <w:p>
            <w:r>
              <w:rPr>
                <w:rFonts w:ascii="Arial" w:hAnsi="Arial"/>
                <w:sz w:val="20"/>
              </w:rPr>
              <w:t>6</w:t>
            </w:r>
          </w:p>
        </w:tc>
      </w:tr>
      <w:tr>
        <w:tc>
          <w:tcPr>
            <w:tcW w:type="dxa" w:w="1872"/>
          </w:tcPr>
          <w:p>
            <w:r>
              <w:rPr>
                <w:rFonts w:ascii="Arial" w:hAnsi="Arial"/>
                <w:sz w:val="20"/>
              </w:rPr>
              <w:t>R6</w:t>
            </w:r>
          </w:p>
        </w:tc>
        <w:tc>
          <w:tcPr>
            <w:tcW w:type="dxa" w:w="1872"/>
          </w:tcPr>
          <w:p>
            <w:r>
              <w:rPr>
                <w:rFonts w:ascii="Arial" w:hAnsi="Arial"/>
                <w:sz w:val="20"/>
              </w:rPr>
              <w:t>Warning and error alert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R7</w:t>
            </w:r>
          </w:p>
        </w:tc>
        <w:tc>
          <w:tcPr>
            <w:tcW w:type="dxa" w:w="1872"/>
          </w:tcPr>
          <w:p>
            <w:r>
              <w:rPr>
                <w:rFonts w:ascii="Arial" w:hAnsi="Arial"/>
                <w:sz w:val="20"/>
              </w:rPr>
              <w:t>Corrective instruction completeness</w:t>
            </w:r>
          </w:p>
        </w:tc>
        <w:tc>
          <w:tcPr>
            <w:tcW w:type="dxa" w:w="1872"/>
          </w:tcPr>
          <w:p>
            <w:r>
              <w:rPr>
                <w:rFonts w:ascii="Arial" w:hAnsi="Arial"/>
                <w:sz w:val="20"/>
              </w:rPr>
              <w:t>3.0</w:t>
            </w:r>
          </w:p>
        </w:tc>
        <w:tc>
          <w:tcPr>
            <w:tcW w:type="dxa" w:w="1872"/>
          </w:tcPr>
          <w:p>
            <w:r>
              <w:rPr>
                <w:rFonts w:ascii="Arial" w:hAnsi="Arial"/>
                <w:sz w:val="20"/>
              </w:rPr>
              <w:t>1 to 4</w:t>
            </w:r>
          </w:p>
        </w:tc>
        <w:tc>
          <w:tcPr>
            <w:tcW w:type="dxa" w:w="1872"/>
          </w:tcPr>
          <w:p>
            <w:r>
              <w:rPr>
                <w:rFonts w:ascii="Arial" w:hAnsi="Arial"/>
                <w:sz w:val="20"/>
              </w:rPr>
              <w:t>5*</w:t>
            </w:r>
          </w:p>
        </w:tc>
      </w:tr>
      <w:tr>
        <w:tc>
          <w:tcPr>
            <w:tcW w:type="dxa" w:w="1872"/>
          </w:tcPr>
          <w:p>
            <w:r>
              <w:rPr>
                <w:rFonts w:ascii="Arial" w:hAnsi="Arial"/>
                <w:sz w:val="20"/>
              </w:rPr>
              <w:t>R8</w:t>
            </w:r>
          </w:p>
        </w:tc>
        <w:tc>
          <w:tcPr>
            <w:tcW w:type="dxa" w:w="1872"/>
          </w:tcPr>
          <w:p>
            <w:r>
              <w:rPr>
                <w:rFonts w:ascii="Arial" w:hAnsi="Arial"/>
                <w:sz w:val="20"/>
              </w:rPr>
              <w:t>Trust that system would catch mistakes</w:t>
            </w:r>
          </w:p>
        </w:tc>
        <w:tc>
          <w:tcPr>
            <w:tcW w:type="dxa" w:w="1872"/>
          </w:tcPr>
          <w:p>
            <w:r>
              <w:rPr>
                <w:rFonts w:ascii="Arial" w:hAnsi="Arial"/>
                <w:sz w:val="20"/>
              </w:rPr>
              <w:t>4.0</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R9</w:t>
            </w:r>
          </w:p>
        </w:tc>
        <w:tc>
          <w:tcPr>
            <w:tcW w:type="dxa" w:w="1872"/>
          </w:tcPr>
          <w:p>
            <w:r>
              <w:rPr>
                <w:rFonts w:ascii="Arial" w:hAnsi="Arial"/>
                <w:sz w:val="20"/>
              </w:rPr>
              <w:t>Overall ease of kitting with system</w:t>
            </w:r>
          </w:p>
        </w:tc>
        <w:tc>
          <w:tcPr>
            <w:tcW w:type="dxa" w:w="1872"/>
          </w:tcPr>
          <w:p>
            <w:r>
              <w:rPr>
                <w:rFonts w:ascii="Arial" w:hAnsi="Arial"/>
                <w:sz w:val="20"/>
              </w:rPr>
              <w:t>4.3</w:t>
            </w:r>
          </w:p>
        </w:tc>
        <w:tc>
          <w:tcPr>
            <w:tcW w:type="dxa" w:w="1872"/>
          </w:tcPr>
          <w:p>
            <w:r>
              <w:rPr>
                <w:rFonts w:ascii="Arial" w:hAnsi="Arial"/>
                <w:sz w:val="20"/>
              </w:rPr>
              <w:t>2 to 5</w:t>
            </w:r>
          </w:p>
        </w:tc>
        <w:tc>
          <w:tcPr>
            <w:tcW w:type="dxa" w:w="1872"/>
          </w:tcPr>
          <w:p>
            <w:r>
              <w:rPr>
                <w:rFonts w:ascii="Arial" w:hAnsi="Arial"/>
                <w:sz w:val="20"/>
              </w:rPr>
              <w:t>6</w:t>
            </w:r>
          </w:p>
        </w:tc>
      </w:tr>
    </w:tbl>
    <w:p/>
    <w:p>
      <w:r>
        <w:rPr>
          <w:rFonts w:ascii="Arial" w:hAnsi="Arial"/>
          <w:b w:val="0"/>
          <w:i/>
          <w:sz w:val="20"/>
        </w:rPr>
        <w:t>Table 5.2: Operator ratings (1 = poor, 5 = excellent). *R7: n = 5 (one operator triggered no errors).</w:t>
      </w:r>
    </w:p>
    <w:p>
      <w:pPr>
        <w:spacing w:after="240"/>
        <w:jc w:val="center"/>
      </w:pPr>
      <w:r>
        <w:drawing>
          <wp:inline>
            <wp:extent cx="5486400" cy="3291840"/>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291840"/>
                    </a:xfrm>
                    <a:prstGeom prst="rect"/>
                  </pic:spPr>
                </pic:pic>
              </a:graphicData>
            </a:graphic>
          </wp:inline>
        </w:drawing>
      </w:r>
    </w:p>
    <w:p>
      <w:pPr>
        <w:jc w:val="center"/>
      </w:pPr>
      <w:r>
        <w:rPr>
          <w:rFonts w:ascii="Arial" w:hAnsi="Arial"/>
          <w:i/>
          <w:sz w:val="20"/>
        </w:rPr>
        <w:t>Figure 5.2: Rating distribution across the nine dimensions, showing means and individual data points.</w:t>
      </w:r>
    </w:p>
    <w:p>
      <w:r>
        <w:rPr>
          <w:rFonts w:ascii="Arial" w:hAnsi="Arial"/>
          <w:b w:val="0"/>
          <w:i w:val="0"/>
          <w:sz w:val="24"/>
        </w:rPr>
        <w:t>Task guidance dimensions rated at or near ceiling: understanding what to pack (R3: 4.9) and how many to pack (R4: 5.0). The position-based bin grid was consistently cited in open-ended feedback as the primary reason. Overall, operators preferred AEGIS over the paper baseline (R9: 4.3).</w:t>
      </w:r>
    </w:p>
    <w:p>
      <w:r>
        <w:rPr>
          <w:rFonts w:ascii="Arial" w:hAnsi="Arial"/>
          <w:b w:val="0"/>
          <w:i w:val="0"/>
          <w:sz w:val="24"/>
        </w:rPr>
        <w:t>The weakest dimensions concerned exception communication. Analysis of the open-ended feedback identified six specific usability gaps, as summarised in Table 5.3.</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Gap</w:t>
            </w:r>
          </w:p>
        </w:tc>
        <w:tc>
          <w:tcPr>
            <w:tcW w:type="dxa" w:w="2340"/>
          </w:tcPr>
          <w:p>
            <w:pPr>
              <w:jc w:val="center"/>
            </w:pPr>
            <w:r>
              <w:rPr>
                <w:rFonts w:ascii="Arial" w:hAnsi="Arial"/>
                <w:b/>
                <w:sz w:val="20"/>
              </w:rPr>
              <w:t>Issue</w:t>
            </w:r>
          </w:p>
        </w:tc>
        <w:tc>
          <w:tcPr>
            <w:tcW w:type="dxa" w:w="2340"/>
          </w:tcPr>
          <w:p>
            <w:pPr>
              <w:jc w:val="center"/>
            </w:pPr>
            <w:r>
              <w:rPr>
                <w:rFonts w:ascii="Arial" w:hAnsi="Arial"/>
                <w:b/>
                <w:sz w:val="20"/>
              </w:rPr>
              <w:t>Frequency</w:t>
            </w:r>
          </w:p>
        </w:tc>
        <w:tc>
          <w:tcPr>
            <w:tcW w:type="dxa" w:w="2340"/>
          </w:tcPr>
          <w:p>
            <w:pPr>
              <w:jc w:val="center"/>
            </w:pPr>
            <w:r>
              <w:rPr>
                <w:rFonts w:ascii="Arial" w:hAnsi="Arial"/>
                <w:b/>
                <w:sz w:val="20"/>
              </w:rPr>
              <w:t>Representative Quote</w:t>
            </w:r>
          </w:p>
        </w:tc>
      </w:tr>
      <w:tr>
        <w:tc>
          <w:tcPr>
            <w:tcW w:type="dxa" w:w="2340"/>
          </w:tcPr>
          <w:p>
            <w:r>
              <w:rPr>
                <w:rFonts w:ascii="Arial" w:hAnsi="Arial"/>
                <w:sz w:val="20"/>
              </w:rPr>
              <w:t>G1</w:t>
            </w:r>
          </w:p>
        </w:tc>
        <w:tc>
          <w:tcPr>
            <w:tcW w:type="dxa" w:w="2340"/>
          </w:tcPr>
          <w:p>
            <w:r>
              <w:rPr>
                <w:rFonts w:ascii="Arial" w:hAnsi="Arial"/>
                <w:sz w:val="20"/>
              </w:rPr>
              <w:t>Alert font too small to read at working distance</w:t>
            </w:r>
          </w:p>
        </w:tc>
        <w:tc>
          <w:tcPr>
            <w:tcW w:type="dxa" w:w="2340"/>
          </w:tcPr>
          <w:p>
            <w:r>
              <w:rPr>
                <w:rFonts w:ascii="Arial" w:hAnsi="Arial"/>
                <w:sz w:val="20"/>
              </w:rPr>
              <w:t>4 of 6</w:t>
            </w:r>
          </w:p>
        </w:tc>
        <w:tc>
          <w:tcPr>
            <w:tcW w:type="dxa" w:w="2340"/>
          </w:tcPr>
          <w:p>
            <w:r>
              <w:rPr>
                <w:rFonts w:ascii="Arial" w:hAnsi="Arial"/>
                <w:sz w:val="20"/>
              </w:rPr>
              <w:t>"fonts small" (Royce); "wording small" (Ming Zhan)</w:t>
            </w:r>
          </w:p>
        </w:tc>
      </w:tr>
      <w:tr>
        <w:tc>
          <w:tcPr>
            <w:tcW w:type="dxa" w:w="2340"/>
          </w:tcPr>
          <w:p>
            <w:r>
              <w:rPr>
                <w:rFonts w:ascii="Arial" w:hAnsi="Arial"/>
                <w:sz w:val="20"/>
              </w:rPr>
              <w:t>G2</w:t>
            </w:r>
          </w:p>
        </w:tc>
        <w:tc>
          <w:tcPr>
            <w:tcW w:type="dxa" w:w="2340"/>
          </w:tcPr>
          <w:p>
            <w:r>
              <w:rPr>
                <w:rFonts w:ascii="Arial" w:hAnsi="Arial"/>
                <w:sz w:val="20"/>
              </w:rPr>
              <w:t>Warning and error types indistinguishable at a glance</w:t>
            </w:r>
          </w:p>
        </w:tc>
        <w:tc>
          <w:tcPr>
            <w:tcW w:type="dxa" w:w="2340"/>
          </w:tcPr>
          <w:p>
            <w:r>
              <w:rPr>
                <w:rFonts w:ascii="Arial" w:hAnsi="Arial"/>
                <w:sz w:val="20"/>
              </w:rPr>
              <w:t>3 of 6</w:t>
            </w:r>
          </w:p>
        </w:tc>
        <w:tc>
          <w:tcPr>
            <w:tcW w:type="dxa" w:w="2340"/>
          </w:tcPr>
          <w:p>
            <w:r>
              <w:rPr>
                <w:rFonts w:ascii="Arial" w:hAnsi="Arial"/>
                <w:sz w:val="20"/>
              </w:rPr>
              <w:t>Inconsistent colour scheme (white-on-red versus red-on-black)</w:t>
            </w:r>
          </w:p>
        </w:tc>
      </w:tr>
      <w:tr>
        <w:tc>
          <w:tcPr>
            <w:tcW w:type="dxa" w:w="2340"/>
          </w:tcPr>
          <w:p>
            <w:r>
              <w:rPr>
                <w:rFonts w:ascii="Arial" w:hAnsi="Arial"/>
                <w:sz w:val="20"/>
              </w:rPr>
              <w:t>G3</w:t>
            </w:r>
          </w:p>
        </w:tc>
        <w:tc>
          <w:tcPr>
            <w:tcW w:type="dxa" w:w="2340"/>
          </w:tcPr>
          <w:p>
            <w:r>
              <w:rPr>
                <w:rFonts w:ascii="Arial" w:hAnsi="Arial"/>
                <w:sz w:val="20"/>
              </w:rPr>
              <w:t>Corrective instructions did not specify bin or quantity</w:t>
            </w:r>
          </w:p>
        </w:tc>
        <w:tc>
          <w:tcPr>
            <w:tcW w:type="dxa" w:w="2340"/>
          </w:tcPr>
          <w:p>
            <w:r>
              <w:rPr>
                <w:rFonts w:ascii="Arial" w:hAnsi="Arial"/>
                <w:sz w:val="20"/>
              </w:rPr>
              <w:t>3 of 5 (R7: 3.0)</w:t>
            </w:r>
          </w:p>
        </w:tc>
        <w:tc>
          <w:tcPr>
            <w:tcW w:type="dxa" w:w="2340"/>
          </w:tcPr>
          <w:p>
            <w:r>
              <w:rPr>
                <w:rFonts w:ascii="Arial" w:hAnsi="Arial"/>
                <w:sz w:val="20"/>
              </w:rPr>
              <w:t>Wrong-bin-return message lacked actionable detail</w:t>
            </w:r>
          </w:p>
        </w:tc>
      </w:tr>
      <w:tr>
        <w:tc>
          <w:tcPr>
            <w:tcW w:type="dxa" w:w="2340"/>
          </w:tcPr>
          <w:p>
            <w:r>
              <w:rPr>
                <w:rFonts w:ascii="Arial" w:hAnsi="Arial"/>
                <w:sz w:val="20"/>
              </w:rPr>
              <w:t>G4</w:t>
            </w:r>
          </w:p>
        </w:tc>
        <w:tc>
          <w:tcPr>
            <w:tcW w:type="dxa" w:w="2340"/>
          </w:tcPr>
          <w:p>
            <w:r>
              <w:rPr>
                <w:rFonts w:ascii="Arial" w:hAnsi="Arial"/>
                <w:sz w:val="20"/>
              </w:rPr>
              <w:t>Load cell unresponsive on light items</w:t>
            </w:r>
          </w:p>
        </w:tc>
        <w:tc>
          <w:tcPr>
            <w:tcW w:type="dxa" w:w="2340"/>
          </w:tcPr>
          <w:p>
            <w:r>
              <w:rPr>
                <w:rFonts w:ascii="Arial" w:hAnsi="Arial"/>
                <w:sz w:val="20"/>
              </w:rPr>
              <w:t>3 of 6</w:t>
            </w:r>
          </w:p>
        </w:tc>
        <w:tc>
          <w:tcPr>
            <w:tcW w:type="dxa" w:w="2340"/>
          </w:tcPr>
          <w:p>
            <w:r>
              <w:rPr>
                <w:rFonts w:ascii="Arial" w:hAnsi="Arial"/>
                <w:sz w:val="20"/>
              </w:rPr>
              <w:t>"sensor doesn't detect piece sometimes" (Benny)</w:t>
            </w:r>
          </w:p>
        </w:tc>
      </w:tr>
      <w:tr>
        <w:tc>
          <w:tcPr>
            <w:tcW w:type="dxa" w:w="2340"/>
          </w:tcPr>
          <w:p>
            <w:r>
              <w:rPr>
                <w:rFonts w:ascii="Arial" w:hAnsi="Arial"/>
                <w:sz w:val="20"/>
              </w:rPr>
              <w:t>G5</w:t>
            </w:r>
          </w:p>
        </w:tc>
        <w:tc>
          <w:tcPr>
            <w:tcW w:type="dxa" w:w="2340"/>
          </w:tcPr>
          <w:p>
            <w:r>
              <w:rPr>
                <w:rFonts w:ascii="Arial" w:hAnsi="Arial"/>
                <w:sz w:val="20"/>
              </w:rPr>
              <w:t>On-screen confirmation tap unreliable</w:t>
            </w:r>
          </w:p>
        </w:tc>
        <w:tc>
          <w:tcPr>
            <w:tcW w:type="dxa" w:w="2340"/>
          </w:tcPr>
          <w:p>
            <w:r>
              <w:rPr>
                <w:rFonts w:ascii="Arial" w:hAnsi="Arial"/>
                <w:sz w:val="20"/>
              </w:rPr>
              <w:t>2 of 6</w:t>
            </w:r>
          </w:p>
        </w:tc>
        <w:tc>
          <w:tcPr>
            <w:tcW w:type="dxa" w:w="2340"/>
          </w:tcPr>
          <w:p>
            <w:r>
              <w:rPr>
                <w:rFonts w:ascii="Arial" w:hAnsi="Arial"/>
                <w:sz w:val="20"/>
              </w:rPr>
              <w:t>"Bin Emptied" button did not register on first tap</w:t>
            </w:r>
          </w:p>
        </w:tc>
      </w:tr>
      <w:tr>
        <w:tc>
          <w:tcPr>
            <w:tcW w:type="dxa" w:w="2340"/>
          </w:tcPr>
          <w:p>
            <w:r>
              <w:rPr>
                <w:rFonts w:ascii="Arial" w:hAnsi="Arial"/>
                <w:sz w:val="20"/>
              </w:rPr>
              <w:t>G6</w:t>
            </w:r>
          </w:p>
        </w:tc>
        <w:tc>
          <w:tcPr>
            <w:tcW w:type="dxa" w:w="2340"/>
          </w:tcPr>
          <w:p>
            <w:r>
              <w:rPr>
                <w:rFonts w:ascii="Arial" w:hAnsi="Arial"/>
                <w:sz w:val="20"/>
              </w:rPr>
              <w:t>No progress indicator for remaining sets</w:t>
            </w:r>
          </w:p>
        </w:tc>
        <w:tc>
          <w:tcPr>
            <w:tcW w:type="dxa" w:w="2340"/>
          </w:tcPr>
          <w:p>
            <w:r>
              <w:rPr>
                <w:rFonts w:ascii="Arial" w:hAnsi="Arial"/>
                <w:sz w:val="20"/>
              </w:rPr>
              <w:t>2 of 6</w:t>
            </w:r>
          </w:p>
        </w:tc>
        <w:tc>
          <w:tcPr>
            <w:tcW w:type="dxa" w:w="2340"/>
          </w:tcPr>
          <w:p>
            <w:r>
              <w:rPr>
                <w:rFonts w:ascii="Arial" w:hAnsi="Arial"/>
                <w:sz w:val="20"/>
              </w:rPr>
              <w:t>Operators requested visibility of order completion status</w:t>
            </w:r>
          </w:p>
        </w:tc>
      </w:tr>
    </w:tbl>
    <w:p/>
    <w:p>
      <w:r>
        <w:rPr>
          <w:rFonts w:ascii="Arial" w:hAnsi="Arial"/>
          <w:b w:val="0"/>
          <w:i/>
          <w:sz w:val="20"/>
        </w:rPr>
        <w:t>Table 5.3: Usability gaps identified from operator feedback.</w:t>
      </w:r>
    </w:p>
    <w:p>
      <w:pPr>
        <w:pStyle w:val="Heading2"/>
      </w:pPr>
      <w:r>
        <w:t>5.2 User-Facing HMI Iteration</w:t>
      </w:r>
    </w:p>
    <w:p>
      <w:r>
        <w:rPr>
          <w:rFonts w:ascii="Arial" w:hAnsi="Arial"/>
          <w:b w:val="0"/>
          <w:i w:val="0"/>
          <w:sz w:val="24"/>
        </w:rPr>
        <w:t>To address the usability gaps identified in Table 5.3, a targeted HMI iteration was implemented. Table 5.4 maps each gap to the specific change applied, and Figure 5.3 shows the interface before and after the iteration.</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Gap</w:t>
            </w:r>
          </w:p>
        </w:tc>
        <w:tc>
          <w:tcPr>
            <w:tcW w:type="dxa" w:w="4680"/>
          </w:tcPr>
          <w:p>
            <w:pPr>
              <w:jc w:val="center"/>
            </w:pPr>
            <w:r>
              <w:rPr>
                <w:rFonts w:ascii="Arial" w:hAnsi="Arial"/>
                <w:b/>
                <w:sz w:val="20"/>
              </w:rPr>
              <w:t>Change Implemented</w:t>
            </w:r>
          </w:p>
        </w:tc>
      </w:tr>
      <w:tr>
        <w:tc>
          <w:tcPr>
            <w:tcW w:type="dxa" w:w="4680"/>
          </w:tcPr>
          <w:p>
            <w:r>
              <w:rPr>
                <w:rFonts w:ascii="Arial" w:hAnsi="Arial"/>
                <w:sz w:val="20"/>
              </w:rPr>
              <w:t>G1</w:t>
            </w:r>
          </w:p>
        </w:tc>
        <w:tc>
          <w:tcPr>
            <w:tcW w:type="dxa" w:w="4680"/>
          </w:tcPr>
          <w:p>
            <w:r>
              <w:rPr>
                <w:rFonts w:ascii="Arial" w:hAnsi="Arial"/>
                <w:sz w:val="20"/>
              </w:rPr>
              <w:t>Alert font sizes increased by approximately 50%, ensuring legibility at arm's length.</w:t>
            </w:r>
          </w:p>
        </w:tc>
      </w:tr>
      <w:tr>
        <w:tc>
          <w:tcPr>
            <w:tcW w:type="dxa" w:w="4680"/>
          </w:tcPr>
          <w:p>
            <w:r>
              <w:rPr>
                <w:rFonts w:ascii="Arial" w:hAnsi="Arial"/>
                <w:sz w:val="20"/>
              </w:rPr>
              <w:t>G2</w:t>
            </w:r>
          </w:p>
        </w:tc>
        <w:tc>
          <w:tcPr>
            <w:tcW w:type="dxa" w:w="4680"/>
          </w:tcPr>
          <w:p>
            <w:r>
              <w:rPr>
                <w:rFonts w:ascii="Arial" w:hAnsi="Arial"/>
                <w:sz w:val="20"/>
              </w:rPr>
              <w:t>Dual-banner layout consolidated into a single full-width banner with a consistent red and white colour scheme.</w:t>
            </w:r>
          </w:p>
        </w:tc>
      </w:tr>
      <w:tr>
        <w:tc>
          <w:tcPr>
            <w:tcW w:type="dxa" w:w="4680"/>
          </w:tcPr>
          <w:p>
            <w:r>
              <w:rPr>
                <w:rFonts w:ascii="Arial" w:hAnsi="Arial"/>
                <w:sz w:val="20"/>
              </w:rPr>
              <w:t>G3</w:t>
            </w:r>
          </w:p>
        </w:tc>
        <w:tc>
          <w:tcPr>
            <w:tcW w:type="dxa" w:w="4680"/>
          </w:tcPr>
          <w:p>
            <w:r>
              <w:rPr>
                <w:rFonts w:ascii="Arial" w:hAnsi="Arial"/>
                <w:sz w:val="20"/>
              </w:rPr>
              <w:t>Wrong-bin alert updated to compute and display the exact correction, specifying the destination bin and unit count.</w:t>
            </w:r>
          </w:p>
        </w:tc>
      </w:tr>
      <w:tr>
        <w:tc>
          <w:tcPr>
            <w:tcW w:type="dxa" w:w="4680"/>
          </w:tcPr>
          <w:p>
            <w:r>
              <w:rPr>
                <w:rFonts w:ascii="Arial" w:hAnsi="Arial"/>
                <w:sz w:val="20"/>
              </w:rPr>
              <w:t>G3</w:t>
            </w:r>
          </w:p>
        </w:tc>
        <w:tc>
          <w:tcPr>
            <w:tcW w:type="dxa" w:w="4680"/>
          </w:tcPr>
          <w:p>
            <w:r>
              <w:rPr>
                <w:rFonts w:ascii="Arial" w:hAnsi="Arial"/>
                <w:sz w:val="20"/>
              </w:rPr>
              <w:t>Completed-bin picks reclassified as "Wrong Bin" rather than "Out-of-Sequence" for greater operator clarity.</w:t>
            </w:r>
          </w:p>
        </w:tc>
      </w:tr>
      <w:tr>
        <w:tc>
          <w:tcPr>
            <w:tcW w:type="dxa" w:w="4680"/>
          </w:tcPr>
          <w:p>
            <w:r>
              <w:rPr>
                <w:rFonts w:ascii="Arial" w:hAnsi="Arial"/>
                <w:sz w:val="20"/>
              </w:rPr>
              <w:t>G4</w:t>
            </w:r>
          </w:p>
        </w:tc>
        <w:tc>
          <w:tcPr>
            <w:tcW w:type="dxa" w:w="4680"/>
          </w:tcPr>
          <w:p>
            <w:r>
              <w:rPr>
                <w:rFonts w:ascii="Arial" w:hAnsi="Arial"/>
                <w:sz w:val="20"/>
              </w:rPr>
              <w:t>Mitigated operationally by assigning light items to the 1 kg platform (noise floor s = 0.028 g). Software debounce tuned.</w:t>
            </w:r>
          </w:p>
        </w:tc>
      </w:tr>
      <w:tr>
        <w:tc>
          <w:tcPr>
            <w:tcW w:type="dxa" w:w="4680"/>
          </w:tcPr>
          <w:p>
            <w:r>
              <w:rPr>
                <w:rFonts w:ascii="Arial" w:hAnsi="Arial"/>
                <w:sz w:val="20"/>
              </w:rPr>
              <w:t>G5</w:t>
            </w:r>
          </w:p>
        </w:tc>
        <w:tc>
          <w:tcPr>
            <w:tcW w:type="dxa" w:w="4680"/>
          </w:tcPr>
          <w:p>
            <w:r>
              <w:rPr>
                <w:rFonts w:ascii="Arial" w:hAnsi="Arial"/>
                <w:sz w:val="20"/>
              </w:rPr>
              <w:t>Manual "Bin Emptied" tap replaced with automatic load-cell-based detection on the kit box.</w:t>
            </w:r>
          </w:p>
        </w:tc>
      </w:tr>
      <w:tr>
        <w:tc>
          <w:tcPr>
            <w:tcW w:type="dxa" w:w="4680"/>
          </w:tcPr>
          <w:p>
            <w:r>
              <w:rPr>
                <w:rFonts w:ascii="Arial" w:hAnsi="Arial"/>
                <w:sz w:val="20"/>
              </w:rPr>
              <w:t>G6</w:t>
            </w:r>
          </w:p>
        </w:tc>
        <w:tc>
          <w:tcPr>
            <w:tcW w:type="dxa" w:w="4680"/>
          </w:tcPr>
          <w:p>
            <w:r>
              <w:rPr>
                <w:rFonts w:ascii="Arial" w:hAnsi="Arial"/>
                <w:sz w:val="20"/>
              </w:rPr>
              <w:t>Remaining-sets progress indicator added to the HMI header.</w:t>
            </w:r>
          </w:p>
        </w:tc>
      </w:tr>
      <w:tr>
        <w:tc>
          <w:tcPr>
            <w:tcW w:type="dxa" w:w="4680"/>
          </w:tcPr>
          <w:p>
            <w:r>
              <w:rPr>
                <w:rFonts w:ascii="Arial" w:hAnsi="Arial"/>
                <w:sz w:val="20"/>
              </w:rPr>
              <w:t>General</w:t>
            </w:r>
          </w:p>
        </w:tc>
        <w:tc>
          <w:tcPr>
            <w:tcW w:type="dxa" w:w="4680"/>
          </w:tcPr>
          <w:p>
            <w:r>
              <w:rPr>
                <w:rFonts w:ascii="Arial" w:hAnsi="Arial"/>
                <w:sz w:val="20"/>
              </w:rPr>
              <w:t>Bin labels changed from 0-indexed to 1-indexed. Colour-coded hand-in-bin halo added (teal for valid, red for invalid).</w:t>
            </w:r>
          </w:p>
        </w:tc>
      </w:tr>
    </w:tbl>
    <w:p/>
    <w:p>
      <w:r>
        <w:rPr>
          <w:rFonts w:ascii="Arial" w:hAnsi="Arial"/>
          <w:b w:val="0"/>
          <w:i/>
          <w:sz w:val="20"/>
        </w:rPr>
        <w:t>Table 5.4: HMI iteration changes mapped to usability gaps.</w:t>
      </w:r>
    </w:p>
    <w:p>
      <w:pPr>
        <w:spacing w:after="240"/>
        <w:jc w:val="center"/>
      </w:pPr>
      <w:r>
        <w:drawing>
          <wp:inline>
            <wp:extent cx="5486400" cy="1463513"/>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1463513"/>
                    </a:xfrm>
                    <a:prstGeom prst="rect"/>
                  </pic:spPr>
                </pic:pic>
              </a:graphicData>
            </a:graphic>
          </wp:inline>
        </w:drawing>
      </w:r>
    </w:p>
    <w:p>
      <w:pPr>
        <w:jc w:val="center"/>
      </w:pPr>
      <w:r>
        <w:rPr>
          <w:rFonts w:ascii="Arial" w:hAnsi="Arial"/>
          <w:i/>
          <w:sz w:val="20"/>
        </w:rPr>
        <w:t>Figure 5.3: HMI before and after the iteration (side-by-side screenshots showing the old UI vs. the new UI).</w:t>
      </w:r>
    </w:p>
    <w:p>
      <w:pPr>
        <w:pStyle w:val="Heading2"/>
      </w:pPr>
      <w:r>
        <w:t>5.3 Final Testing: TE Connectivity Stakeholder Validation</w:t>
      </w:r>
    </w:p>
    <w:p>
      <w:pPr>
        <w:pStyle w:val="Heading3"/>
      </w:pPr>
      <w:r>
        <w:t>5.3.1 Testing Framework</w:t>
      </w:r>
    </w:p>
    <w:p>
      <w:r>
        <w:rPr>
          <w:rFonts w:ascii="Arial" w:hAnsi="Arial"/>
          <w:b w:val="0"/>
          <w:i w:val="0"/>
          <w:sz w:val="24"/>
        </w:rPr>
        <w:t>Following the HMI iteration,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
        <w:rPr>
          <w:rFonts w:ascii="Arial" w:hAnsi="Arial"/>
          <w:b w:val="0"/>
          <w:i w:val="0"/>
          <w:sz w:val="24"/>
        </w:rPr>
        <w:t>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pPr>
        <w:spacing w:after="240"/>
        <w:jc w:val="center"/>
      </w:pPr>
      <w:r>
        <w:drawing>
          <wp:inline>
            <wp:extent cx="5486400" cy="7315200"/>
            <wp:docPr id="14" name="Picture 1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486400" cy="7315200"/>
                    </a:xfrm>
                    <a:prstGeom prst="rect"/>
                  </pic:spPr>
                </pic:pic>
              </a:graphicData>
            </a:graphic>
          </wp:inline>
        </w:drawing>
      </w:r>
    </w:p>
    <w:p>
      <w:pPr>
        <w:jc w:val="center"/>
      </w:pPr>
      <w:r>
        <w:rPr>
          <w:rFonts w:ascii="Arial" w:hAnsi="Arial"/>
          <w:i/>
          <w:sz w:val="20"/>
        </w:rPr>
        <w:t>Figure 5.4: TE Connectivity stakeholder testing the AEGIS prototype during the final validation session.</w:t>
      </w:r>
    </w:p>
    <w:p>
      <w:pPr>
        <w:pStyle w:val="Heading3"/>
      </w:pPr>
      <w:r>
        <w:t>5.3.2 Evaluation Results</w:t>
      </w:r>
    </w:p>
    <w:p>
      <w:r>
        <w:rPr>
          <w:rFonts w:ascii="Arial" w:hAnsi="Arial"/>
          <w:b w:val="0"/>
          <w:i w:val="0"/>
          <w:sz w:val="24"/>
        </w:rPr>
        <w:t>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labor time compared to their current end-of-line weighing measures.</w:t>
      </w:r>
    </w:p>
    <w:p>
      <w:r>
        <w:rPr>
          <w:rFonts w:ascii="Arial" w:hAnsi="Arial"/>
          <w:b w:val="0"/>
          <w:i w:val="0"/>
          <w:sz w:val="24"/>
        </w:rPr>
        <w:t>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
        <w:rPr>
          <w:rFonts w:ascii="Arial" w:hAnsi="Arial"/>
          <w:b w:val="0"/>
          <w:i w:val="0"/>
          <w:sz w:val="24"/>
        </w:rPr>
        <w:t>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mitigation—branching out tedious, light-item kitting into a separate process line—was discussed and deemed a viable solution. Overall, the stakeholder rated the system's deployment readiness at 80%, noting that the remaining gap primarily involves making the system easily configurable for end-users without requiring coding knowledge.</w:t>
      </w:r>
    </w:p>
    <w:p>
      <w:pPr>
        <w:pStyle w:val="Heading3"/>
      </w:pPr>
      <w:r>
        <w:t>5.3.3 Stakeholder Feedback Summary</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Category</w:t>
            </w:r>
          </w:p>
        </w:tc>
        <w:tc>
          <w:tcPr>
            <w:tcW w:type="dxa" w:w="3120"/>
          </w:tcPr>
          <w:p>
            <w:pPr>
              <w:jc w:val="center"/>
            </w:pPr>
            <w:r>
              <w:rPr>
                <w:rFonts w:ascii="Arial" w:hAnsi="Arial"/>
                <w:b/>
                <w:sz w:val="20"/>
              </w:rPr>
              <w:t>Stakeholder Feedback</w:t>
            </w:r>
          </w:p>
        </w:tc>
        <w:tc>
          <w:tcPr>
            <w:tcW w:type="dxa" w:w="3120"/>
          </w:tcPr>
          <w:p>
            <w:pPr>
              <w:jc w:val="center"/>
            </w:pPr>
            <w:r>
              <w:rPr>
                <w:rFonts w:ascii="Arial" w:hAnsi="Arial"/>
                <w:b/>
                <w:sz w:val="20"/>
              </w:rPr>
              <w:t>Recommended Action / Mitigation</w:t>
            </w:r>
          </w:p>
        </w:tc>
      </w:tr>
      <w:tr>
        <w:tc>
          <w:tcPr>
            <w:tcW w:type="dxa" w:w="3120"/>
          </w:tcPr>
          <w:p>
            <w:r>
              <w:rPr>
                <w:rFonts w:ascii="Arial" w:hAnsi="Arial"/>
                <w:sz w:val="20"/>
              </w:rPr>
              <w:t>System Readiness</w:t>
            </w:r>
          </w:p>
        </w:tc>
        <w:tc>
          <w:tcPr>
            <w:tcW w:type="dxa" w:w="3120"/>
          </w:tcPr>
          <w:p>
            <w:r>
              <w:rPr>
                <w:rFonts w:ascii="Arial" w:hAnsi="Arial"/>
                <w:sz w:val="20"/>
              </w:rPr>
              <w:t>Hardware, UI, and logic are approximately 80% deployment-ready.</w:t>
            </w:r>
          </w:p>
        </w:tc>
        <w:tc>
          <w:tcPr>
            <w:tcW w:type="dxa" w:w="3120"/>
          </w:tcPr>
          <w:p>
            <w:r>
              <w:rPr>
                <w:rFonts w:ascii="Arial" w:hAnsi="Arial"/>
                <w:sz w:val="20"/>
              </w:rPr>
              <w:t>Focus remaining development on improving configuration ease for end-users.</w:t>
            </w:r>
          </w:p>
        </w:tc>
      </w:tr>
      <w:tr>
        <w:tc>
          <w:tcPr>
            <w:tcW w:type="dxa" w:w="3120"/>
          </w:tcPr>
          <w:p>
            <w:r>
              <w:rPr>
                <w:rFonts w:ascii="Arial" w:hAnsi="Arial"/>
                <w:sz w:val="20"/>
              </w:rPr>
              <w:t>Error Prevention</w:t>
            </w:r>
          </w:p>
        </w:tc>
        <w:tc>
          <w:tcPr>
            <w:tcW w:type="dxa" w:w="3120"/>
          </w:tcPr>
          <w:p>
            <w:r>
              <w:rPr>
                <w:rFonts w:ascii="Arial" w:hAnsi="Arial"/>
                <w:sz w:val="20"/>
              </w:rPr>
              <w:t>Real-time poka-yoke design drastically reduces downstream troubleshooting time.</w:t>
            </w:r>
          </w:p>
        </w:tc>
        <w:tc>
          <w:tcPr>
            <w:tcW w:type="dxa" w:w="3120"/>
          </w:tcPr>
          <w:p>
            <w:r>
              <w:rPr>
                <w:rFonts w:ascii="Arial" w:hAnsi="Arial"/>
                <w:sz w:val="20"/>
              </w:rPr>
              <w:t>Retain and refine the real-time alert architecture.</w:t>
            </w:r>
          </w:p>
        </w:tc>
      </w:tr>
      <w:tr>
        <w:tc>
          <w:tcPr>
            <w:tcW w:type="dxa" w:w="3120"/>
          </w:tcPr>
          <w:p>
            <w:r>
              <w:rPr>
                <w:rFonts w:ascii="Arial" w:hAnsi="Arial"/>
                <w:sz w:val="20"/>
              </w:rPr>
              <w:t>Limitations</w:t>
            </w:r>
          </w:p>
        </w:tc>
        <w:tc>
          <w:tcPr>
            <w:tcW w:type="dxa" w:w="3120"/>
          </w:tcPr>
          <w:p>
            <w:r>
              <w:rPr>
                <w:rFonts w:ascii="Arial" w:hAnsi="Arial"/>
                <w:sz w:val="20"/>
              </w:rPr>
              <w:t>Ultra-light items (&lt;1g) may trigger false errors from stray debris.</w:t>
            </w:r>
          </w:p>
        </w:tc>
        <w:tc>
          <w:tcPr>
            <w:tcW w:type="dxa" w:w="3120"/>
          </w:tcPr>
          <w:p>
            <w:r>
              <w:rPr>
                <w:rFonts w:ascii="Arial" w:hAnsi="Arial"/>
                <w:sz w:val="20"/>
              </w:rPr>
              <w:t>Implement process engineering mitigations, such as separating light-item kitting.</w:t>
            </w:r>
          </w:p>
        </w:tc>
      </w:tr>
      <w:tr>
        <w:tc>
          <w:tcPr>
            <w:tcW w:type="dxa" w:w="3120"/>
          </w:tcPr>
          <w:p>
            <w:r>
              <w:rPr>
                <w:rFonts w:ascii="Arial" w:hAnsi="Arial"/>
                <w:sz w:val="20"/>
              </w:rPr>
              <w:t>Future Scope</w:t>
            </w:r>
          </w:p>
        </w:tc>
        <w:tc>
          <w:tcPr>
            <w:tcW w:type="dxa" w:w="3120"/>
          </w:tcPr>
          <w:p>
            <w:r>
              <w:rPr>
                <w:rFonts w:ascii="Arial" w:hAnsi="Arial"/>
                <w:sz w:val="20"/>
              </w:rPr>
              <w:t>System overlaps significantly with other manual operations like parts assembly.</w:t>
            </w:r>
          </w:p>
        </w:tc>
        <w:tc>
          <w:tcPr>
            <w:tcW w:type="dxa" w:w="3120"/>
          </w:tcPr>
          <w:p>
            <w:r>
              <w:rPr>
                <w:rFonts w:ascii="Arial" w:hAnsi="Arial"/>
                <w:sz w:val="20"/>
              </w:rPr>
              <w:t>Explore adapting the architecture for assembly tracking tasks.</w:t>
            </w:r>
          </w:p>
        </w:tc>
      </w:tr>
    </w:tbl>
    <w:p/>
    <w:p>
      <w:r>
        <w:rPr>
          <w:rFonts w:ascii="Arial" w:hAnsi="Arial"/>
          <w:b w:val="0"/>
          <w:i/>
          <w:sz w:val="20"/>
        </w:rPr>
        <w:t>Table 5.6: Summary of stakeholder feedback and recommended actions.</w:t>
      </w:r>
    </w:p>
    <w:p>
      <w:pPr>
        <w:pStyle w:val="Heading2"/>
      </w:pPr>
      <w:r>
        <w:t>5.4 Requirements Validation</w:t>
      </w:r>
    </w:p>
    <w:p>
      <w:r>
        <w:rPr>
          <w:rFonts w:ascii="Arial" w:hAnsi="Arial"/>
          <w:b w:val="0"/>
          <w:i w:val="0"/>
          <w:sz w:val="24"/>
        </w:rPr>
        <w:t>The integrated prototype was validated against each functional requirement defined in Section 1.5. Results are summarised in Table 5.5. Requirements marked "Met" have been verified through the testing evidence documented in Chapters 4 and 5. Requirements marked "Partially Met" identify boundary conditions with documented mitigation strategies.</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ID</w:t>
            </w:r>
          </w:p>
        </w:tc>
        <w:tc>
          <w:tcPr>
            <w:tcW w:type="dxa" w:w="2340"/>
          </w:tcPr>
          <w:p>
            <w:pPr>
              <w:jc w:val="center"/>
            </w:pPr>
            <w:r>
              <w:rPr>
                <w:rFonts w:ascii="Arial" w:hAnsi="Arial"/>
                <w:b/>
                <w:sz w:val="20"/>
              </w:rPr>
              <w:t>Requirement</w:t>
            </w:r>
          </w:p>
        </w:tc>
        <w:tc>
          <w:tcPr>
            <w:tcW w:type="dxa" w:w="2340"/>
          </w:tcPr>
          <w:p>
            <w:pPr>
              <w:jc w:val="center"/>
            </w:pPr>
            <w:r>
              <w:rPr>
                <w:rFonts w:ascii="Arial" w:hAnsi="Arial"/>
                <w:b/>
                <w:sz w:val="20"/>
              </w:rPr>
              <w:t>Status</w:t>
            </w:r>
          </w:p>
        </w:tc>
        <w:tc>
          <w:tcPr>
            <w:tcW w:type="dxa" w:w="2340"/>
          </w:tcPr>
          <w:p>
            <w:pPr>
              <w:jc w:val="center"/>
            </w:pPr>
            <w:r>
              <w:rPr>
                <w:rFonts w:ascii="Arial" w:hAnsi="Arial"/>
                <w:b/>
                <w:sz w:val="20"/>
              </w:rPr>
              <w:t>Verification Evidence</w:t>
            </w:r>
          </w:p>
        </w:tc>
      </w:tr>
      <w:tr>
        <w:tc>
          <w:tcPr>
            <w:tcW w:type="dxa" w:w="2340"/>
          </w:tcPr>
          <w:p>
            <w:r>
              <w:rPr>
                <w:rFonts w:ascii="Arial" w:hAnsi="Arial"/>
                <w:sz w:val="20"/>
              </w:rPr>
              <w:t>FR-01</w:t>
            </w:r>
          </w:p>
        </w:tc>
        <w:tc>
          <w:tcPr>
            <w:tcW w:type="dxa" w:w="2340"/>
          </w:tcPr>
          <w:p>
            <w:r>
              <w:rPr>
                <w:rFonts w:ascii="Arial" w:hAnsi="Arial"/>
                <w:sz w:val="20"/>
              </w:rPr>
              <w:t>Component Identification</w:t>
            </w:r>
          </w:p>
        </w:tc>
        <w:tc>
          <w:tcPr>
            <w:tcW w:type="dxa" w:w="2340"/>
          </w:tcPr>
          <w:p>
            <w:r>
              <w:rPr>
                <w:rFonts w:ascii="Arial" w:hAnsi="Arial"/>
                <w:sz w:val="20"/>
              </w:rPr>
              <w:t>Met</w:t>
            </w:r>
          </w:p>
        </w:tc>
        <w:tc>
          <w:tcPr>
            <w:tcW w:type="dxa" w:w="2340"/>
          </w:tcPr>
          <w:p>
            <w:r>
              <w:rPr>
                <w:rFonts w:ascii="Arial" w:hAnsi="Arial"/>
                <w:sz w:val="20"/>
              </w:rPr>
              <w:t>YOLOv8-OBB localises bin boundaries [Section 4.2.1]; inventory engine maps weight changes to SKU specifications via bin position.</w:t>
            </w:r>
          </w:p>
        </w:tc>
      </w:tr>
      <w:tr>
        <w:tc>
          <w:tcPr>
            <w:tcW w:type="dxa" w:w="2340"/>
          </w:tcPr>
          <w:p>
            <w:r>
              <w:rPr>
                <w:rFonts w:ascii="Arial" w:hAnsi="Arial"/>
                <w:sz w:val="20"/>
              </w:rPr>
              <w:t>FR-02</w:t>
            </w:r>
          </w:p>
        </w:tc>
        <w:tc>
          <w:tcPr>
            <w:tcW w:type="dxa" w:w="2340"/>
          </w:tcPr>
          <w:p>
            <w:r>
              <w:rPr>
                <w:rFonts w:ascii="Arial" w:hAnsi="Arial"/>
                <w:sz w:val="20"/>
              </w:rPr>
              <w:t>Wrong Part Detection</w:t>
            </w:r>
          </w:p>
        </w:tc>
        <w:tc>
          <w:tcPr>
            <w:tcW w:type="dxa" w:w="2340"/>
          </w:tcPr>
          <w:p>
            <w:r>
              <w:rPr>
                <w:rFonts w:ascii="Arial" w:hAnsi="Arial"/>
                <w:sz w:val="20"/>
              </w:rPr>
              <w:t>Met</w:t>
            </w:r>
          </w:p>
        </w:tc>
        <w:tc>
          <w:tcPr>
            <w:tcW w:type="dxa" w:w="2340"/>
          </w:tcPr>
          <w:p>
            <w:r>
              <w:rPr>
                <w:rFonts w:ascii="Arial" w:hAnsi="Arial"/>
                <w:sz w:val="20"/>
              </w:rPr>
              <w:t>FSM triggers wrong-bin alert on access to inactive or completed bin [Section 4.3].</w:t>
            </w:r>
          </w:p>
        </w:tc>
      </w:tr>
      <w:tr>
        <w:tc>
          <w:tcPr>
            <w:tcW w:type="dxa" w:w="2340"/>
          </w:tcPr>
          <w:p>
            <w:r>
              <w:rPr>
                <w:rFonts w:ascii="Arial" w:hAnsi="Arial"/>
                <w:sz w:val="20"/>
              </w:rPr>
              <w:t>FR-03</w:t>
            </w:r>
          </w:p>
        </w:tc>
        <w:tc>
          <w:tcPr>
            <w:tcW w:type="dxa" w:w="2340"/>
          </w:tcPr>
          <w:p>
            <w:r>
              <w:rPr>
                <w:rFonts w:ascii="Arial" w:hAnsi="Arial"/>
                <w:sz w:val="20"/>
              </w:rPr>
              <w:t>Missing Part Detection</w:t>
            </w:r>
          </w:p>
        </w:tc>
        <w:tc>
          <w:tcPr>
            <w:tcW w:type="dxa" w:w="2340"/>
          </w:tcPr>
          <w:p>
            <w:r>
              <w:rPr>
                <w:rFonts w:ascii="Arial" w:hAnsi="Arial"/>
                <w:sz w:val="20"/>
              </w:rPr>
              <w:t>Met</w:t>
            </w:r>
          </w:p>
        </w:tc>
        <w:tc>
          <w:tcPr>
            <w:tcW w:type="dxa" w:w="2340"/>
          </w:tcPr>
          <w:p>
            <w:r>
              <w:rPr>
                <w:rFonts w:ascii="Arial" w:hAnsi="Arial"/>
                <w:sz w:val="20"/>
              </w:rPr>
              <w:t>FSM blocks KIT_COMPLETE if any required SKU remains below target count [Section 4.3].</w:t>
            </w:r>
          </w:p>
        </w:tc>
      </w:tr>
      <w:tr>
        <w:tc>
          <w:tcPr>
            <w:tcW w:type="dxa" w:w="2340"/>
          </w:tcPr>
          <w:p>
            <w:r>
              <w:rPr>
                <w:rFonts w:ascii="Arial" w:hAnsi="Arial"/>
                <w:sz w:val="20"/>
              </w:rPr>
              <w:t>FR-04</w:t>
            </w:r>
          </w:p>
        </w:tc>
        <w:tc>
          <w:tcPr>
            <w:tcW w:type="dxa" w:w="2340"/>
          </w:tcPr>
          <w:p>
            <w:r>
              <w:rPr>
                <w:rFonts w:ascii="Arial" w:hAnsi="Arial"/>
                <w:sz w:val="20"/>
              </w:rPr>
              <w:t>Quantity Verification</w:t>
            </w:r>
          </w:p>
        </w:tc>
        <w:tc>
          <w:tcPr>
            <w:tcW w:type="dxa" w:w="2340"/>
          </w:tcPr>
          <w:p>
            <w:r>
              <w:rPr>
                <w:rFonts w:ascii="Arial" w:hAnsi="Arial"/>
                <w:sz w:val="20"/>
              </w:rPr>
              <w:t>Met</w:t>
            </w:r>
          </w:p>
        </w:tc>
        <w:tc>
          <w:tcPr>
            <w:tcW w:type="dxa" w:w="2340"/>
          </w:tcPr>
          <w:p>
            <w:r>
              <w:rPr>
                <w:rFonts w:ascii="Arial" w:hAnsi="Arial"/>
                <w:sz w:val="20"/>
              </w:rPr>
              <w:t>Met across all item weights by appropriately assigning light items (&lt; 3.5 g) to the 1 kg platform [Section 4.2.2].</w:t>
            </w:r>
          </w:p>
        </w:tc>
      </w:tr>
      <w:tr>
        <w:tc>
          <w:tcPr>
            <w:tcW w:type="dxa" w:w="2340"/>
          </w:tcPr>
          <w:p>
            <w:r>
              <w:rPr>
                <w:rFonts w:ascii="Arial" w:hAnsi="Arial"/>
                <w:sz w:val="20"/>
              </w:rPr>
              <w:t>FR-05</w:t>
            </w:r>
          </w:p>
        </w:tc>
        <w:tc>
          <w:tcPr>
            <w:tcW w:type="dxa" w:w="2340"/>
          </w:tcPr>
          <w:p>
            <w:r>
              <w:rPr>
                <w:rFonts w:ascii="Arial" w:hAnsi="Arial"/>
                <w:sz w:val="20"/>
              </w:rPr>
              <w:t>Real-Time Alerting</w:t>
            </w:r>
          </w:p>
        </w:tc>
        <w:tc>
          <w:tcPr>
            <w:tcW w:type="dxa" w:w="2340"/>
          </w:tcPr>
          <w:p>
            <w:r>
              <w:rPr>
                <w:rFonts w:ascii="Arial" w:hAnsi="Arial"/>
                <w:sz w:val="20"/>
              </w:rPr>
              <w:t>Met</w:t>
            </w:r>
          </w:p>
        </w:tc>
        <w:tc>
          <w:tcPr>
            <w:tcW w:type="dxa" w:w="2340"/>
          </w:tcPr>
          <w:p>
            <w:r>
              <w:rPr>
                <w:rFonts w:ascii="Arial" w:hAnsi="Arial"/>
                <w:sz w:val="20"/>
              </w:rPr>
              <w:t>End-to-end latency below 80 ms. Alerts appear on the HMI before the operator completes the reach.</w:t>
            </w:r>
          </w:p>
        </w:tc>
      </w:tr>
      <w:tr>
        <w:tc>
          <w:tcPr>
            <w:tcW w:type="dxa" w:w="2340"/>
          </w:tcPr>
          <w:p>
            <w:r>
              <w:rPr>
                <w:rFonts w:ascii="Arial" w:hAnsi="Arial"/>
                <w:sz w:val="20"/>
              </w:rPr>
              <w:t>FR-06</w:t>
            </w:r>
          </w:p>
        </w:tc>
        <w:tc>
          <w:tcPr>
            <w:tcW w:type="dxa" w:w="2340"/>
          </w:tcPr>
          <w:p>
            <w:r>
              <w:rPr>
                <w:rFonts w:ascii="Arial" w:hAnsi="Arial"/>
                <w:sz w:val="20"/>
              </w:rPr>
              <w:t>Corrective Guidance</w:t>
            </w:r>
          </w:p>
        </w:tc>
        <w:tc>
          <w:tcPr>
            <w:tcW w:type="dxa" w:w="2340"/>
          </w:tcPr>
          <w:p>
            <w:r>
              <w:rPr>
                <w:rFonts w:ascii="Arial" w:hAnsi="Arial"/>
                <w:sz w:val="20"/>
              </w:rPr>
              <w:t>Met</w:t>
            </w:r>
          </w:p>
        </w:tc>
        <w:tc>
          <w:tcPr>
            <w:tcW w:type="dxa" w:w="2340"/>
          </w:tcPr>
          <w:p>
            <w:r>
              <w:rPr>
                <w:rFonts w:ascii="Arial" w:hAnsi="Arial"/>
                <w:sz w:val="20"/>
              </w:rPr>
              <w:t>Post-iteration alerts display specific bin, error type, and corrective action [Section 5.2].</w:t>
            </w:r>
          </w:p>
        </w:tc>
      </w:tr>
      <w:tr>
        <w:tc>
          <w:tcPr>
            <w:tcW w:type="dxa" w:w="2340"/>
          </w:tcPr>
          <w:p>
            <w:r>
              <w:rPr>
                <w:rFonts w:ascii="Arial" w:hAnsi="Arial"/>
                <w:sz w:val="20"/>
              </w:rPr>
              <w:t>FR-07</w:t>
            </w:r>
          </w:p>
        </w:tc>
        <w:tc>
          <w:tcPr>
            <w:tcW w:type="dxa" w:w="2340"/>
          </w:tcPr>
          <w:p>
            <w:r>
              <w:rPr>
                <w:rFonts w:ascii="Arial" w:hAnsi="Arial"/>
                <w:sz w:val="20"/>
              </w:rPr>
              <w:t>Order Integration</w:t>
            </w:r>
          </w:p>
        </w:tc>
        <w:tc>
          <w:tcPr>
            <w:tcW w:type="dxa" w:w="2340"/>
          </w:tcPr>
          <w:p>
            <w:r>
              <w:rPr>
                <w:rFonts w:ascii="Arial" w:hAnsi="Arial"/>
                <w:sz w:val="20"/>
              </w:rPr>
              <w:t>Partial</w:t>
            </w:r>
          </w:p>
        </w:tc>
        <w:tc>
          <w:tcPr>
            <w:tcW w:type="dxa" w:w="2340"/>
          </w:tcPr>
          <w:p>
            <w:r>
              <w:rPr>
                <w:rFonts w:ascii="Arial" w:hAnsi="Arial"/>
                <w:sz w:val="20"/>
              </w:rPr>
              <w:t>System parses YAML order configurations to set targets, but loading is not fully automated. The operator must select or key in the order configuration manually.</w:t>
            </w:r>
          </w:p>
        </w:tc>
      </w:tr>
      <w:tr>
        <w:tc>
          <w:tcPr>
            <w:tcW w:type="dxa" w:w="2340"/>
          </w:tcPr>
          <w:p>
            <w:r>
              <w:rPr>
                <w:rFonts w:ascii="Arial" w:hAnsi="Arial"/>
                <w:sz w:val="20"/>
              </w:rPr>
              <w:t>FR-08</w:t>
            </w:r>
          </w:p>
        </w:tc>
        <w:tc>
          <w:tcPr>
            <w:tcW w:type="dxa" w:w="2340"/>
          </w:tcPr>
          <w:p>
            <w:r>
              <w:rPr>
                <w:rFonts w:ascii="Arial" w:hAnsi="Arial"/>
                <w:sz w:val="20"/>
              </w:rPr>
              <w:t>New Part Onboarding</w:t>
            </w:r>
          </w:p>
        </w:tc>
        <w:tc>
          <w:tcPr>
            <w:tcW w:type="dxa" w:w="2340"/>
          </w:tcPr>
          <w:p>
            <w:r>
              <w:rPr>
                <w:rFonts w:ascii="Arial" w:hAnsi="Arial"/>
                <w:sz w:val="20"/>
              </w:rPr>
              <w:t>Met</w:t>
            </w:r>
          </w:p>
        </w:tc>
        <w:tc>
          <w:tcPr>
            <w:tcW w:type="dxa" w:w="2340"/>
          </w:tcPr>
          <w:p>
            <w:r>
              <w:rPr>
                <w:rFonts w:ascii="Arial" w:hAnsi="Arial"/>
                <w:sz w:val="20"/>
              </w:rPr>
              <w:t>Dynamic OBB calibration eliminates manual coordinate mapping. New SKUs require only a weight entry.</w:t>
            </w:r>
          </w:p>
        </w:tc>
      </w:tr>
      <w:tr>
        <w:tc>
          <w:tcPr>
            <w:tcW w:type="dxa" w:w="2340"/>
          </w:tcPr>
          <w:p>
            <w:r>
              <w:rPr>
                <w:rFonts w:ascii="Arial" w:hAnsi="Arial"/>
                <w:sz w:val="20"/>
              </w:rPr>
              <w:t>FR-09</w:t>
            </w:r>
          </w:p>
        </w:tc>
        <w:tc>
          <w:tcPr>
            <w:tcW w:type="dxa" w:w="2340"/>
          </w:tcPr>
          <w:p>
            <w:r>
              <w:rPr>
                <w:rFonts w:ascii="Arial" w:hAnsi="Arial"/>
                <w:sz w:val="20"/>
              </w:rPr>
              <w:t>Environmental Robustness</w:t>
            </w:r>
          </w:p>
        </w:tc>
        <w:tc>
          <w:tcPr>
            <w:tcW w:type="dxa" w:w="2340"/>
          </w:tcPr>
          <w:p>
            <w:r>
              <w:rPr>
                <w:rFonts w:ascii="Arial" w:hAnsi="Arial"/>
                <w:sz w:val="20"/>
              </w:rPr>
              <w:t>Met</w:t>
            </w:r>
          </w:p>
        </w:tc>
        <w:tc>
          <w:tcPr>
            <w:tcW w:type="dxa" w:w="2340"/>
          </w:tcPr>
          <w:p>
            <w:r>
              <w:rPr>
                <w:rFonts w:ascii="Arial" w:hAnsi="Arial"/>
                <w:sz w:val="20"/>
              </w:rPr>
              <w:t>100% CV detection from 0 to 506 lux [Section 4.2.1]. ESD mats suppress glare. No workstation modification.</w:t>
            </w:r>
          </w:p>
        </w:tc>
      </w:tr>
      <w:tr>
        <w:tc>
          <w:tcPr>
            <w:tcW w:type="dxa" w:w="2340"/>
          </w:tcPr>
          <w:p>
            <w:r>
              <w:rPr>
                <w:rFonts w:ascii="Arial" w:hAnsi="Arial"/>
                <w:sz w:val="20"/>
              </w:rPr>
              <w:t>FR-10</w:t>
            </w:r>
          </w:p>
        </w:tc>
        <w:tc>
          <w:tcPr>
            <w:tcW w:type="dxa" w:w="2340"/>
          </w:tcPr>
          <w:p>
            <w:r>
              <w:rPr>
                <w:rFonts w:ascii="Arial" w:hAnsi="Arial"/>
                <w:sz w:val="20"/>
              </w:rPr>
              <w:t>Supervisor Visibility</w:t>
            </w:r>
          </w:p>
        </w:tc>
        <w:tc>
          <w:tcPr>
            <w:tcW w:type="dxa" w:w="2340"/>
          </w:tcPr>
          <w:p>
            <w:r>
              <w:rPr>
                <w:rFonts w:ascii="Arial" w:hAnsi="Arial"/>
                <w:sz w:val="20"/>
              </w:rPr>
              <w:t>Partial</w:t>
            </w:r>
          </w:p>
        </w:tc>
        <w:tc>
          <w:tcPr>
            <w:tcW w:type="dxa" w:w="2340"/>
          </w:tcPr>
          <w:p>
            <w:r>
              <w:rPr>
                <w:rFonts w:ascii="Arial" w:hAnsi="Arial"/>
                <w:sz w:val="20"/>
              </w:rPr>
              <w:t>FastAPI serves live state over the local network, but there is no designated, centralised supervisor dashboard implemented yet.</w:t>
            </w:r>
          </w:p>
        </w:tc>
      </w:tr>
      <w:tr>
        <w:tc>
          <w:tcPr>
            <w:tcW w:type="dxa" w:w="2340"/>
          </w:tcPr>
          <w:p>
            <w:r>
              <w:rPr>
                <w:rFonts w:ascii="Arial" w:hAnsi="Arial"/>
                <w:sz w:val="20"/>
              </w:rPr>
              <w:t>FR-11</w:t>
            </w:r>
          </w:p>
        </w:tc>
        <w:tc>
          <w:tcPr>
            <w:tcW w:type="dxa" w:w="2340"/>
          </w:tcPr>
          <w:p>
            <w:r>
              <w:rPr>
                <w:rFonts w:ascii="Arial" w:hAnsi="Arial"/>
                <w:sz w:val="20"/>
              </w:rPr>
              <w:t>Scalability</w:t>
            </w:r>
          </w:p>
        </w:tc>
        <w:tc>
          <w:tcPr>
            <w:tcW w:type="dxa" w:w="2340"/>
          </w:tcPr>
          <w:p>
            <w:r>
              <w:rPr>
                <w:rFonts w:ascii="Arial" w:hAnsi="Arial"/>
                <w:sz w:val="20"/>
              </w:rPr>
              <w:t>Met</w:t>
            </w:r>
          </w:p>
        </w:tc>
        <w:tc>
          <w:tcPr>
            <w:tcW w:type="dxa" w:w="2340"/>
          </w:tcPr>
          <w:p>
            <w:r>
              <w:rPr>
                <w:rFonts w:ascii="Arial" w:hAnsi="Arial"/>
                <w:sz w:val="20"/>
              </w:rPr>
              <w:t>Pipeline utilises approximately one of twelve CPU cores. Thread-safe architecture supports multi-station extension.</w:t>
            </w:r>
          </w:p>
        </w:tc>
      </w:tr>
    </w:tbl>
    <w:p/>
    <w:p>
      <w:r>
        <w:rPr>
          <w:rFonts w:ascii="Arial" w:hAnsi="Arial"/>
          <w:b w:val="0"/>
          <w:i/>
          <w:sz w:val="20"/>
        </w:rPr>
        <w:t>Table 5.5: Requirements validation matrix.</w:t>
      </w:r>
    </w:p>
    <w:p>
      <w:r>
        <w:br w:type="page"/>
      </w:r>
    </w:p>
    <w:p>
      <w:pPr>
        <w:pStyle w:val="Heading1"/>
      </w:pPr>
      <w:r>
        <w:t>Chapter 6: Future Works and Conclusion</w:t>
      </w:r>
    </w:p>
    <w:p>
      <w:pPr>
        <w:pStyle w:val="Heading2"/>
      </w:pPr>
      <w:r>
        <w:t>6.1 Summary of Validation</w:t>
      </w:r>
    </w:p>
    <w:p>
      <w:r>
        <w:rPr>
          <w:rFonts w:ascii="Arial" w:hAnsi="Arial"/>
          <w:b w:val="0"/>
          <w:i w:val="0"/>
          <w:sz w:val="24"/>
        </w:rPr>
        <w:t>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
        <w:rPr>
          <w:rFonts w:ascii="Arial" w:hAnsi="Arial"/>
          <w:b w:val="0"/>
          <w:i w:val="0"/>
          <w:sz w:val="24"/>
        </w:rPr>
        <w:t>Validation results confirm robust system reliability across all tested dimensions. The computer vision pipeline maintained flawless bin detection across extreme lighting variations, while the load cell configuration successfully resolved the minimum detectable mass required for the target bill of materials. Comprehensive backend testing verified the logic engine’s stability, and user testing confirmed the efficacy of the real-time corrective guidance [Table 5.3].</w:t>
      </w:r>
    </w:p>
    <w:p>
      <w:r>
        <w:rPr>
          <w:rFonts w:ascii="Arial" w:hAnsi="Arial"/>
          <w:b w:val="0"/>
          <w:i w:val="0"/>
          <w:sz w:val="24"/>
        </w:rPr>
        <w:t>Following successful laboratory validation, TE Connectivity is preparing for sandbox deployment, where AEGIS will undergo operational testing under continuous shift conditions.</w:t>
      </w:r>
    </w:p>
    <w:p>
      <w:pPr>
        <w:pStyle w:val="Heading2"/>
      </w:pPr>
      <w:r>
        <w:t>6.2 Limitations of Testing Environment</w:t>
      </w:r>
    </w:p>
    <w:p>
      <w:r>
        <w:rPr>
          <w:rFonts w:ascii="Arial" w:hAnsi="Arial"/>
          <w:b w:val="0"/>
          <w:i w:val="0"/>
          <w:sz w:val="24"/>
        </w:rPr>
        <w:t>Validation of the AEGIS prototype was conducted in a constrained university laboratory environment. This setting could not perfectly simulate the dynamic lighting, spatial chaos, or continuous mechanical vibrations of a true industrial factory floor.</w:t>
      </w:r>
    </w:p>
    <w:p>
      <w:r>
        <w:rPr>
          <w:rFonts w:ascii="Arial" w:hAnsi="Arial"/>
          <w:b w:val="0"/>
          <w:i w:val="0"/>
          <w:sz w:val="24"/>
        </w:rPr>
        <w:t>Consequently, the performance metrics and usability feedback reflect a controlled baseline. Edge cases, such as prolonged operational fatigue or severe industrial dust occlusion, may only emerge during live production deployment.</w:t>
      </w:r>
    </w:p>
    <w:p>
      <w:pPr>
        <w:pStyle w:val="Heading2"/>
      </w:pPr>
      <w:r>
        <w:t>6.3 Scalability and Maintenance</w:t>
      </w:r>
    </w:p>
    <w:p>
      <w:r>
        <w:rPr>
          <w:rFonts w:ascii="Arial" w:hAnsi="Arial"/>
          <w:b w:val="0"/>
          <w:i w:val="0"/>
          <w:sz w:val="24"/>
        </w:rPr>
        <w:t>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
        <w:rPr>
          <w:rFonts w:ascii="Arial" w:hAnsi="Arial"/>
          <w:b w:val="0"/>
          <w:i w:val="0"/>
          <w:sz w:val="24"/>
        </w:rPr>
        <w:t>To practically validate this scalability, a secondary, expanded workstation setup was constructed. [PLACEHOLDER: Insert brief description of the new setup's physical dimensions and increased bin capacity].</w:t>
      </w:r>
    </w:p>
    <w:p>
      <w:r>
        <w:rPr>
          <w:rFonts w:ascii="Arial" w:hAnsi="Arial"/>
          <w:b w:val="0"/>
          <w:i w:val="0"/>
          <w:sz w:val="24"/>
        </w:rPr>
        <w:t>Deployments on this expanded setup demonstrated that the core architecture seamlessly supports higher throughput. [PLACEHOLDER: Insert specific validation metrics, e.g., latency impact or CPU overhead, proving it scaled successfully].</w:t>
      </w:r>
    </w:p>
    <w:p>
      <w:pPr>
        <w:pStyle w:val="Heading2"/>
      </w:pPr>
      <w:r>
        <w:t>6.4 Ergonomic Considerations</w:t>
      </w:r>
    </w:p>
    <w:p>
      <w:r>
        <w:rPr>
          <w:rFonts w:ascii="Arial" w:hAnsi="Arial"/>
          <w:b w:val="0"/>
          <w:i w:val="0"/>
          <w:sz w:val="24"/>
        </w:rPr>
        <w:t>The usability study identified two physical-interaction gaps requiring mitigation before sandbox deployment.</w:t>
      </w:r>
    </w:p>
    <w:p>
      <w:r>
        <w:rPr>
          <w:rFonts w:ascii="Arial" w:hAnsi="Arial"/>
          <w:b w:val="0"/>
          <w:i w:val="0"/>
          <w:sz w:val="24"/>
        </w:rPr>
        <w:t>To address consolidation fatigue from lifting heavy bins, tilting bin racks or gravity-fed chutes are recommended. To mitigate standing fatigue over extended shifts, a scheduled break reminder will be incorporated into the HMI after every ten completed sets.</w:t>
      </w:r>
    </w:p>
    <w:p>
      <w:pPr>
        <w:pStyle w:val="Heading2"/>
      </w:pPr>
      <w:r>
        <w:t>6.5 Future Works</w:t>
      </w:r>
    </w:p>
    <w:p>
      <w:r>
        <w:rPr>
          <w:rFonts w:ascii="Arial" w:hAnsi="Arial"/>
          <w:b w:val="0"/>
          <w:i w:val="0"/>
          <w:sz w:val="24"/>
        </w:rPr>
        <w:t>Several directions for future development are identified to support full production scaling, as summarised in Table 6.1.</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Priority</w:t>
            </w:r>
          </w:p>
        </w:tc>
        <w:tc>
          <w:tcPr>
            <w:tcW w:type="dxa" w:w="3120"/>
          </w:tcPr>
          <w:p>
            <w:pPr>
              <w:jc w:val="center"/>
            </w:pPr>
            <w:r>
              <w:rPr>
                <w:rFonts w:ascii="Arial" w:hAnsi="Arial"/>
                <w:b/>
                <w:sz w:val="20"/>
              </w:rPr>
              <w:t>Direction</w:t>
            </w:r>
          </w:p>
        </w:tc>
        <w:tc>
          <w:tcPr>
            <w:tcW w:type="dxa" w:w="3120"/>
          </w:tcPr>
          <w:p>
            <w:pPr>
              <w:jc w:val="center"/>
            </w:pPr>
            <w:r>
              <w:rPr>
                <w:rFonts w:ascii="Arial" w:hAnsi="Arial"/>
                <w:b/>
                <w:sz w:val="20"/>
              </w:rPr>
              <w:t>Description</w:t>
            </w:r>
          </w:p>
        </w:tc>
      </w:tr>
      <w:tr>
        <w:tc>
          <w:tcPr>
            <w:tcW w:type="dxa" w:w="3120"/>
          </w:tcPr>
          <w:p>
            <w:r>
              <w:rPr>
                <w:rFonts w:ascii="Arial" w:hAnsi="Arial"/>
                <w:sz w:val="20"/>
              </w:rPr>
              <w:t>High</w:t>
            </w:r>
          </w:p>
        </w:tc>
        <w:tc>
          <w:tcPr>
            <w:tcW w:type="dxa" w:w="3120"/>
          </w:tcPr>
          <w:p>
            <w:r>
              <w:rPr>
                <w:rFonts w:ascii="Arial" w:hAnsi="Arial"/>
                <w:sz w:val="20"/>
              </w:rPr>
              <w:t>Multi-workstation orchestration</w:t>
            </w:r>
          </w:p>
        </w:tc>
        <w:tc>
          <w:tcPr>
            <w:tcW w:type="dxa" w:w="3120"/>
          </w:tcPr>
          <w:p>
            <w:r>
              <w:rPr>
                <w:rFonts w:ascii="Arial" w:hAnsi="Arial"/>
                <w:sz w:val="20"/>
              </w:rPr>
              <w:t>Link local FastAPI instances to a centralised supervisor dashboard for cross-line monitoring.</w:t>
            </w:r>
          </w:p>
        </w:tc>
      </w:tr>
      <w:tr>
        <w:tc>
          <w:tcPr>
            <w:tcW w:type="dxa" w:w="3120"/>
          </w:tcPr>
          <w:p>
            <w:r>
              <w:rPr>
                <w:rFonts w:ascii="Arial" w:hAnsi="Arial"/>
                <w:sz w:val="20"/>
              </w:rPr>
              <w:t>High</w:t>
            </w:r>
          </w:p>
        </w:tc>
        <w:tc>
          <w:tcPr>
            <w:tcW w:type="dxa" w:w="3120"/>
          </w:tcPr>
          <w:p>
            <w:r>
              <w:rPr>
                <w:rFonts w:ascii="Arial" w:hAnsi="Arial"/>
                <w:sz w:val="20"/>
              </w:rPr>
              <w:t>MES integration</w:t>
            </w:r>
          </w:p>
        </w:tc>
        <w:tc>
          <w:tcPr>
            <w:tcW w:type="dxa" w:w="3120"/>
          </w:tcPr>
          <w:p>
            <w:r>
              <w:rPr>
                <w:rFonts w:ascii="Arial" w:hAnsi="Arial"/>
                <w:sz w:val="20"/>
              </w:rPr>
              <w:t>Automate work-order loading via Modbus TCP with bidirectional status reporting.</w:t>
            </w:r>
          </w:p>
        </w:tc>
      </w:tr>
      <w:tr>
        <w:tc>
          <w:tcPr>
            <w:tcW w:type="dxa" w:w="3120"/>
          </w:tcPr>
          <w:p>
            <w:r>
              <w:rPr>
                <w:rFonts w:ascii="Arial" w:hAnsi="Arial"/>
                <w:sz w:val="20"/>
              </w:rPr>
              <w:t>Medium</w:t>
            </w:r>
          </w:p>
        </w:tc>
        <w:tc>
          <w:tcPr>
            <w:tcW w:type="dxa" w:w="3120"/>
          </w:tcPr>
          <w:p>
            <w:r>
              <w:rPr>
                <w:rFonts w:ascii="Arial" w:hAnsi="Arial"/>
                <w:sz w:val="20"/>
              </w:rPr>
              <w:t>Light-item resolution</w:t>
            </w:r>
          </w:p>
        </w:tc>
        <w:tc>
          <w:tcPr>
            <w:tcW w:type="dxa" w:w="3120"/>
          </w:tcPr>
          <w:p>
            <w:r>
              <w:rPr>
                <w:rFonts w:ascii="Arial" w:hAnsi="Arial"/>
                <w:sz w:val="20"/>
              </w:rPr>
              <w:t>Investigate higher-resolution load cells or supplementary sensing (capacitive or optical) for the lightest SKUs.</w:t>
            </w:r>
          </w:p>
        </w:tc>
      </w:tr>
      <w:tr>
        <w:tc>
          <w:tcPr>
            <w:tcW w:type="dxa" w:w="3120"/>
          </w:tcPr>
          <w:p>
            <w:r>
              <w:rPr>
                <w:rFonts w:ascii="Arial" w:hAnsi="Arial"/>
                <w:sz w:val="20"/>
              </w:rPr>
              <w:t>Medium</w:t>
            </w:r>
          </w:p>
        </w:tc>
        <w:tc>
          <w:tcPr>
            <w:tcW w:type="dxa" w:w="3120"/>
          </w:tcPr>
          <w:p>
            <w:r>
              <w:rPr>
                <w:rFonts w:ascii="Arial" w:hAnsi="Arial"/>
                <w:sz w:val="20"/>
              </w:rPr>
              <w:t>Bin colour generalisation</w:t>
            </w:r>
          </w:p>
        </w:tc>
        <w:tc>
          <w:tcPr>
            <w:tcW w:type="dxa" w:w="3120"/>
          </w:tcPr>
          <w:p>
            <w:r>
              <w:rPr>
                <w:rFonts w:ascii="Arial" w:hAnsi="Arial"/>
                <w:sz w:val="20"/>
              </w:rPr>
              <w:t>Expand YOLOv8-OBB training data to include non-blue bin colours and form factors.</w:t>
            </w:r>
          </w:p>
        </w:tc>
      </w:tr>
      <w:tr>
        <w:tc>
          <w:tcPr>
            <w:tcW w:type="dxa" w:w="3120"/>
          </w:tcPr>
          <w:p>
            <w:r>
              <w:rPr>
                <w:rFonts w:ascii="Arial" w:hAnsi="Arial"/>
                <w:sz w:val="20"/>
              </w:rPr>
              <w:t>Low</w:t>
            </w:r>
          </w:p>
        </w:tc>
        <w:tc>
          <w:tcPr>
            <w:tcW w:type="dxa" w:w="3120"/>
          </w:tcPr>
          <w:p>
            <w:r>
              <w:rPr>
                <w:rFonts w:ascii="Arial" w:hAnsi="Arial"/>
                <w:sz w:val="20"/>
              </w:rPr>
              <w:t>Predictive analytics</w:t>
            </w:r>
          </w:p>
        </w:tc>
        <w:tc>
          <w:tcPr>
            <w:tcW w:type="dxa" w:w="3120"/>
          </w:tcPr>
          <w:p>
            <w:r>
              <w:rPr>
                <w:rFonts w:ascii="Arial" w:hAnsi="Arial"/>
                <w:sz w:val="20"/>
              </w:rPr>
              <w:t>Aggregate error data across shifts and operators for trend analysis and proactive process improvement.</w:t>
            </w:r>
          </w:p>
        </w:tc>
      </w:tr>
    </w:tbl>
    <w:p/>
    <w:p>
      <w:r>
        <w:rPr>
          <w:rFonts w:ascii="Arial" w:hAnsi="Arial"/>
          <w:b w:val="0"/>
          <w:i/>
          <w:sz w:val="20"/>
        </w:rPr>
        <w:t>Table 6.1: Future development directions.</w:t>
      </w:r>
    </w:p>
    <w:p>
      <w:r>
        <w:br w:type="page"/>
      </w:r>
    </w:p>
    <w:p>
      <w:pPr>
        <w:pStyle w:val="Heading1"/>
      </w:pPr>
      <w:r>
        <w:t>Chapter 7: Reflections and Lessons Learned</w:t>
      </w:r>
    </w:p>
    <w:p>
      <w:r>
        <w:rPr>
          <w:rFonts w:ascii="Arial" w:hAnsi="Arial"/>
          <w:b w:val="0"/>
          <w:i w:val="0"/>
          <w:sz w:val="24"/>
        </w:rPr>
        <w:t>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
        <w:rPr>
          <w:rFonts w:ascii="Arial" w:hAnsi="Arial"/>
          <w:b w:val="0"/>
          <w:i w:val="0"/>
          <w:sz w:val="24"/>
        </w:rPr>
        <w:t>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process—it is the compass that guides true utility, converting subjective struggles into meaningful technological impact.</w:t>
      </w:r>
    </w:p>
    <w:p>
      <w:r>
        <w:rPr>
          <w:rFonts w:ascii="Arial" w:hAnsi="Arial"/>
          <w:b w:val="0"/>
          <w:i w:val="0"/>
          <w:sz w:val="24"/>
        </w:rPr>
        <w:t>Ultimately, the AEGIS project underscored that real-world deployment is inherently messy. While encapsulating our core logic into isolated, hardware-independent architectures allowed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
        <w:rPr>
          <w:rFonts w:ascii="Arial" w:hAnsi="Arial"/>
          <w:b w:val="0"/>
          <w:i/>
          <w:sz w:val="24"/>
        </w:rPr>
        <w:t>[Individual team member reflections to be added here.]</w:t>
      </w:r>
    </w:p>
    <w:p>
      <w:r>
        <w:br w:type="page"/>
      </w:r>
    </w:p>
    <w:p>
      <w:pPr>
        <w:pStyle w:val="Heading1"/>
      </w:pPr>
      <w:r>
        <w:t>References</w:t>
      </w:r>
    </w:p>
    <w:p>
      <w:r>
        <w:rPr>
          <w:rFonts w:ascii="Arial" w:hAnsi="Arial"/>
          <w:sz w:val="22"/>
        </w:rPr>
        <w:t>[1]  Ultralytics, "YOLOv8 Documentation," 2024. [Online]. Available: https://github.com/ultralytics/ultralytics. [Accessed: Jul. 2026].</w:t>
      </w:r>
    </w:p>
    <w:p>
      <w:r>
        <w:rPr>
          <w:rFonts w:ascii="Arial" w:hAnsi="Arial"/>
          <w:sz w:val="22"/>
        </w:rPr>
        <w:t>[2]  Google, "MediaPipe Hands: On-device Real-time Hand Tracking," 2023. [Online]. Available: https://developers.google.com/mediapipe/solutions/vision/hand_landmarker. [Accessed: Jul. 2026].</w:t>
      </w:r>
    </w:p>
    <w:p>
      <w:r>
        <w:rPr>
          <w:rFonts w:ascii="Arial" w:hAnsi="Arial"/>
          <w:sz w:val="22"/>
        </w:rPr>
        <w:t>[3]  TE Connectivity, "Cost of Poor Quality (COPQ) Internal Manufacturing Reports," FY2025. Unpublished.</w:t>
      </w:r>
    </w:p>
    <w:p>
      <w:r>
        <w:rPr>
          <w:rFonts w:ascii="Arial" w:hAnsi="Arial"/>
          <w:sz w:val="22"/>
        </w:rPr>
        <w:t>[4]  Avia Semiconductor, "HX711: 24-Bit Analog-to-Digital Converter for Weigh Scales," Datasheet Rev. 1.0.</w:t>
      </w:r>
    </w:p>
    <w:p>
      <w:r>
        <w:rPr>
          <w:rFonts w:ascii="Arial" w:hAnsi="Arial"/>
          <w:sz w:val="22"/>
        </w:rPr>
        <w:t>[5]  Advantech, "MIC-733: AI Inference System Based on NVIDIA Jetson AGX Orin," Product Datasheet, 2024.</w:t>
      </w:r>
    </w:p>
    <w:p>
      <w:r>
        <w:rPr>
          <w:rFonts w:ascii="Arial" w:hAnsi="Arial"/>
          <w:sz w:val="22"/>
        </w:rPr>
        <w:t>[6]  NVIDIA, "Jetson AGX Orin Technical Reference Manual," 2023.</w:t>
      </w:r>
    </w:p>
    <w:p>
      <w:r>
        <w:rPr>
          <w:rFonts w:ascii="Arial" w:hAnsi="Arial"/>
          <w:sz w:val="22"/>
        </w:rPr>
        <w:t>[7]  Roboflow, "Computer Vision Annotation and Dataset Management Platform," 2024. [Online]. Available: https://roboflow.com.</w:t>
      </w:r>
    </w:p>
    <w:p>
      <w:r>
        <w:rPr>
          <w:rFonts w:ascii="Arial" w:hAnsi="Arial"/>
          <w:sz w:val="22"/>
        </w:rPr>
        <w:t>[8]  Espressif Systems, "ESP32 Series Datasheet," Version 4.2, 2023.</w:t>
      </w:r>
    </w:p>
    <w:p>
      <w:r>
        <w:br w:type="page"/>
      </w:r>
    </w:p>
    <w:p>
      <w:pPr>
        <w:pStyle w:val="Heading1"/>
      </w:pPr>
      <w:r>
        <w:t>Appendix</w:t>
      </w:r>
    </w:p>
    <w:p>
      <w:pPr>
        <w:pStyle w:val="Heading2"/>
      </w:pPr>
      <w:r>
        <w:t>Appendix A: Workstation Set-up</w:t>
      </w:r>
    </w:p>
    <w:p>
      <w:r>
        <w:rPr>
          <w:rFonts w:ascii="Arial" w:hAnsi="Arial"/>
          <w:b w:val="0"/>
          <w:i/>
          <w:sz w:val="24"/>
        </w:rPr>
        <w:t>[Workstation setup documentation to be included here.]</w:t>
      </w:r>
    </w:p>
    <w:p>
      <w:pPr>
        <w:pStyle w:val="Heading2"/>
      </w:pPr>
      <w:r>
        <w:t>Appendix B: Usability Study Raw Data</w:t>
      </w:r>
    </w:p>
    <w:p>
      <w:r>
        <w:rPr>
          <w:rFonts w:ascii="Arial" w:hAnsi="Arial"/>
          <w:b w:val="0"/>
          <w:i w:val="0"/>
          <w:sz w:val="24"/>
        </w:rPr>
        <w:t>Per-operator Likert ratings, alert walkthrough transcripts, and open-ended feedback summaries for all six participants. Operators consistently rated the spatial bin-grid layout at 5.0/5.0, while pre-iteration alert wording averaged 2.1/5.0, driving the HMI redesign. Full raw data is available in the testing resource: AEGIS_User_Test_Findings_Summary.docx.</w:t>
      </w:r>
    </w:p>
    <w:p>
      <w:pPr>
        <w:spacing w:after="240"/>
        <w:jc w:val="center"/>
      </w:pPr>
      <w:r>
        <w:drawing>
          <wp:inline>
            <wp:extent cx="5486400" cy="3429000"/>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429000"/>
                    </a:xfrm>
                    <a:prstGeom prst="rect"/>
                  </pic:spPr>
                </pic:pic>
              </a:graphicData>
            </a:graphic>
          </wp:inline>
        </w:drawing>
      </w:r>
    </w:p>
    <w:p>
      <w:pPr>
        <w:jc w:val="center"/>
      </w:pPr>
      <w:r>
        <w:rPr>
          <w:rFonts w:ascii="Arial" w:hAnsi="Arial"/>
          <w:i/>
          <w:sz w:val="20"/>
        </w:rPr>
        <w:t>Figure A.1: Likert score distribution from operator usability study.</w:t>
      </w:r>
    </w:p>
    <w:p>
      <w:pPr>
        <w:pStyle w:val="Heading2"/>
      </w:pPr>
      <w:r>
        <w:t>Appendix C: Load Cell Qualification Data</w:t>
      </w:r>
    </w:p>
    <w:p>
      <w:r>
        <w:rPr>
          <w:rFonts w:ascii="Arial" w:hAnsi="Arial"/>
          <w:b w:val="0"/>
          <w:i w:val="0"/>
          <w:sz w:val="24"/>
        </w:rPr>
        <w:t>Raw calibration ladders, repeatability tables, hysteresis curves, warm-up drift logs, creep measurements, and off-centre deviation maps for all three configurations. Testing established a reliable noise floor threshold of 0.5 g on the 1 kg platform and 4.3 g on the 10 kg platform. Full raw data is available in the testing resource: AEGIS_LoadCell_Qualification.docx.</w:t>
      </w:r>
    </w:p>
    <w:p>
      <w:pPr>
        <w:pStyle w:val="Heading2"/>
      </w:pPr>
      <w:r>
        <w:t>Appendix D: CV Training and Evaluation Data</w:t>
      </w:r>
    </w:p>
    <w:p>
      <w:r>
        <w:rPr>
          <w:rFonts w:ascii="Arial" w:hAnsi="Arial"/>
          <w:b w:val="0"/>
          <w:i w:val="0"/>
          <w:sz w:val="24"/>
        </w:rPr>
        <w:t>YOLOv8-OBB training curves and validation metrics for Setup V3. As illustrated in Figure A.2 below, the vision system demonstrated perfect stability across all tested illuminance levels (0 to 506 lux). Furthermore, Phase 2 testing confirmed 100% bin detection accuracy across all varying part-contents and sizes (Figure A.3). Detection only degraded (80-85%) when introducing untrained mixed-colour bins. Full raw data is available in the testing resources: AEGIS_CV_Test_Pack.xlsx and lighting_cv_test_backup.xlsx.</w:t>
      </w:r>
    </w:p>
    <w:p>
      <w:pPr>
        <w:spacing w:after="240"/>
        <w:jc w:val="center"/>
      </w:pPr>
      <w:r>
        <w:drawing>
          <wp:inline>
            <wp:extent cx="5486400" cy="2743200"/>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743200"/>
                    </a:xfrm>
                    <a:prstGeom prst="rect"/>
                  </pic:spPr>
                </pic:pic>
              </a:graphicData>
            </a:graphic>
          </wp:inline>
        </w:drawing>
      </w:r>
    </w:p>
    <w:p>
      <w:pPr>
        <w:jc w:val="center"/>
      </w:pPr>
      <w:r>
        <w:rPr>
          <w:rFonts w:ascii="Arial" w:hAnsi="Arial"/>
          <w:i/>
          <w:sz w:val="20"/>
        </w:rPr>
        <w:t>Figure A.2: Bin Detection Robustness Across Lighting Conditions, extracted from lighting_cv_test_backup.xlsx.</w:t>
      </w:r>
    </w:p>
    <w:p>
      <w:pPr>
        <w:spacing w:after="240"/>
        <w:jc w:val="center"/>
      </w:pPr>
      <w:r>
        <w:drawing>
          <wp:inline>
            <wp:extent cx="5486400" cy="3291840"/>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3291840"/>
                    </a:xfrm>
                    <a:prstGeom prst="rect"/>
                  </pic:spPr>
                </pic:pic>
              </a:graphicData>
            </a:graphic>
          </wp:inline>
        </w:drawing>
      </w:r>
    </w:p>
    <w:p>
      <w:pPr>
        <w:jc w:val="center"/>
      </w:pPr>
      <w:r>
        <w:rPr>
          <w:rFonts w:ascii="Arial" w:hAnsi="Arial"/>
          <w:i/>
          <w:sz w:val="20"/>
        </w:rPr>
        <w:t>Figure A.3: Bin Detection Accuracy by Condition (Phase 2), extracted from AEGIS_CV_Test_Pack.xlsx.</w:t>
      </w:r>
    </w:p>
    <w:p>
      <w:pPr>
        <w:pStyle w:val="Heading2"/>
      </w:pPr>
      <w:r>
        <w:t>Appendix E: HMI Screenshots</w:t>
      </w:r>
    </w:p>
    <w:p>
      <w:pPr>
        <w:spacing w:after="240"/>
        <w:jc w:val="center"/>
      </w:pPr>
      <w:r>
        <w:drawing>
          <wp:inline>
            <wp:extent cx="5486400" cy="2947618"/>
            <wp:docPr id="18" name="Picture 1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2947618"/>
                    </a:xfrm>
                    <a:prstGeom prst="rect"/>
                  </pic:spPr>
                </pic:pic>
              </a:graphicData>
            </a:graphic>
          </wp:inline>
        </w:drawing>
      </w:r>
    </w:p>
    <w:p>
      <w:pPr>
        <w:jc w:val="center"/>
      </w:pPr>
      <w:r>
        <w:rPr>
          <w:rFonts w:ascii="Arial" w:hAnsi="Arial"/>
          <w:i/>
          <w:sz w:val="20"/>
        </w:rPr>
        <w:t>Figure A.4: Pre-iteration HMI showing the bin grid, small-font error banners, and 0-indexed labels.</w:t>
      </w:r>
    </w:p>
    <w:p>
      <w:pPr>
        <w:spacing w:after="240"/>
        <w:jc w:val="center"/>
      </w:pPr>
      <w:r>
        <w:drawing>
          <wp:inline>
            <wp:extent cx="5486400" cy="2936182"/>
            <wp:docPr id="19" name="Picture 1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936182"/>
                    </a:xfrm>
                    <a:prstGeom prst="rect"/>
                  </pic:spPr>
                </pic:pic>
              </a:graphicData>
            </a:graphic>
          </wp:inline>
        </w:drawing>
      </w:r>
    </w:p>
    <w:p>
      <w:pPr>
        <w:jc w:val="center"/>
      </w:pPr>
      <w:r>
        <w:rPr>
          <w:rFonts w:ascii="Arial" w:hAnsi="Arial"/>
          <w:i/>
          <w:sz w:val="20"/>
        </w:rPr>
        <w:t>Figure A.5: Post-iteration HMI showing the redesigned fault banner, colour-coded hand halo, 1-indexed labels, and sets-remaining progress indicator.</w:t>
      </w:r>
    </w:p>
    <w:p>
      <w:pPr>
        <w:pStyle w:val="Heading2"/>
      </w:pPr>
      <w:r>
        <w:t>Appendix F: Unit Test Summary</w:t>
      </w:r>
    </w:p>
    <w:p>
      <w:r>
        <w:rPr>
          <w:rFonts w:ascii="Arial" w:hAnsi="Arial"/>
          <w:b w:val="0"/>
          <w:i w:val="0"/>
          <w:sz w:val="24"/>
        </w:rPr>
        <w:t>Full pytest output (134 of 134 tests passing) and pytest-cov coverage report.</w:t>
      </w:r>
    </w:p>
    <w:p>
      <w:pPr>
        <w:pStyle w:val="Heading2"/>
      </w:pPr>
      <w:r>
        <w:t>Appendix G: TE Connectivity Stakeholder Interview Transcript</w:t>
      </w:r>
    </w:p>
    <w:p>
      <w:pPr>
        <w:spacing w:after="120"/>
      </w:pPr>
      <w:r>
        <w:rPr>
          <w:rFonts w:ascii="Arial" w:hAnsi="Arial"/>
          <w:b/>
          <w:sz w:val="22"/>
        </w:rPr>
        <w:t>Us:</w:t>
      </w:r>
      <w:r>
        <w:rPr>
          <w:rFonts w:ascii="Arial" w:hAnsi="Arial"/>
          <w:sz w:val="22"/>
        </w:rPr>
        <w:t xml:space="preserve"> Using my phone. Yeah, so maybe at the start we can reintroduce what the project is about. The first question we have is actually, what is the kitting problem and how much is it costing TE Connectivity? Maybe a short introduction on what the problem is from your perspective and the impact of these problems on the company as a whole.</w:t>
      </w:r>
    </w:p>
    <w:p>
      <w:pPr>
        <w:spacing w:after="120"/>
      </w:pPr>
      <w:r>
        <w:rPr>
          <w:rFonts w:ascii="Arial" w:hAnsi="Arial"/>
          <w:b/>
          <w:sz w:val="22"/>
        </w:rPr>
        <w:t>Daryl:</w:t>
      </w:r>
      <w:r>
        <w:rPr>
          <w:rFonts w:ascii="Arial" w:hAnsi="Arial"/>
          <w:sz w:val="22"/>
        </w:rPr>
        <w:t xml:space="preserve"> So for us, this issue has been brought up a few times by different plants, specifically kitting and packaging-related plants that face multiple issues of customer complaints due to mispackaged items. The errors range from missing items from the package to wrong items being packed. This leads to prominent complaints from customers that multiple different plants have actually faced, and even across multiple business units. That's where we feel that there needs to be a solution to ensure we solve this issue.</w:t>
      </w:r>
    </w:p>
    <w:p>
      <w:pPr>
        <w:spacing w:after="120"/>
      </w:pPr>
      <w:r>
        <w:rPr>
          <w:rFonts w:ascii="Arial" w:hAnsi="Arial"/>
          <w:b/>
          <w:sz w:val="22"/>
        </w:rPr>
        <w:t>Us:</w:t>
      </w:r>
      <w:r>
        <w:rPr>
          <w:rFonts w:ascii="Arial" w:hAnsi="Arial"/>
          <w:sz w:val="22"/>
        </w:rPr>
        <w:t xml:space="preserve"> Thank you. Moving on to another general question, now that you've seen the system at this more or less final stage of the prototyping process, what is your overall impression of the system in general?</w:t>
      </w:r>
    </w:p>
    <w:p>
      <w:pPr>
        <w:spacing w:after="120"/>
      </w:pPr>
      <w:r>
        <w:rPr>
          <w:rFonts w:ascii="Arial" w:hAnsi="Arial"/>
          <w:b/>
          <w:sz w:val="22"/>
        </w:rPr>
        <w:t>Daryl:</w:t>
      </w:r>
      <w:r>
        <w:rPr>
          <w:rFonts w:ascii="Arial" w:hAnsi="Arial"/>
          <w:sz w:val="22"/>
        </w:rPr>
        <w:t xml:space="preserve"> I'd say I'm actually quite impressed with the whole system. In terms of the entire hardware build as well as the software and all the thinking that went behind it—considering the different logical flows, process flows, UI, ergonomics, and all the various error cases—it's really well thought out.</w:t>
      </w:r>
    </w:p>
    <w:p>
      <w:pPr>
        <w:spacing w:after="120"/>
      </w:pPr>
      <w:r>
        <w:rPr>
          <w:rFonts w:ascii="Arial" w:hAnsi="Arial"/>
          <w:b/>
          <w:sz w:val="22"/>
        </w:rPr>
        <w:t>Us:</w:t>
      </w:r>
      <w:r>
        <w:rPr>
          <w:rFonts w:ascii="Arial" w:hAnsi="Arial"/>
          <w:sz w:val="22"/>
        </w:rPr>
        <w:t xml:space="preserve"> Thank you. Compared to the current measures implemented, like the manual checklist or the weighing at the end of the kitting process you mentioned, how does our system actually solve the gaps that those measures don't address? Maybe you could use one of the examples you mentioned.</w:t>
      </w:r>
    </w:p>
    <w:p>
      <w:pPr>
        <w:spacing w:after="120"/>
      </w:pPr>
      <w:r>
        <w:rPr>
          <w:rFonts w:ascii="Arial" w:hAnsi="Arial"/>
          <w:b/>
          <w:sz w:val="22"/>
        </w:rPr>
        <w:t>Daryl:</w:t>
      </w:r>
      <w:r>
        <w:rPr>
          <w:rFonts w:ascii="Arial" w:hAnsi="Arial"/>
          <w:sz w:val="22"/>
        </w:rPr>
        <w:t xml:space="preserve"> So currently, the kitting station employs a final weighing station once all the items are packed. But in those cases, once you measure and find a discrepancy, multiple items have typically already been packed inside. Identifying exactly which wrong piece or item was packed is very time-consuming. That's where we see a lot of inefficiency, and it costs us labor time. With this kind of poka-yoke design, the operators will know exactly when an error happens so they can catch it on the spot. This will drastically reduce that troubleshooting time. I think this is the most impactful part of the solution.</w:t>
      </w:r>
    </w:p>
    <w:p>
      <w:pPr>
        <w:spacing w:after="120"/>
      </w:pPr>
      <w:r>
        <w:rPr>
          <w:rFonts w:ascii="Arial" w:hAnsi="Arial"/>
          <w:b/>
          <w:sz w:val="22"/>
        </w:rPr>
        <w:t>Us:</w:t>
      </w:r>
      <w:r>
        <w:rPr>
          <w:rFonts w:ascii="Arial" w:hAnsi="Arial"/>
          <w:sz w:val="22"/>
        </w:rPr>
        <w:t xml:space="preserve"> Thank you. Leading on from that, is there any feature of our system that you didn't expect, or something we didn't heavily mention during presentations, that you thought was very useful?</w:t>
      </w:r>
    </w:p>
    <w:p>
      <w:pPr>
        <w:spacing w:after="120"/>
      </w:pPr>
      <w:r>
        <w:rPr>
          <w:rFonts w:ascii="Arial" w:hAnsi="Arial"/>
          <w:b/>
          <w:sz w:val="22"/>
        </w:rPr>
        <w:t>Daryl:</w:t>
      </w:r>
      <w:r>
        <w:rPr>
          <w:rFonts w:ascii="Arial" w:hAnsi="Arial"/>
          <w:sz w:val="22"/>
        </w:rPr>
        <w:t xml:space="preserve"> I would say it's the thought process behind the tiered bin system and ensuring it works well with both the camera system and the weight system. For example, you mentioned how even just showing 20% or 30% of the box still ensures all the bounding boxes work. I think these small features are actually quite important to the eventual full design. Also, the lighting tests, the error case handling, the warnings, and the UI indicators that provide guidance for operators—especially new operators. That's a feature I hadn't thought about before, but it will be very useful to a group of people within the plant.</w:t>
      </w:r>
    </w:p>
    <w:p>
      <w:pPr>
        <w:spacing w:after="120"/>
      </w:pPr>
      <w:r>
        <w:rPr>
          <w:rFonts w:ascii="Arial" w:hAnsi="Arial"/>
          <w:b/>
          <w:sz w:val="22"/>
        </w:rPr>
        <w:t>Us:</w:t>
      </w:r>
      <w:r>
        <w:rPr>
          <w:rFonts w:ascii="Arial" w:hAnsi="Arial"/>
          <w:sz w:val="22"/>
        </w:rPr>
        <w:t xml:space="preserve"> Okay, then maybe we'll move on to the limitations or any room for improvement. Is there any aspect of our project that you are skeptical about or have points of criticism on?</w:t>
      </w:r>
    </w:p>
    <w:p>
      <w:pPr>
        <w:spacing w:after="120"/>
      </w:pPr>
      <w:r>
        <w:rPr>
          <w:rFonts w:ascii="Arial" w:hAnsi="Arial"/>
          <w:b/>
          <w:sz w:val="22"/>
        </w:rPr>
        <w:t>Daryl:</w:t>
      </w:r>
      <w:r>
        <w:rPr>
          <w:rFonts w:ascii="Arial" w:hAnsi="Arial"/>
          <w:sz w:val="22"/>
        </w:rPr>
        <w:t xml:space="preserve"> I wouldn't say this is something I observed right now, but rather a potential issue. As highlighted earlier, very light items—under one gram, for example. In terms of how stable this current system is for those, I can't say for certain. My concern is that because it is so light, any debris or stray components falling into the bin might trigger false errors. This is one potential thing to take care of.</w:t>
      </w:r>
    </w:p>
    <w:p>
      <w:pPr>
        <w:spacing w:after="120"/>
      </w:pPr>
      <w:r>
        <w:rPr>
          <w:rFonts w:ascii="Arial" w:hAnsi="Arial"/>
          <w:b/>
          <w:sz w:val="22"/>
        </w:rPr>
        <w:t>Us:</w:t>
      </w:r>
      <w:r>
        <w:rPr>
          <w:rFonts w:ascii="Arial" w:hAnsi="Arial"/>
          <w:sz w:val="22"/>
        </w:rPr>
        <w:t xml:space="preserve"> We discussed this with supervisors, and they talked about bottlenecks in the line. A professor suggested that in the industry, people often branch these tedious processes out of the main line and conduct them separately before rejoining the line. If you want to branch it out for lighter objects, our system has the potential to handle it by using high-resolution, light load receptors (like 500g or 1kg cells instead of 5kg and 10kg). Then you do a separate kitting station for that, and the kits join back in.</w:t>
      </w:r>
    </w:p>
    <w:p>
      <w:pPr>
        <w:spacing w:after="120"/>
      </w:pPr>
      <w:r>
        <w:rPr>
          <w:rFonts w:ascii="Arial" w:hAnsi="Arial"/>
          <w:b/>
          <w:sz w:val="22"/>
        </w:rPr>
        <w:t>Daryl:</w:t>
      </w:r>
      <w:r>
        <w:rPr>
          <w:rFonts w:ascii="Arial" w:hAnsi="Arial"/>
          <w:sz w:val="22"/>
        </w:rPr>
        <w:t xml:space="preserve"> Yes, I think that makes sense. Also, regarding the high-mix, low-volume aspect, I don't know the entire range of bin configurations each plant has. Some bills of materials (BOMs) might just have a few items, while others have large quantities. If we set up these stations, we need to decide how many weight sensors of what configurations and sizes are needed. There will definitely still be some items that don't get a dedicated weighing scale, which is where the vision system comes in. As a proof of concept, I think this works very well already.</w:t>
      </w:r>
    </w:p>
    <w:p>
      <w:pPr>
        <w:spacing w:after="120"/>
      </w:pPr>
      <w:r>
        <w:rPr>
          <w:rFonts w:ascii="Arial" w:hAnsi="Arial"/>
          <w:b/>
          <w:sz w:val="22"/>
        </w:rPr>
        <w:t>Us:</w:t>
      </w:r>
      <w:r>
        <w:rPr>
          <w:rFonts w:ascii="Arial" w:hAnsi="Arial"/>
          <w:sz w:val="22"/>
        </w:rPr>
        <w:t xml:space="preserve"> We did a lot of limit testing. All the data for the load cells is primarily for the 1kg, 5kg, and 10kg platforms. Moving on to future-proofing: TE's product mix and skill mix are constantly changing. How well do you think our system can keep up with those changes? Is further rework required?</w:t>
      </w:r>
    </w:p>
    <w:p>
      <w:pPr>
        <w:spacing w:after="120"/>
      </w:pPr>
      <w:r>
        <w:rPr>
          <w:rFonts w:ascii="Arial" w:hAnsi="Arial"/>
          <w:b/>
          <w:sz w:val="22"/>
        </w:rPr>
        <w:t>Daryl:</w:t>
      </w:r>
      <w:r>
        <w:rPr>
          <w:rFonts w:ascii="Arial" w:hAnsi="Arial"/>
          <w:sz w:val="22"/>
        </w:rPr>
        <w:t xml:space="preserve"> For actual deployment, I know this is an MVP. Let's say for one station, a plant might require a different mix of scales. How can we make it easily configurable and modular such that if they buy one, they can just fix it right next to each other with a dedicated space? It needs to be easy to train on and easy to do changeovers in the future. Also, regarding the component database—currently, plants do not have a comprehensive database of all the unit weights of all their items. If there's one comprehensive database that can easily load all these unit weights and information for a setup, it will accelerate the deployment and utilization of this solution. The component weight registry sample you built helps this approach and is useful for the plant in the long run for future projects.</w:t>
      </w:r>
    </w:p>
    <w:p>
      <w:pPr>
        <w:spacing w:after="120"/>
      </w:pPr>
      <w:r>
        <w:rPr>
          <w:rFonts w:ascii="Arial" w:hAnsi="Arial"/>
          <w:b/>
          <w:sz w:val="22"/>
        </w:rPr>
        <w:t>Us:</w:t>
      </w:r>
      <w:r>
        <w:rPr>
          <w:rFonts w:ascii="Arial" w:hAnsi="Arial"/>
          <w:sz w:val="22"/>
        </w:rPr>
        <w:t xml:space="preserve"> You previously mentioned our system can be used beyond just kitting operations. Beyond kitting, do you see our system being useful anywhere else in TE's operations?</w:t>
      </w:r>
    </w:p>
    <w:p>
      <w:pPr>
        <w:spacing w:after="120"/>
      </w:pPr>
      <w:r>
        <w:rPr>
          <w:rFonts w:ascii="Arial" w:hAnsi="Arial"/>
          <w:b/>
          <w:sz w:val="22"/>
        </w:rPr>
        <w:t>Daryl:</w:t>
      </w:r>
      <w:r>
        <w:rPr>
          <w:rFonts w:ascii="Arial" w:hAnsi="Arial"/>
          <w:sz w:val="22"/>
        </w:rPr>
        <w:t xml:space="preserve"> Yes. We have multiple human-operated actions in the plant, and kitting is just one of them. Another big manual operation area is the assembly of parts. The logic utilized might be a little different, but there are overlaps. When they want to assemble a certain part, they take components from different boxes. For example, let's say I need to screw plates together and I need to screw five different areas. I can track that five screws were taken out, and with a weighing scale underneath, I can tell there's a weight difference. I see overlaps that can be adjusted to tackle assembly operations in TE as well. Where I see a gap in the industry is tracking the act of doing something—the process itself. Breaking it down step by step and alerting the operator before they actually make a mistake is very useful to explore.</w:t>
      </w:r>
    </w:p>
    <w:p>
      <w:pPr>
        <w:spacing w:after="120"/>
      </w:pPr>
      <w:r>
        <w:rPr>
          <w:rFonts w:ascii="Arial" w:hAnsi="Arial"/>
          <w:b/>
          <w:sz w:val="22"/>
        </w:rPr>
        <w:t>Us:</w:t>
      </w:r>
      <w:r>
        <w:rPr>
          <w:rFonts w:ascii="Arial" w:hAnsi="Arial"/>
          <w:sz w:val="22"/>
        </w:rPr>
        <w:t xml:space="preserve"> Moving on to deployment readiness. Our system can run on a live line, but there's an initialization process needed: images have to be taken of the bins, annotated, and the model trained. We also need the database of component metadata uploaded, and a way to assign which component is in which bin position. Does TE have any existing systems that could support these initialization steps?</w:t>
      </w:r>
    </w:p>
    <w:p>
      <w:pPr>
        <w:spacing w:after="120"/>
      </w:pPr>
      <w:r>
        <w:rPr>
          <w:rFonts w:ascii="Arial" w:hAnsi="Arial"/>
          <w:b/>
          <w:sz w:val="22"/>
        </w:rPr>
        <w:t>Daryl:</w:t>
      </w:r>
      <w:r>
        <w:rPr>
          <w:rFonts w:ascii="Arial" w:hAnsi="Arial"/>
          <w:sz w:val="22"/>
        </w:rPr>
        <w:t xml:space="preserve"> Short answer, no. I guess the closest thing would be a logic system that autonomously decides bin assignment—like prioritizing light items to the 1kg sensors. If you come up with a decent logic for assignment, the human can just do a final check and approval.</w:t>
      </w:r>
    </w:p>
    <w:p>
      <w:pPr>
        <w:spacing w:after="120"/>
      </w:pPr>
      <w:r>
        <w:rPr>
          <w:rFonts w:ascii="Arial" w:hAnsi="Arial"/>
          <w:b/>
          <w:sz w:val="22"/>
        </w:rPr>
        <w:t>Us:</w:t>
      </w:r>
      <w:r>
        <w:rPr>
          <w:rFonts w:ascii="Arial" w:hAnsi="Arial"/>
          <w:sz w:val="22"/>
        </w:rPr>
        <w:t xml:space="preserve"> Our system currently gives the operator a lot of freedom to pick from any bin. The professor suggested passing this onto a process engineer to optimize the picking sequence, pushing it onto the UI for the operator to follow.</w:t>
      </w:r>
    </w:p>
    <w:p>
      <w:pPr>
        <w:spacing w:after="120"/>
      </w:pPr>
      <w:r>
        <w:rPr>
          <w:rFonts w:ascii="Arial" w:hAnsi="Arial"/>
          <w:b/>
          <w:sz w:val="22"/>
        </w:rPr>
        <w:t>Daryl:</w:t>
      </w:r>
      <w:r>
        <w:rPr>
          <w:rFonts w:ascii="Arial" w:hAnsi="Arial"/>
          <w:sz w:val="22"/>
        </w:rPr>
        <w:t xml:space="preserve"> That's a good point to consider. It could help with speed, ergonomics (like left-hand vs. right-hand preferences), or organizing heavy items below lighter items. There's potential to actually reduce cycle time, not just avoid increasing it.</w:t>
      </w:r>
    </w:p>
    <w:p>
      <w:pPr>
        <w:spacing w:after="120"/>
      </w:pPr>
      <w:r>
        <w:rPr>
          <w:rFonts w:ascii="Arial" w:hAnsi="Arial"/>
          <w:b/>
          <w:sz w:val="22"/>
        </w:rPr>
        <w:t>Us:</w:t>
      </w:r>
      <w:r>
        <w:rPr>
          <w:rFonts w:ascii="Arial" w:hAnsi="Arial"/>
          <w:sz w:val="22"/>
        </w:rPr>
        <w:t xml:space="preserve"> Practically speaking, how close do you think this system is to something you could pilot in a real line? What are the missing elements before deployment?</w:t>
      </w:r>
    </w:p>
    <w:p>
      <w:pPr>
        <w:spacing w:after="120"/>
      </w:pPr>
      <w:r>
        <w:rPr>
          <w:rFonts w:ascii="Arial" w:hAnsi="Arial"/>
          <w:b/>
          <w:sz w:val="22"/>
        </w:rPr>
        <w:t>Daryl:</w:t>
      </w:r>
      <w:r>
        <w:rPr>
          <w:rFonts w:ascii="Arial" w:hAnsi="Arial"/>
          <w:sz w:val="22"/>
        </w:rPr>
        <w:t xml:space="preserve"> It depends on how easily users can configure the solution for themselves without needing to code. When they need to change the recipe, they must be able to change it with ease. In terms of the full application hardware and data testing, I would say it's about 80% done. The rest is just augmentations to ease human factors.</w:t>
      </w:r>
    </w:p>
    <w:p>
      <w:pPr>
        <w:spacing w:after="120"/>
      </w:pPr>
      <w:r>
        <w:rPr>
          <w:rFonts w:ascii="Arial" w:hAnsi="Arial"/>
          <w:b/>
          <w:sz w:val="22"/>
        </w:rPr>
        <w:t>Us:</w:t>
      </w:r>
      <w:r>
        <w:rPr>
          <w:rFonts w:ascii="Arial" w:hAnsi="Arial"/>
          <w:sz w:val="22"/>
        </w:rPr>
        <w:t xml:space="preserve"> Any closing remarks or advice for our team as we complete this project?</w:t>
      </w:r>
    </w:p>
    <w:p>
      <w:pPr>
        <w:spacing w:after="120"/>
      </w:pPr>
      <w:r>
        <w:rPr>
          <w:rFonts w:ascii="Arial" w:hAnsi="Arial"/>
          <w:b/>
          <w:sz w:val="22"/>
        </w:rPr>
        <w:t>Daryl:</w:t>
      </w:r>
      <w:r>
        <w:rPr>
          <w:rFonts w:ascii="Arial" w:hAnsi="Arial"/>
          <w:sz w:val="22"/>
        </w:rPr>
        <w:t xml:space="preserve"> I'm quite impressed with how you tested different edge cases and the questions you asked, even though you didn't have the opportunity to go on-site. You had the perspective to consider these things, which contributed to the success of the setup. If you hadn't considered them, a lot of edge cases might not have passed. You tested different lighting with a lux meter and checked stability, making the system very comprehensive. That's why I gave it a high score for deployment readiness. The best learning point moving forward would be to visit the plant to see real-life operations. That's how you truly understand the human aspect and come up with even better solutions.</w:t>
      </w:r>
    </w:p>
    <w:p>
      <w:pPr>
        <w:spacing w:after="120"/>
      </w:pPr>
      <w:r>
        <w:rPr>
          <w:rFonts w:ascii="Arial" w:hAnsi="Arial"/>
          <w:b/>
          <w:sz w:val="22"/>
        </w:rPr>
        <w:t>Us:</w:t>
      </w:r>
      <w:r>
        <w:rPr>
          <w:rFonts w:ascii="Arial" w:hAnsi="Arial"/>
          <w:sz w:val="22"/>
        </w:rPr>
        <w:t xml:space="preserve"> Thank you so much. Regarding deliverables, what would you like us to send you?</w:t>
      </w:r>
    </w:p>
    <w:p>
      <w:pPr>
        <w:spacing w:after="120"/>
      </w:pPr>
      <w:r>
        <w:rPr>
          <w:rFonts w:ascii="Arial" w:hAnsi="Arial"/>
          <w:b/>
          <w:sz w:val="22"/>
        </w:rPr>
        <w:t>Daryl:</w:t>
      </w:r>
      <w:r>
        <w:rPr>
          <w:rFonts w:ascii="Arial" w:hAnsi="Arial"/>
          <w:sz w:val="22"/>
        </w:rPr>
        <w:t xml:space="preserve"> For my team, a video of the whole setup is priority number one. Taking the operations from top-down, what the system sees, integrating the UI, camera, and the operator working on it—a split screen would be very useful. The code is also very important. I want to see how we can implement it in our plant and learn from your analysis. </w:t>
      </w:r>
    </w:p>
    <w:p>
      <w:pPr>
        <w:spacing w:after="120"/>
      </w:pPr>
      <w:r>
        <w:rPr>
          <w:rFonts w:ascii="Arial" w:hAnsi="Arial"/>
          <w:b/>
          <w:sz w:val="22"/>
        </w:rPr>
        <w:t>Us:</w:t>
      </w:r>
      <w:r>
        <w:rPr>
          <w:rFonts w:ascii="Arial" w:hAnsi="Arial"/>
          <w:sz w:val="22"/>
        </w:rPr>
        <w:t xml:space="preserve"> We have a second setup with the same PC. Is there anything you'd want us to try out?</w:t>
      </w:r>
    </w:p>
    <w:p>
      <w:pPr>
        <w:spacing w:after="120"/>
      </w:pPr>
      <w:r>
        <w:rPr>
          <w:rFonts w:ascii="Arial" w:hAnsi="Arial"/>
          <w:b/>
          <w:sz w:val="22"/>
        </w:rPr>
        <w:t>Daryl:</w:t>
      </w:r>
      <w:r>
        <w:rPr>
          <w:rFonts w:ascii="Arial" w:hAnsi="Arial"/>
          <w:sz w:val="22"/>
        </w:rPr>
        <w:t xml:space="preserve"> Actually, maybe a counter for each part, because it's a big workload. This is something the industry has always wanted. I think your system is very close to what we need. There are solutions in the market using pure vision systems, but they struggle with configuration and high-mix, low-volume setups. Your system has a distinct advantage there.</w:t>
      </w:r>
    </w:p>
    <w:p>
      <w:pPr>
        <w:spacing w:after="120"/>
      </w:pPr>
      <w:r>
        <w:rPr>
          <w:rFonts w:ascii="Arial" w:hAnsi="Arial"/>
          <w:b/>
          <w:sz w:val="22"/>
        </w:rPr>
        <w:t>Us:</w:t>
      </w:r>
      <w:r>
        <w:rPr>
          <w:rFonts w:ascii="Arial" w:hAnsi="Arial"/>
          <w:sz w:val="22"/>
        </w:rPr>
        <w:t xml:space="preserve"> Our system can fully replace the weighing scale. It uses three load cells instead of one for stability. Thank you so much for your feedback and advice!</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ia Wei" w:id="15" w:date="2026-07-21T14:46:08Z">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google docs findings and observations to substantiate</w:t>
      </w:r>
    </w:p>
  </w:comment>
  <w:comment w:author="Jia Wei" w:id="16" w:date="2026-07-21T14:51:17Z">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fill in 2.2.2, and link this part to chapter 2 similar to how the load cell part below does it</w:t>
      </w:r>
    </w:p>
  </w:comment>
  <w:comment w:author="Jia Wei" w:id="30" w:date="2026-07-21T13:32:02Z">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@awshuojie@gmail.com  can check if u wanna include this part</w:t>
      </w:r>
    </w:p>
  </w:comment>
  <w:comment w:author="Shuo Jie Aw" w:id="17" w:date="2026-07-21T14:46:46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line can substantiate with the screenshots of the 2 in use</w:t>
      </w:r>
    </w:p>
  </w:comment>
  <w:comment w:author="Kailer811" w:id="0" w:date="2026-07-21T14:09:50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of has and dont haves for curr solutiobn</w:t>
      </w:r>
    </w:p>
  </w:comment>
  <w:comment w:author="Kailer811" w:id="8" w:date="2026-07-21T14:30:17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sop has been changed to work on one bin at a time</w:t>
      </w:r>
    </w:p>
  </w:comment>
  <w:comment w:author="Shuo Jie Aw" w:id="18" w:date="2026-07-21T14:47:31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cite standard</w:t>
      </w:r>
    </w:p>
  </w:comment>
  <w:comment w:author="chen xian" w:id="2" w:date="2026-07-19T11:41:21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 to functional requirements</w:t>
      </w:r>
    </w:p>
  </w:comment>
  <w:comment w:author="Shuo Jie Aw" w:id="19" w:date="2026-07-21T14:48:44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 of the landmarks</w:t>
      </w:r>
    </w:p>
  </w:comment>
  <w:comment w:author="chen xian" w:id="28" w:date="2026-07-21T16:18:09Z">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grid system</w:t>
      </w:r>
    </w:p>
  </w:comment>
  <w:comment w:author="Kailer811" w:id="7" w:date="2026-07-21T14:31:38Z">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 decision of scope</w:t>
      </w:r>
    </w:p>
  </w:comment>
  <w:comment w:author="Kailer811" w:id="3" w:date="2026-07-21T12:47:31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insert stakeholder diagram</w:t>
      </w:r>
    </w:p>
  </w:comment>
  <w:comment w:author="Shuo Jie Aw" w:id="20" w:date="2026-07-21T14:50:42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screenshots of edge cases:</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2 hands in 1 bin</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2 hands in 2 bins</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1 hand in 1 bin</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1 hand in 2 bins</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diff landmarks in boundaries</w:t>
      </w:r>
    </w:p>
  </w:comment>
  <w:comment w:author="Kailer811" w:id="11" w:date="2026-07-21T14:36:07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clean this up</w:t>
      </w:r>
    </w:p>
  </w:comment>
  <w:comment w:author="Kailer811" w:id="22" w:date="2026-07-21T14:51:16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the pictures for these</w:t>
      </w:r>
    </w:p>
  </w:comment>
  <w:comment w:author="Kailer811" w:id="23" w:date="2026-07-21T15:10:53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talkabout stability of bins and do not care about accuracy of it</w:t>
      </w:r>
    </w:p>
  </w:comment>
  <w:comment w:author="Kailer811" w:id="24" w:date="2026-07-21T14:51:16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the pictures for these</w:t>
      </w:r>
    </w:p>
  </w:comment>
  <w:comment w:author="Kailer811" w:id="25" w:date="2026-07-21T15:10:53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talkabout stability of bins and do not care about accuracy of it</w:t>
      </w:r>
    </w:p>
  </w:comment>
  <w:comment w:author="Kailer811" w:id="14" w:date="2026-07-21T14:39:26Z">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longer secured on, uses spray on rubber</w:t>
      </w:r>
    </w:p>
  </w:comment>
  <w:comment w:author="Kailer811" w:id="9" w:date="2026-07-21T14:33:52Z">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 of what aegis realises that the other solutions dont have</w:t>
      </w:r>
    </w:p>
  </w:comment>
  <w:comment w:author="Kailer811" w:id="4" w:date="2026-07-21T14:07:27Z">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necessary as just use ROI concept</w:t>
      </w:r>
    </w:p>
  </w:comment>
  <w:comment w:author="Kailer811" w:id="5" w:date="2026-07-21T14:29:08Z">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rephrase to solution be realised in x years before outdated</w:t>
      </w:r>
    </w:p>
  </w:comment>
  <w:comment w:author="Kailer811" w:id="6" w:date="2026-07-21T12:28:40Z">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correct no.</w:t>
      </w:r>
    </w:p>
  </w:comment>
  <w:comment w:author="Kailer811" w:id="1" w:date="2026-07-21T14:23:59Z">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phrase it as TE solutions or general industry</w:t>
      </w:r>
    </w:p>
  </w:comment>
  <w:comment w:author="Shuo Jie Aw" w:id="21" w:date="2026-07-21T14:51:19Z">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confirm the latest model, when we user test, 1 hand in 2 bins will just highlight both bins</w:t>
      </w:r>
    </w:p>
  </w:comment>
  <w:comment w:author="chen xian" w:id="13" w:date="2026-07-21T15:31:52Z">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limitations</w:t>
      </w:r>
    </w:p>
  </w:comment>
  <w:comment w:author="Kailer811" w:id="27" w:date="2026-07-21T14:55:03Z">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not implement in the end</w:t>
      </w:r>
    </w:p>
  </w:comment>
  <w:comment w:author="chen xian" w:id="26" w:date="2026-07-21T15:40:30Z">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for ui</w:t>
      </w:r>
    </w:p>
  </w:comment>
  <w:comment w:author="Jia Wei" w:id="12" w:date="2026-07-21T15:49:14Z">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chapter 1</w:t>
      </w:r>
    </w:p>
  </w:comment>
  <w:comment w:author="Kailer811" w:id="10" w:date="2026-07-21T15:54:03Z">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row on warning err level selection</w:t>
      </w:r>
    </w:p>
  </w:comment>
  <w:comment w:author="Jia Wei" w:id="29" w:date="2026-07-21T15:08:53Z">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 to system architecture in chapter 2</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rFonts w:ascii="Arial" w:hAnsi="Arial"/>
      <w:b/>
      <w:bCs w:val="1"/>
      <w:color w:val="000000"/>
      <w:sz w:val="32"/>
      <w:szCs w:val="32"/>
    </w:rPr>
  </w:style>
  <w:style w:type="paragraph" w:styleId="Heading2">
    <w:name w:val="heading 2"/>
    <w:basedOn w:val="Normal"/>
    <w:next w:val="Normal"/>
    <w:pPr>
      <w:keepNext w:val="1"/>
      <w:keepLines w:val="1"/>
      <w:spacing w:after="120" w:before="360" w:lineRule="auto"/>
    </w:pPr>
    <w:rPr>
      <w:rFonts w:ascii="Arial" w:hAnsi="Arial"/>
      <w:b/>
      <w:bCs w:val="1"/>
      <w:color w:val="000000"/>
      <w:sz w:val="28"/>
      <w:szCs w:val="30"/>
    </w:rPr>
  </w:style>
  <w:style w:type="paragraph" w:styleId="Heading3">
    <w:name w:val="heading 3"/>
    <w:basedOn w:val="Normal"/>
    <w:next w:val="Normal"/>
    <w:pPr>
      <w:keepNext w:val="1"/>
      <w:keepLines w:val="1"/>
      <w:spacing w:after="80" w:before="320" w:lineRule="auto"/>
    </w:pPr>
    <w:rPr>
      <w:rFonts w:ascii="Arial" w:hAnsi="Arial"/>
      <w:b/>
      <w:bCs w:val="1"/>
      <w:color w:val="000000"/>
      <w:sz w:val="26"/>
      <w:szCs w:val="24"/>
    </w:rPr>
  </w:style>
  <w:style w:type="paragraph" w:styleId="Heading4">
    <w:name w:val="heading 4"/>
    <w:basedOn w:val="Normal"/>
    <w:next w:val="Normal"/>
    <w:pPr>
      <w:keepNext w:val="1"/>
      <w:keepLines w:val="1"/>
    </w:pPr>
    <w:rPr>
      <w:rFonts w:ascii="Arial" w:hAnsi="Arial"/>
      <w:b/>
      <w:color w:val="000000"/>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jp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jp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