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1F4E79"/>
        </w:rPr>
        <w:t>Chapter 4 | System Integration and Functional Testing</w:t>
      </w:r>
    </w:p>
    <w:p>
      <w:pPr>
        <w:spacing w:line="276" w:lineRule="auto" w:after="120"/>
      </w:pPr>
      <w:r>
        <w:rPr>
          <w:rFonts w:ascii="Calibri" w:hAnsi="Calibri"/>
          <w:sz w:val="22"/>
        </w:rPr>
        <w:t>This chapter documents the integration of the individually developed subsystems into a cohesive verification pipeline, followed by the functional testing conducted to validate each component under controlled laboratory conditions. The testing methodology separates subsystem-level characterisation from system-level user validation: the former is addressed in this chapter, while the latter is presented in Chapter 5.</w:t>
      </w:r>
    </w:p>
    <w:p>
      <w:pPr>
        <w:pStyle w:val="Heading2"/>
      </w:pPr>
      <w:r>
        <w:rPr>
          <w:rFonts w:ascii="Calibri" w:hAnsi="Calibri"/>
          <w:color w:val="2E75B6"/>
        </w:rPr>
        <w:t>4.1 System Integration Overview</w:t>
      </w:r>
    </w:p>
    <w:p>
      <w:pPr>
        <w:spacing w:line="276" w:lineRule="auto" w:after="120"/>
      </w:pPr>
      <w:r>
        <w:rPr>
          <w:rFonts w:ascii="Calibri" w:hAnsi="Calibri"/>
          <w:sz w:val="22"/>
        </w:rPr>
        <w:t>System integration is coordinated by a main pipeline orchestrator that manages the data flow between the computer vision, load cell, and HMI subsystems. During system startup, a two-snapshot calibration process establishes the spatial context for the session.</w:t>
      </w:r>
    </w:p>
    <w:p>
      <w:pPr>
        <w:pStyle w:val="ListNumber"/>
      </w:pPr>
      <w:r>
        <w:rPr>
          <w:rFonts w:ascii="Calibri" w:hAnsi="Calibri"/>
          <w:sz w:val="22"/>
        </w:rPr>
        <w:t>Snapshot 1 (Grid Layout): Captures the workstation layout and identifies the nine bin slot positions through the grid calibrator module.</w:t>
      </w:r>
    </w:p>
    <w:p>
      <w:pPr>
        <w:pStyle w:val="ListNumber"/>
      </w:pPr>
      <w:r>
        <w:rPr>
          <w:rFonts w:ascii="Calibri" w:hAnsi="Calibri"/>
          <w:sz w:val="22"/>
        </w:rPr>
        <w:t>Snapshot 2 (Bin Presence): Registers which slots contain physical bins, initialising active geofence boundaries for the current order.</w:t>
      </w:r>
    </w:p>
    <w:p>
      <w:pPr>
        <w:spacing w:line="276" w:lineRule="auto" w:after="120"/>
      </w:pPr>
      <w:r>
        <w:rPr>
          <w:rFonts w:ascii="Calibri" w:hAnsi="Calibri"/>
          <w:sz w:val="22"/>
        </w:rPr>
        <w:t>Once boundaries are locked as polygons, the real-time processing loop executes continuously. Each iteration proceeds through the following sequence: the camera frame is captured; the hand tracker determines landmark positions for each detected hand; the bin assignment engine evaluates whether the tracked keypoint falls within any active geofence; and simultaneously, weight data streams from the ESP32 load cell array over USB serial. The placement tracker FSM then coordinates the vision-based hand-in-bin event with the gravimetric weight delta to determine whether a valid pick-and-place action has occurred.</w:t>
      </w:r>
    </w:p>
    <w:p>
      <w:pPr>
        <w:jc w:val="center"/>
      </w:pPr>
      <w:r>
        <w:rPr>
          <w:i/>
          <w:color w:val="595959"/>
          <w:sz w:val="20"/>
        </w:rPr>
        <w:t>[Figure 4.1: System integration data flow diagram showing the real-time processing loop from camera capture through bin assignment to FSM state update and HMI rendering]</w:t>
      </w:r>
    </w:p>
    <w:p>
      <w:pPr>
        <w:pStyle w:val="Heading2"/>
      </w:pPr>
      <w:r>
        <w:rPr>
          <w:rFonts w:ascii="Calibri" w:hAnsi="Calibri"/>
          <w:color w:val="2E75B6"/>
        </w:rPr>
        <w:t>4.2 Hardware Subsystem</w:t>
      </w:r>
    </w:p>
    <w:p>
      <w:pPr>
        <w:pStyle w:val="Heading3"/>
      </w:pPr>
      <w:r>
        <w:rPr>
          <w:rFonts w:ascii="Calibri" w:hAnsi="Calibri"/>
          <w:color w:val="2E75B6"/>
        </w:rPr>
        <w:t>4.2.1 Load Cell Platforms</w:t>
      </w:r>
    </w:p>
    <w:p>
      <w:pPr>
        <w:spacing w:line="276" w:lineRule="auto" w:after="120"/>
      </w:pPr>
      <w:r>
        <w:rPr>
          <w:rFonts w:ascii="Calibri" w:hAnsi="Calibri"/>
          <w:sz w:val="22"/>
        </w:rPr>
        <w:t>This section outlines how the final load cell platform design was developed through iterative evaluation, starting from the initial single-cell configuration described in Chapter 3.2.2.</w:t>
      </w:r>
    </w:p>
    <w:p>
      <w:pPr>
        <w:jc w:val="center"/>
      </w:pPr>
      <w:r>
        <w:rPr>
          <w:i/>
          <w:color w:val="595959"/>
          <w:sz w:val="20"/>
        </w:rPr>
        <w:t>[Figure 4.2: Load cell platform iterations — single cantilever design (left) and three-point summed triangle design (right)]</w:t>
      </w:r>
    </w:p>
    <w:p>
      <w:pPr>
        <w:pStyle w:val="Heading3"/>
      </w:pPr>
      <w:r>
        <w:rPr>
          <w:rFonts w:ascii="Calibri" w:hAnsi="Calibri"/>
          <w:color w:val="2E75B6"/>
        </w:rPr>
        <w:t>4.2.1.1 Evaluation of Initial Platform Design</w:t>
      </w:r>
    </w:p>
    <w:p>
      <w:pPr>
        <w:spacing w:line="276" w:lineRule="auto" w:after="120"/>
      </w:pPr>
      <w:r>
        <w:rPr>
          <w:rFonts w:ascii="Calibri" w:hAnsi="Calibri"/>
          <w:sz w:val="22"/>
        </w:rPr>
        <w:t>The initial platform comprised a single cantilever load cell mounted centrally beneath a flat acrylic resting plate. Bench evaluation revealed two critical failure modes that made this design unsuitable for medium and large bins.</w:t>
      </w:r>
    </w:p>
    <w:p>
      <w:r>
        <w:rPr>
          <w:b/>
          <w:color w:val="000000"/>
          <w:sz w:val="20"/>
        </w:rPr>
        <w:t>Table 17: Evaluation of Initial Single-Cell Platform Design</w:t>
      </w:r>
    </w:p>
    <w:tbl>
      <w:tblPr>
        <w:tblStyle w:val="TableGrid"/>
        <w:tblW w:type="auto" w:w="0"/>
        <w:jc w:val="center"/>
        <w:tblLook w:firstColumn="1" w:firstRow="1" w:lastColumn="0" w:lastRow="0" w:noHBand="0" w:noVBand="1" w:val="04A0"/>
      </w:tblPr>
      <w:tblGrid>
        <w:gridCol w:w="4680"/>
        <w:gridCol w:w="4680"/>
      </w:tblGrid>
      <w:tr>
        <w:trPr>
          <w:tblHeader/>
        </w:trPr>
        <w:tc>
          <w:tcPr>
            <w:tcW w:type="dxa" w:w="4680"/>
            <w:shd w:val="clear" w:color="auto" w:fill="1F4E79"/>
          </w:tcPr>
          <w:p>
            <w:r/>
            <w:r>
              <w:rPr>
                <w:rFonts w:ascii="Calibri" w:hAnsi="Calibri"/>
                <w:b/>
                <w:color w:val="FFFFFF"/>
                <w:sz w:val="18"/>
              </w:rPr>
              <w:t>Deficiency</w:t>
            </w:r>
          </w:p>
        </w:tc>
        <w:tc>
          <w:tcPr>
            <w:tcW w:type="dxa" w:w="4680"/>
            <w:shd w:val="clear" w:color="auto" w:fill="1F4E79"/>
          </w:tcPr>
          <w:p>
            <w:r/>
            <w:r>
              <w:rPr>
                <w:rFonts w:ascii="Calibri" w:hAnsi="Calibri"/>
                <w:b/>
                <w:color w:val="FFFFFF"/>
                <w:sz w:val="18"/>
              </w:rPr>
              <w:t>Observation</w:t>
            </w:r>
          </w:p>
        </w:tc>
      </w:tr>
      <w:tr>
        <w:tc>
          <w:tcPr>
            <w:tcW w:type="dxa" w:w="4680"/>
            <w:shd w:val="clear" w:color="auto" w:fill="F2F4F7"/>
          </w:tcPr>
          <w:p>
            <w:r/>
            <w:r>
              <w:rPr>
                <w:rFonts w:ascii="Calibri" w:hAnsi="Calibri"/>
                <w:sz w:val="18"/>
              </w:rPr>
              <w:t>Off-centre tipping</w:t>
            </w:r>
          </w:p>
        </w:tc>
        <w:tc>
          <w:tcPr>
            <w:tcW w:type="dxa" w:w="4680"/>
            <w:shd w:val="clear" w:color="auto" w:fill="F2F4F7"/>
          </w:tcPr>
          <w:p>
            <w:r/>
            <w:r>
              <w:rPr>
                <w:rFonts w:ascii="Calibri" w:hAnsi="Calibri"/>
                <w:sz w:val="18"/>
              </w:rPr>
              <w:t>When bin contents shifted away from the central axis, the platform tilted and contacted neighbouring frames, introducing binding friction.</w:t>
            </w:r>
          </w:p>
        </w:tc>
      </w:tr>
      <w:tr>
        <w:tc>
          <w:tcPr>
            <w:tcW w:type="dxa" w:w="4680"/>
            <w:shd w:val="clear" w:color="auto" w:fill="FFFFFF"/>
          </w:tcPr>
          <w:p>
            <w:r/>
            <w:r>
              <w:rPr>
                <w:rFonts w:ascii="Calibri" w:hAnsi="Calibri"/>
                <w:sz w:val="18"/>
              </w:rPr>
              <w:t>Measurement error under off-centre load</w:t>
            </w:r>
          </w:p>
        </w:tc>
        <w:tc>
          <w:tcPr>
            <w:tcW w:type="dxa" w:w="4680"/>
            <w:shd w:val="clear" w:color="auto" w:fill="FFFFFF"/>
          </w:tcPr>
          <w:p>
            <w:r/>
            <w:r>
              <w:rPr>
                <w:rFonts w:ascii="Calibri" w:hAnsi="Calibri"/>
                <w:sz w:val="18"/>
              </w:rPr>
              <w:t>Loading beyond the rated radial distance of the single cell produced zero-point shifts exceeding ±15 g, well beyond the resolution needed for piece counting.</w:t>
            </w:r>
          </w:p>
        </w:tc>
      </w:tr>
    </w:tbl>
    <w:p/>
    <w:p>
      <w:pPr>
        <w:spacing w:line="276" w:lineRule="auto" w:after="120"/>
      </w:pPr>
      <w:r>
        <w:rPr>
          <w:rFonts w:ascii="Calibri" w:hAnsi="Calibri"/>
          <w:sz w:val="22"/>
        </w:rPr>
        <w:t>As shown in Table 17, the single-cell configuration failed to provide the mechanical stability and measurement accuracy required for bins larger than the small (1 kg) size class. These findings drove the redesign described in Section 4.2.1.2.</w:t>
      </w:r>
    </w:p>
    <w:p>
      <w:pPr>
        <w:pStyle w:val="Heading3"/>
      </w:pPr>
      <w:r>
        <w:rPr>
          <w:rFonts w:ascii="Calibri" w:hAnsi="Calibri"/>
          <w:color w:val="2E75B6"/>
        </w:rPr>
        <w:t>4.2.1.2 Redesigned Platform (Three-Point Summed Configuration)</w:t>
      </w:r>
    </w:p>
    <w:p>
      <w:pPr>
        <w:spacing w:line="276" w:lineRule="auto" w:after="120"/>
      </w:pPr>
      <w:r>
        <w:rPr>
          <w:rFonts w:ascii="Calibri" w:hAnsi="Calibri"/>
          <w:sz w:val="22"/>
        </w:rPr>
        <w:t>To overcome tipping instability without enlarging individual cells, a three-point summed load cell triangle was adopted for all medium and large bin positions. Three sensors arranged in an equilateral triangle guarantee that the bin's centre of gravity always falls within the support plane, providing mechanical stability on uneven bench surfaces. A three-point contact is statically determined, eliminating the rocking associated with four-cell designs. The three bridges are wired in parallel into a single HX711 24-bit ADC, outputting one combined weight to the ESP32 microcontroller.</w:t>
      </w:r>
    </w:p>
    <w:p>
      <w:pPr>
        <w:spacing w:line="276" w:lineRule="auto" w:after="120"/>
      </w:pPr>
      <w:r>
        <w:rPr>
          <w:rFonts w:ascii="Calibri" w:hAnsi="Calibri"/>
          <w:sz w:val="22"/>
        </w:rPr>
        <w:t>Single 1 kg cantilever cells were retained for small bin positions, where component mass is low (&lt;1 kg) and the compact platform radius (100 mm) provides adequate stability.</w:t>
      </w:r>
    </w:p>
    <w:p>
      <w:pPr>
        <w:jc w:val="center"/>
      </w:pPr>
      <w:r>
        <w:rPr>
          <w:i/>
          <w:color w:val="595959"/>
          <w:sz w:val="20"/>
        </w:rPr>
        <w:t>[Figure 4.3: Final load cell platform configurations — (a) small bin: single 1 kg cell with circular acrylic plate; (b) medium/large bin: three-point summed triangle with HX711 summation wiring schematic]</w:t>
      </w:r>
    </w:p>
    <w:p>
      <w:pPr>
        <w:pStyle w:val="Heading3"/>
      </w:pPr>
      <w:r>
        <w:rPr>
          <w:rFonts w:ascii="Calibri" w:hAnsi="Calibri"/>
          <w:color w:val="2E75B6"/>
        </w:rPr>
        <w:t>4.2.1.3 Bench Metrology Qualification</w:t>
      </w:r>
    </w:p>
    <w:p>
      <w:pPr>
        <w:spacing w:line="276" w:lineRule="auto" w:after="120"/>
      </w:pPr>
      <w:r>
        <w:rPr>
          <w:rFonts w:ascii="Calibri" w:hAnsi="Calibri"/>
          <w:sz w:val="22"/>
        </w:rPr>
        <w:t>The metrological capability of each platform configuration was characterised on a dedicated test bench using a graded reference-mass kit (reference scale readability: 0.1 g). The test battery covered capability (zero-noise floor, minimum detectable mass, repeatability, hysteresis), stability (warm-up drift, creep), and integration (off-centre sensitivity, settling time).</w:t>
      </w:r>
    </w:p>
    <w:p>
      <w:r>
        <w:rPr>
          <w:b/>
          <w:color w:val="000000"/>
          <w:sz w:val="20"/>
        </w:rPr>
        <w:t>Table 18: Load Cell Capability Characterisation Results</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trPr>
        <w:tc>
          <w:tcPr>
            <w:tcW w:type="dxa" w:w="1872"/>
            <w:shd w:val="clear" w:color="auto" w:fill="1F4E79"/>
          </w:tcPr>
          <w:p>
            <w:r/>
            <w:r>
              <w:rPr>
                <w:rFonts w:ascii="Calibri" w:hAnsi="Calibri"/>
                <w:b/>
                <w:color w:val="FFFFFF"/>
                <w:sz w:val="18"/>
              </w:rPr>
              <w:t>Configuration</w:t>
            </w:r>
          </w:p>
        </w:tc>
        <w:tc>
          <w:tcPr>
            <w:tcW w:type="dxa" w:w="1872"/>
            <w:shd w:val="clear" w:color="auto" w:fill="1F4E79"/>
          </w:tcPr>
          <w:p>
            <w:r/>
            <w:r>
              <w:rPr>
                <w:rFonts w:ascii="Calibri" w:hAnsi="Calibri"/>
                <w:b/>
                <w:color w:val="FFFFFF"/>
                <w:sz w:val="18"/>
              </w:rPr>
              <w:t>Zero-Band σ (g)</w:t>
            </w:r>
          </w:p>
        </w:tc>
        <w:tc>
          <w:tcPr>
            <w:tcW w:type="dxa" w:w="1872"/>
            <w:shd w:val="clear" w:color="auto" w:fill="1F4E79"/>
          </w:tcPr>
          <w:p>
            <w:r/>
            <w:r>
              <w:rPr>
                <w:rFonts w:ascii="Calibri" w:hAnsi="Calibri"/>
                <w:b/>
                <w:color w:val="FFFFFF"/>
                <w:sz w:val="18"/>
              </w:rPr>
              <w:t>Min. Detectable Mass (g)</w:t>
            </w:r>
          </w:p>
        </w:tc>
        <w:tc>
          <w:tcPr>
            <w:tcW w:type="dxa" w:w="1872"/>
            <w:shd w:val="clear" w:color="auto" w:fill="1F4E79"/>
          </w:tcPr>
          <w:p>
            <w:r/>
            <w:r>
              <w:rPr>
                <w:rFonts w:ascii="Calibri" w:hAnsi="Calibri"/>
                <w:b/>
                <w:color w:val="FFFFFF"/>
                <w:sz w:val="18"/>
              </w:rPr>
              <w:t>Repeatability SD (g)</w:t>
            </w:r>
          </w:p>
        </w:tc>
        <w:tc>
          <w:tcPr>
            <w:tcW w:type="dxa" w:w="1872"/>
            <w:shd w:val="clear" w:color="auto" w:fill="1F4E79"/>
          </w:tcPr>
          <w:p>
            <w:r/>
            <w:r>
              <w:rPr>
                <w:rFonts w:ascii="Calibri" w:hAnsi="Calibri"/>
                <w:b/>
                <w:color w:val="FFFFFF"/>
                <w:sz w:val="18"/>
              </w:rPr>
              <w:t>Max Hysteresis (g)</w:t>
            </w:r>
          </w:p>
        </w:tc>
      </w:tr>
      <w:tr>
        <w:tc>
          <w:tcPr>
            <w:tcW w:type="dxa" w:w="1872"/>
            <w:shd w:val="clear" w:color="auto" w:fill="F2F4F7"/>
          </w:tcPr>
          <w:p>
            <w:r/>
            <w:r>
              <w:rPr>
                <w:rFonts w:ascii="Calibri" w:hAnsi="Calibri"/>
                <w:sz w:val="18"/>
              </w:rPr>
              <w:t>1 kg (1 cell)</w:t>
            </w:r>
          </w:p>
        </w:tc>
        <w:tc>
          <w:tcPr>
            <w:tcW w:type="dxa" w:w="1872"/>
            <w:shd w:val="clear" w:color="auto" w:fill="F2F4F7"/>
          </w:tcPr>
          <w:p>
            <w:r/>
            <w:r>
              <w:rPr>
                <w:rFonts w:ascii="Calibri" w:hAnsi="Calibri"/>
                <w:sz w:val="18"/>
              </w:rPr>
              <w:t>0.028</w:t>
            </w:r>
          </w:p>
        </w:tc>
        <w:tc>
          <w:tcPr>
            <w:tcW w:type="dxa" w:w="1872"/>
            <w:shd w:val="clear" w:color="auto" w:fill="F2F4F7"/>
          </w:tcPr>
          <w:p>
            <w:r/>
            <w:r>
              <w:rPr>
                <w:rFonts w:ascii="Calibri" w:hAnsi="Calibri"/>
                <w:sz w:val="18"/>
              </w:rPr>
              <w:t>~0.5</w:t>
            </w:r>
          </w:p>
        </w:tc>
        <w:tc>
          <w:tcPr>
            <w:tcW w:type="dxa" w:w="1872"/>
            <w:shd w:val="clear" w:color="auto" w:fill="F2F4F7"/>
          </w:tcPr>
          <w:p>
            <w:r/>
            <w:r>
              <w:rPr>
                <w:rFonts w:ascii="Calibri" w:hAnsi="Calibri"/>
                <w:sz w:val="18"/>
              </w:rPr>
              <w:t>0.009</w:t>
            </w:r>
          </w:p>
        </w:tc>
        <w:tc>
          <w:tcPr>
            <w:tcW w:type="dxa" w:w="1872"/>
            <w:shd w:val="clear" w:color="auto" w:fill="F2F4F7"/>
          </w:tcPr>
          <w:p>
            <w:r/>
            <w:r>
              <w:rPr>
                <w:rFonts w:ascii="Calibri" w:hAnsi="Calibri"/>
                <w:sz w:val="18"/>
              </w:rPr>
              <w:t>0.09</w:t>
            </w:r>
          </w:p>
        </w:tc>
      </w:tr>
      <w:tr>
        <w:tc>
          <w:tcPr>
            <w:tcW w:type="dxa" w:w="1872"/>
            <w:shd w:val="clear" w:color="auto" w:fill="FFFFFF"/>
          </w:tcPr>
          <w:p>
            <w:r/>
            <w:r>
              <w:rPr>
                <w:rFonts w:ascii="Calibri" w:hAnsi="Calibri"/>
                <w:sz w:val="18"/>
              </w:rPr>
              <w:t>5 kg (3 cells)</w:t>
            </w:r>
          </w:p>
        </w:tc>
        <w:tc>
          <w:tcPr>
            <w:tcW w:type="dxa" w:w="1872"/>
            <w:shd w:val="clear" w:color="auto" w:fill="FFFFFF"/>
          </w:tcPr>
          <w:p>
            <w:r/>
            <w:r>
              <w:rPr>
                <w:rFonts w:ascii="Calibri" w:hAnsi="Calibri"/>
                <w:sz w:val="18"/>
              </w:rPr>
              <w:t>0.223</w:t>
            </w:r>
          </w:p>
        </w:tc>
        <w:tc>
          <w:tcPr>
            <w:tcW w:type="dxa" w:w="1872"/>
            <w:shd w:val="clear" w:color="auto" w:fill="FFFFFF"/>
          </w:tcPr>
          <w:p>
            <w:r/>
            <w:r>
              <w:rPr>
                <w:rFonts w:ascii="Calibri" w:hAnsi="Calibri"/>
                <w:sz w:val="18"/>
              </w:rPr>
              <w:t>~2.3</w:t>
            </w:r>
          </w:p>
        </w:tc>
        <w:tc>
          <w:tcPr>
            <w:tcW w:type="dxa" w:w="1872"/>
            <w:shd w:val="clear" w:color="auto" w:fill="FFFFFF"/>
          </w:tcPr>
          <w:p>
            <w:r/>
            <w:r>
              <w:rPr>
                <w:rFonts w:ascii="Calibri" w:hAnsi="Calibri"/>
                <w:sz w:val="18"/>
              </w:rPr>
              <w:t>1.060</w:t>
            </w:r>
          </w:p>
        </w:tc>
        <w:tc>
          <w:tcPr>
            <w:tcW w:type="dxa" w:w="1872"/>
            <w:shd w:val="clear" w:color="auto" w:fill="FFFFFF"/>
          </w:tcPr>
          <w:p>
            <w:r/>
            <w:r>
              <w:rPr>
                <w:rFonts w:ascii="Calibri" w:hAnsi="Calibri"/>
                <w:sz w:val="18"/>
              </w:rPr>
              <w:t>5.44</w:t>
            </w:r>
          </w:p>
        </w:tc>
      </w:tr>
      <w:tr>
        <w:tc>
          <w:tcPr>
            <w:tcW w:type="dxa" w:w="1872"/>
            <w:shd w:val="clear" w:color="auto" w:fill="F2F4F7"/>
          </w:tcPr>
          <w:p>
            <w:r/>
            <w:r>
              <w:rPr>
                <w:rFonts w:ascii="Calibri" w:hAnsi="Calibri"/>
                <w:sz w:val="18"/>
              </w:rPr>
              <w:t>10 kg (3 cells)</w:t>
            </w:r>
          </w:p>
        </w:tc>
        <w:tc>
          <w:tcPr>
            <w:tcW w:type="dxa" w:w="1872"/>
            <w:shd w:val="clear" w:color="auto" w:fill="F2F4F7"/>
          </w:tcPr>
          <w:p>
            <w:r/>
            <w:r>
              <w:rPr>
                <w:rFonts w:ascii="Calibri" w:hAnsi="Calibri"/>
                <w:sz w:val="18"/>
              </w:rPr>
              <w:t>0.433</w:t>
            </w:r>
          </w:p>
        </w:tc>
        <w:tc>
          <w:tcPr>
            <w:tcW w:type="dxa" w:w="1872"/>
            <w:shd w:val="clear" w:color="auto" w:fill="F2F4F7"/>
          </w:tcPr>
          <w:p>
            <w:r/>
            <w:r>
              <w:rPr>
                <w:rFonts w:ascii="Calibri" w:hAnsi="Calibri"/>
                <w:sz w:val="18"/>
              </w:rPr>
              <w:t>~4.3</w:t>
            </w:r>
          </w:p>
        </w:tc>
        <w:tc>
          <w:tcPr>
            <w:tcW w:type="dxa" w:w="1872"/>
            <w:shd w:val="clear" w:color="auto" w:fill="F2F4F7"/>
          </w:tcPr>
          <w:p>
            <w:r/>
            <w:r>
              <w:rPr>
                <w:rFonts w:ascii="Calibri" w:hAnsi="Calibri"/>
                <w:sz w:val="18"/>
              </w:rPr>
              <w:t>2.850</w:t>
            </w:r>
          </w:p>
        </w:tc>
        <w:tc>
          <w:tcPr>
            <w:tcW w:type="dxa" w:w="1872"/>
            <w:shd w:val="clear" w:color="auto" w:fill="F2F4F7"/>
          </w:tcPr>
          <w:p>
            <w:r/>
            <w:r>
              <w:rPr>
                <w:rFonts w:ascii="Calibri" w:hAnsi="Calibri"/>
                <w:sz w:val="18"/>
              </w:rPr>
              <w:t>16.99</w:t>
            </w:r>
          </w:p>
        </w:tc>
      </w:tr>
    </w:tbl>
    <w:p/>
    <w:p>
      <w:pPr>
        <w:spacing w:line="276" w:lineRule="auto" w:after="120"/>
      </w:pPr>
      <w:r>
        <w:rPr>
          <w:rFonts w:ascii="Calibri" w:hAnsi="Calibri"/>
          <w:sz w:val="22"/>
        </w:rPr>
        <w:t>Off-centre placement sensitivity proved to be the decisive finding for the summed platforms. Moving a 2 500 g reference mass from the calibrated centroid to directly over an individual cell on the 5 kg platform shifted the reading by −38.6 g to +64.0 g. On the 10 kg platform, a 5 000 g mass produced deviations of −65.8 g to +105.0 g. These results quantify the light-item boundary: components weighing less than approximately 3.5 g cannot be reliably counted on the multi-cell platforms and must be routed to the 1 kg single-cell platform (σ = 0.028 g).</w:t>
      </w:r>
    </w:p>
    <w:p>
      <w:pPr>
        <w:jc w:val="center"/>
      </w:pPr>
      <w:r>
        <w:rPr>
          <w:i/>
          <w:color w:val="595959"/>
          <w:sz w:val="20"/>
        </w:rPr>
        <w:t>[Figure 4.4: Off-centre radial deviation curves for 5 kg and 10 kg summed platforms, showing reading shift as a function of mass position relative to centroid]</w:t>
      </w:r>
    </w:p>
    <w:p>
      <w:pPr>
        <w:pStyle w:val="Heading2"/>
      </w:pPr>
      <w:r>
        <w:rPr>
          <w:rFonts w:ascii="Calibri" w:hAnsi="Calibri"/>
          <w:color w:val="2E75B6"/>
        </w:rPr>
        <w:t>4.3 Computer Vision Subsystem</w:t>
      </w:r>
    </w:p>
    <w:p>
      <w:pPr>
        <w:pStyle w:val="Heading3"/>
      </w:pPr>
      <w:r>
        <w:rPr>
          <w:rFonts w:ascii="Calibri" w:hAnsi="Calibri"/>
          <w:color w:val="2E75B6"/>
        </w:rPr>
        <w:t>4.3.1 Bin Boundary Detection (YOLOv8-OBB)</w:t>
      </w:r>
    </w:p>
    <w:p>
      <w:pPr>
        <w:spacing w:line="276" w:lineRule="auto" w:after="120"/>
      </w:pPr>
      <w:r>
        <w:rPr>
          <w:rFonts w:ascii="Calibri" w:hAnsi="Calibri"/>
          <w:sz w:val="22"/>
        </w:rPr>
        <w:t>The bin boundary model was evaluated using a layer-by-layer permutation protocol designed to test invariance to bin position, colour, and fill level. Testing proceeded across three setup groups, each isolating one variable.</w:t>
      </w:r>
    </w:p>
    <w:p>
      <w:pPr>
        <w:spacing w:line="276" w:lineRule="auto" w:after="120"/>
      </w:pPr>
      <w:r>
        <w:rPr>
          <w:rFonts w:ascii="Calibri" w:hAnsi="Calibri"/>
          <w:sz w:val="22"/>
        </w:rPr>
        <w:t>Group A — Bin Colour and Layout: Three conditions were tested. Under the baseline (A1: all blue bins), the model achieved 100% detection accuracy across 20 sample frames. When non-blue bins were introduced (A2: mixed red/green/blue; A3: blue combined with the mixed set), accuracy decreased to 80% and 85% respectively. Analysis revealed that the rim-centric training data — captured predominantly with blue bins — did not generalise fully to non-blue rim colours. This informed the decision to standardise on blue bins for deployment.</w:t>
      </w:r>
    </w:p>
    <w:p>
      <w:pPr>
        <w:spacing w:line="276" w:lineRule="auto" w:after="120"/>
      </w:pPr>
      <w:r>
        <w:rPr>
          <w:rFonts w:ascii="Calibri" w:hAnsi="Calibri"/>
          <w:sz w:val="22"/>
        </w:rPr>
        <w:t>Group B — Bin Contents and Fill Levels: Under standardised blue bins, the detector achieved 100% accuracy across all seven item categories (matte TE connectors, reflective metal brackets, M6 screws, white PVC tubes, copper rods protruding above rims, dark connectors, and mixed items) at every fill level from empty to fully filled. This confirmed that the model keys on the bin rim edges rather than the items within.</w:t>
      </w:r>
    </w:p>
    <w:p>
      <w:r>
        <w:rPr>
          <w:b/>
          <w:color w:val="000000"/>
          <w:sz w:val="20"/>
        </w:rPr>
        <w:t>Table 19: YOLOv8-OBB Validation Metrics (Setup V3, Fullness-Varied Training)</w:t>
      </w:r>
    </w:p>
    <w:tbl>
      <w:tblPr>
        <w:tblStyle w:val="TableGrid"/>
        <w:tblW w:type="auto" w:w="0"/>
        <w:jc w:val="center"/>
        <w:tblLook w:firstColumn="1" w:firstRow="1" w:lastColumn="0" w:lastRow="0" w:noHBand="0" w:noVBand="1" w:val="04A0"/>
      </w:tblPr>
      <w:tblGrid>
        <w:gridCol w:w="4680"/>
        <w:gridCol w:w="4680"/>
      </w:tblGrid>
      <w:tr>
        <w:trPr>
          <w:tblHeader/>
        </w:trPr>
        <w:tc>
          <w:tcPr>
            <w:tcW w:type="dxa" w:w="4680"/>
            <w:shd w:val="clear" w:color="auto" w:fill="1F4E79"/>
          </w:tcPr>
          <w:p>
            <w:r/>
            <w:r>
              <w:rPr>
                <w:rFonts w:ascii="Calibri" w:hAnsi="Calibri"/>
                <w:b/>
                <w:color w:val="FFFFFF"/>
                <w:sz w:val="18"/>
              </w:rPr>
              <w:t>Metric</w:t>
            </w:r>
          </w:p>
        </w:tc>
        <w:tc>
          <w:tcPr>
            <w:tcW w:type="dxa" w:w="4680"/>
            <w:shd w:val="clear" w:color="auto" w:fill="1F4E79"/>
          </w:tcPr>
          <w:p>
            <w:r/>
            <w:r>
              <w:rPr>
                <w:rFonts w:ascii="Calibri" w:hAnsi="Calibri"/>
                <w:b/>
                <w:color w:val="FFFFFF"/>
                <w:sz w:val="18"/>
              </w:rPr>
              <w:t>Value</w:t>
            </w:r>
          </w:p>
        </w:tc>
      </w:tr>
      <w:tr>
        <w:tc>
          <w:tcPr>
            <w:tcW w:type="dxa" w:w="4680"/>
            <w:shd w:val="clear" w:color="auto" w:fill="F2F4F7"/>
          </w:tcPr>
          <w:p>
            <w:r/>
            <w:r>
              <w:rPr>
                <w:rFonts w:ascii="Calibri" w:hAnsi="Calibri"/>
                <w:sz w:val="18"/>
              </w:rPr>
              <w:t>Precision</w:t>
            </w:r>
          </w:p>
        </w:tc>
        <w:tc>
          <w:tcPr>
            <w:tcW w:type="dxa" w:w="4680"/>
            <w:shd w:val="clear" w:color="auto" w:fill="F2F4F7"/>
          </w:tcPr>
          <w:p>
            <w:r/>
            <w:r>
              <w:rPr>
                <w:rFonts w:ascii="Calibri" w:hAnsi="Calibri"/>
                <w:sz w:val="18"/>
              </w:rPr>
              <w:t>0.999</w:t>
            </w:r>
          </w:p>
        </w:tc>
      </w:tr>
      <w:tr>
        <w:tc>
          <w:tcPr>
            <w:tcW w:type="dxa" w:w="4680"/>
            <w:shd w:val="clear" w:color="auto" w:fill="FFFFFF"/>
          </w:tcPr>
          <w:p>
            <w:r/>
            <w:r>
              <w:rPr>
                <w:rFonts w:ascii="Calibri" w:hAnsi="Calibri"/>
                <w:sz w:val="18"/>
              </w:rPr>
              <w:t>Recall</w:t>
            </w:r>
          </w:p>
        </w:tc>
        <w:tc>
          <w:tcPr>
            <w:tcW w:type="dxa" w:w="4680"/>
            <w:shd w:val="clear" w:color="auto" w:fill="FFFFFF"/>
          </w:tcPr>
          <w:p>
            <w:r/>
            <w:r>
              <w:rPr>
                <w:rFonts w:ascii="Calibri" w:hAnsi="Calibri"/>
                <w:sz w:val="18"/>
              </w:rPr>
              <w:t>1.000</w:t>
            </w:r>
          </w:p>
        </w:tc>
      </w:tr>
      <w:tr>
        <w:tc>
          <w:tcPr>
            <w:tcW w:type="dxa" w:w="4680"/>
            <w:shd w:val="clear" w:color="auto" w:fill="F2F4F7"/>
          </w:tcPr>
          <w:p>
            <w:r/>
            <w:r>
              <w:rPr>
                <w:rFonts w:ascii="Calibri" w:hAnsi="Calibri"/>
                <w:sz w:val="18"/>
              </w:rPr>
              <w:t>mAP@50</w:t>
            </w:r>
          </w:p>
        </w:tc>
        <w:tc>
          <w:tcPr>
            <w:tcW w:type="dxa" w:w="4680"/>
            <w:shd w:val="clear" w:color="auto" w:fill="F2F4F7"/>
          </w:tcPr>
          <w:p>
            <w:r/>
            <w:r>
              <w:rPr>
                <w:rFonts w:ascii="Calibri" w:hAnsi="Calibri"/>
                <w:sz w:val="18"/>
              </w:rPr>
              <w:t>0.995</w:t>
            </w:r>
          </w:p>
        </w:tc>
      </w:tr>
      <w:tr>
        <w:tc>
          <w:tcPr>
            <w:tcW w:type="dxa" w:w="4680"/>
            <w:shd w:val="clear" w:color="auto" w:fill="FFFFFF"/>
          </w:tcPr>
          <w:p>
            <w:r/>
            <w:r>
              <w:rPr>
                <w:rFonts w:ascii="Calibri" w:hAnsi="Calibri"/>
                <w:sz w:val="18"/>
              </w:rPr>
              <w:t>mAP@50-95</w:t>
            </w:r>
          </w:p>
        </w:tc>
        <w:tc>
          <w:tcPr>
            <w:tcW w:type="dxa" w:w="4680"/>
            <w:shd w:val="clear" w:color="auto" w:fill="FFFFFF"/>
          </w:tcPr>
          <w:p>
            <w:r/>
            <w:r>
              <w:rPr>
                <w:rFonts w:ascii="Calibri" w:hAnsi="Calibri"/>
                <w:sz w:val="18"/>
              </w:rPr>
              <w:t>0.935</w:t>
            </w:r>
          </w:p>
        </w:tc>
      </w:tr>
      <w:tr>
        <w:tc>
          <w:tcPr>
            <w:tcW w:type="dxa" w:w="4680"/>
            <w:shd w:val="clear" w:color="auto" w:fill="F2F4F7"/>
          </w:tcPr>
          <w:p>
            <w:r/>
            <w:r>
              <w:rPr>
                <w:rFonts w:ascii="Calibri" w:hAnsi="Calibri"/>
                <w:sz w:val="18"/>
              </w:rPr>
              <w:t>Training Epochs</w:t>
            </w:r>
          </w:p>
        </w:tc>
        <w:tc>
          <w:tcPr>
            <w:tcW w:type="dxa" w:w="4680"/>
            <w:shd w:val="clear" w:color="auto" w:fill="F2F4F7"/>
          </w:tcPr>
          <w:p>
            <w:r/>
            <w:r>
              <w:rPr>
                <w:rFonts w:ascii="Calibri" w:hAnsi="Calibri"/>
                <w:sz w:val="18"/>
              </w:rPr>
              <w:t>55 (early stopping at epoch 54)</w:t>
            </w:r>
          </w:p>
        </w:tc>
      </w:tr>
    </w:tbl>
    <w:p/>
    <w:p>
      <w:pPr>
        <w:jc w:val="center"/>
      </w:pPr>
      <w:r>
        <w:rPr>
          <w:i/>
          <w:color w:val="595959"/>
          <w:sz w:val="20"/>
        </w:rPr>
        <w:t>[Figure 4.5: YOLOv8-OBB training metric curves (precision, recall, mAP50, mAP50-95) across 55 epochs]</w:t>
      </w:r>
    </w:p>
    <w:p>
      <w:pPr>
        <w:pStyle w:val="Heading3"/>
      </w:pPr>
      <w:r>
        <w:rPr>
          <w:rFonts w:ascii="Calibri" w:hAnsi="Calibri"/>
          <w:color w:val="2E75B6"/>
        </w:rPr>
        <w:t>4.3.2 Lighting Characterisation</w:t>
      </w:r>
    </w:p>
    <w:p>
      <w:pPr>
        <w:spacing w:line="276" w:lineRule="auto" w:after="120"/>
      </w:pPr>
      <w:r>
        <w:rPr>
          <w:rFonts w:ascii="Calibri" w:hAnsi="Calibri"/>
          <w:sz w:val="22"/>
        </w:rPr>
        <w:t>Ambient illuminance was swept across eight levels from 0 lux (complete darkness, camera infrared mode) to 506 lux (full overhead strip lighting), with each of the nine bins evaluated at every level — 72 readings in total. Detection held at 100% across every illuminance level and every bin. Confidence correlated only weakly with illuminance (Pearson r ≈ 0.27), and the trend was non-monotonic. The practical conclusion is that the rim-centric detector is not lighting-limited over the station's operating range, satisfying the environmental robustness requirement (FR-09).</w:t>
      </w:r>
    </w:p>
    <w:p>
      <w:pPr>
        <w:jc w:val="center"/>
      </w:pPr>
      <w:r>
        <w:rPr>
          <w:i/>
          <w:color w:val="595959"/>
          <w:sz w:val="20"/>
        </w:rPr>
        <w:t>[Figure 4.6: Lux-versus-confidence scatter plot across 72 sampling points, showing 100% detection at all illuminance levels]</w:t>
      </w:r>
    </w:p>
    <w:p>
      <w:pPr>
        <w:pStyle w:val="Heading3"/>
      </w:pPr>
      <w:r>
        <w:rPr>
          <w:rFonts w:ascii="Calibri" w:hAnsi="Calibri"/>
          <w:color w:val="2E75B6"/>
        </w:rPr>
        <w:t>4.3.3 Hand Tracking and Occlusion Iteration</w:t>
      </w:r>
    </w:p>
    <w:p>
      <w:pPr>
        <w:spacing w:line="276" w:lineRule="auto" w:after="120"/>
      </w:pPr>
      <w:r>
        <w:rPr>
          <w:rFonts w:ascii="Calibri" w:hAnsi="Calibri"/>
          <w:sz w:val="22"/>
        </w:rPr>
        <w:t>During early integration testing, a critical tracking failure was identified when operators reached into the bottom row of bins. The shelf lip of the two-tier workstation rack physically occludes the operator's distal finger joints. Because MediaPipe loses sight of the fingertips, it extrapolates joint positions upward, placing the index fingertip within the geofence of the top-tier bins rather than the intended bottom-tier bin. This produced false "Out-of-Sequence" and "Wrong-Bin" alarms during valid picks.</w:t>
      </w:r>
    </w:p>
    <w:p>
      <w:pPr>
        <w:jc w:val="center"/>
      </w:pPr>
      <w:r>
        <w:rPr>
          <w:i/>
          <w:color w:val="595959"/>
          <w:sz w:val="20"/>
        </w:rPr>
        <w:t>[Figure 4.7: Side-view diagram showing shelf-lip occlusion — fingertip coordinates are extrapolated upward into the top-bin geofence while the hand is physically in the bottom bin]</w:t>
      </w:r>
    </w:p>
    <w:p>
      <w:pPr>
        <w:spacing w:line="276" w:lineRule="auto" w:after="120"/>
      </w:pPr>
      <w:r>
        <w:rPr>
          <w:rFonts w:ascii="Calibri" w:hAnsi="Calibri"/>
          <w:sz w:val="22"/>
        </w:rPr>
        <w:t>To resolve this without modifying the workstation hardware, two software modules were implemented:</w:t>
      </w:r>
    </w:p>
    <w:p>
      <w:pPr>
        <w:pStyle w:val="ListNumber"/>
      </w:pPr>
      <w:r>
        <w:rPr>
          <w:rFonts w:ascii="Calibri" w:hAnsi="Calibri"/>
          <w:sz w:val="22"/>
        </w:rPr>
        <w:t>Occlusion Gate: Verifies the position of the hand's proximal anchors — the wrist and index MCP knuckle centroid — which remain visible below the shelf lip. When these anchors lie below the bottom-bin rim boundary, any fingertip-derived top-bin assignment is overridden and the hand is forced to the bottom bin.</w:t>
      </w:r>
    </w:p>
    <w:p>
      <w:pPr>
        <w:pStyle w:val="ListNumber"/>
      </w:pPr>
      <w:r>
        <w:rPr>
          <w:rFonts w:ascii="Calibri" w:hAnsi="Calibri"/>
          <w:sz w:val="22"/>
        </w:rPr>
        <w:t>Occlusion Hold: A stateful module that maintains the last-known bottom-bin assignment when the hand vanishes entirely behind the shelf lip, releasing only when landmarks reappear.</w:t>
      </w:r>
    </w:p>
    <w:p>
      <w:pPr>
        <w:spacing w:line="276" w:lineRule="auto" w:after="120"/>
      </w:pPr>
      <w:r>
        <w:rPr>
          <w:rFonts w:ascii="Calibri" w:hAnsi="Calibri"/>
          <w:sz w:val="22"/>
        </w:rPr>
        <w:t>Both modules are covered by the backend unit test suite: the occlusion gate by 22 test cases and the occlusion hold by 12, all passing.</w:t>
      </w:r>
    </w:p>
    <w:p>
      <w:pPr>
        <w:jc w:val="center"/>
      </w:pPr>
      <w:r>
        <w:rPr>
          <w:i/>
          <w:color w:val="595959"/>
          <w:sz w:val="20"/>
        </w:rPr>
        <w:t>[Figure 4.8: Occlusion Gate operation — (a) without gate: fingertip extrapolation causes false top-bin assignment; (b) with gate: proximal anchor validation overrides to the correct bottom bin]</w:t>
      </w:r>
    </w:p>
    <w:p>
      <w:pPr>
        <w:pStyle w:val="Heading2"/>
      </w:pPr>
      <w:r>
        <w:rPr>
          <w:rFonts w:ascii="Calibri" w:hAnsi="Calibri"/>
          <w:color w:val="2E75B6"/>
        </w:rPr>
        <w:t>4.4 Backend Subsystem</w:t>
      </w:r>
    </w:p>
    <w:p>
      <w:pPr>
        <w:pStyle w:val="Heading3"/>
      </w:pPr>
      <w:r>
        <w:rPr>
          <w:rFonts w:ascii="Calibri" w:hAnsi="Calibri"/>
          <w:color w:val="2E75B6"/>
        </w:rPr>
        <w:t>4.4.1 Unit Verification (Pytest)</w:t>
      </w:r>
    </w:p>
    <w:p>
      <w:pPr>
        <w:spacing w:line="276" w:lineRule="auto" w:after="120"/>
      </w:pPr>
      <w:r>
        <w:rPr>
          <w:rFonts w:ascii="Calibri" w:hAnsi="Calibri"/>
          <w:sz w:val="22"/>
        </w:rPr>
        <w:t>Because the verification logic is encapsulated in a pure placement-tracker component with no dependency on the camera or display (Chapter 3.3.3), it was tested in isolation using the Pytest framework. The suite feeds deterministic sequences of per-bin and kit-box weights and asserts the resulting state, covering bin activation, placement counting, every fault type and its auto-clear, and edge cases such as transient sensor dips and post-tare settle windows.</w:t>
      </w:r>
    </w:p>
    <w:p>
      <w:r>
        <w:rPr>
          <w:b/>
          <w:color w:val="000000"/>
          <w:sz w:val="20"/>
        </w:rPr>
        <w:t>Table 20: Backend Unit Test Coverage Report (134/134 Passing)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trPr>
        <w:tc>
          <w:tcPr>
            <w:tcW w:type="dxa" w:w="1872"/>
            <w:shd w:val="clear" w:color="auto" w:fill="1F4E79"/>
          </w:tcPr>
          <w:p>
            <w:r/>
            <w:r>
              <w:rPr>
                <w:rFonts w:ascii="Calibri" w:hAnsi="Calibri"/>
                <w:b/>
                <w:color w:val="FFFFFF"/>
                <w:sz w:val="18"/>
              </w:rPr>
              <w:t>Module</w:t>
            </w:r>
          </w:p>
        </w:tc>
        <w:tc>
          <w:tcPr>
            <w:tcW w:type="dxa" w:w="1872"/>
            <w:shd w:val="clear" w:color="auto" w:fill="1F4E79"/>
          </w:tcPr>
          <w:p>
            <w:r/>
            <w:r>
              <w:rPr>
                <w:rFonts w:ascii="Calibri" w:hAnsi="Calibri"/>
                <w:b/>
                <w:color w:val="FFFFFF"/>
                <w:sz w:val="18"/>
              </w:rPr>
              <w:t>Description</w:t>
            </w:r>
          </w:p>
        </w:tc>
        <w:tc>
          <w:tcPr>
            <w:tcW w:type="dxa" w:w="1872"/>
            <w:shd w:val="clear" w:color="auto" w:fill="1F4E79"/>
          </w:tcPr>
          <w:p>
            <w:r/>
            <w:r>
              <w:rPr>
                <w:rFonts w:ascii="Calibri" w:hAnsi="Calibri"/>
                <w:b/>
                <w:color w:val="FFFFFF"/>
                <w:sz w:val="18"/>
              </w:rPr>
              <w:t>Statements</w:t>
            </w:r>
          </w:p>
        </w:tc>
        <w:tc>
          <w:tcPr>
            <w:tcW w:type="dxa" w:w="1872"/>
            <w:shd w:val="clear" w:color="auto" w:fill="1F4E79"/>
          </w:tcPr>
          <w:p>
            <w:r/>
            <w:r>
              <w:rPr>
                <w:rFonts w:ascii="Calibri" w:hAnsi="Calibri"/>
                <w:b/>
                <w:color w:val="FFFFFF"/>
                <w:sz w:val="18"/>
              </w:rPr>
              <w:t>Coverage</w:t>
            </w:r>
          </w:p>
        </w:tc>
        <w:tc>
          <w:tcPr>
            <w:tcW w:type="dxa" w:w="1872"/>
            <w:shd w:val="clear" w:color="auto" w:fill="1F4E79"/>
          </w:tcPr>
          <w:p>
            <w:r/>
            <w:r>
              <w:rPr>
                <w:rFonts w:ascii="Calibri" w:hAnsi="Calibri"/>
                <w:b/>
                <w:color w:val="FFFFFF"/>
                <w:sz w:val="18"/>
              </w:rPr>
              <w:t>Tests</w:t>
            </w:r>
          </w:p>
        </w:tc>
      </w:tr>
      <w:tr>
        <w:tc>
          <w:tcPr>
            <w:tcW w:type="dxa" w:w="1872"/>
            <w:shd w:val="clear" w:color="auto" w:fill="F2F4F7"/>
          </w:tcPr>
          <w:p>
            <w:r/>
            <w:r>
              <w:rPr>
                <w:rFonts w:ascii="Calibri" w:hAnsi="Calibri"/>
                <w:sz w:val="18"/>
              </w:rPr>
              <w:t>placement.py</w:t>
            </w:r>
          </w:p>
        </w:tc>
        <w:tc>
          <w:tcPr>
            <w:tcW w:type="dxa" w:w="1872"/>
            <w:shd w:val="clear" w:color="auto" w:fill="F2F4F7"/>
          </w:tcPr>
          <w:p>
            <w:r/>
            <w:r>
              <w:rPr>
                <w:rFonts w:ascii="Calibri" w:hAnsi="Calibri"/>
                <w:sz w:val="18"/>
              </w:rPr>
              <w:t>FSM core verification</w:t>
            </w:r>
          </w:p>
        </w:tc>
        <w:tc>
          <w:tcPr>
            <w:tcW w:type="dxa" w:w="1872"/>
            <w:shd w:val="clear" w:color="auto" w:fill="F2F4F7"/>
          </w:tcPr>
          <w:p>
            <w:r/>
            <w:r>
              <w:rPr>
                <w:rFonts w:ascii="Calibri" w:hAnsi="Calibri"/>
                <w:sz w:val="18"/>
              </w:rPr>
              <w:t>196</w:t>
            </w:r>
          </w:p>
        </w:tc>
        <w:tc>
          <w:tcPr>
            <w:tcW w:type="dxa" w:w="1872"/>
            <w:shd w:val="clear" w:color="auto" w:fill="F2F4F7"/>
          </w:tcPr>
          <w:p>
            <w:r/>
            <w:r>
              <w:rPr>
                <w:rFonts w:ascii="Calibri" w:hAnsi="Calibri"/>
                <w:sz w:val="18"/>
              </w:rPr>
              <w:t>98%</w:t>
            </w:r>
          </w:p>
        </w:tc>
        <w:tc>
          <w:tcPr>
            <w:tcW w:type="dxa" w:w="1872"/>
            <w:shd w:val="clear" w:color="auto" w:fill="F2F4F7"/>
          </w:tcPr>
          <w:p>
            <w:r/>
            <w:r>
              <w:rPr>
                <w:rFonts w:ascii="Calibri" w:hAnsi="Calibri"/>
                <w:sz w:val="18"/>
              </w:rPr>
              <w:t>38</w:t>
            </w:r>
          </w:p>
        </w:tc>
      </w:tr>
      <w:tr>
        <w:tc>
          <w:tcPr>
            <w:tcW w:type="dxa" w:w="1872"/>
            <w:shd w:val="clear" w:color="auto" w:fill="FFFFFF"/>
          </w:tcPr>
          <w:p>
            <w:r/>
            <w:r>
              <w:rPr>
                <w:rFonts w:ascii="Calibri" w:hAnsi="Calibri"/>
                <w:sz w:val="18"/>
              </w:rPr>
              <w:t>bin_assignment.py</w:t>
            </w:r>
          </w:p>
        </w:tc>
        <w:tc>
          <w:tcPr>
            <w:tcW w:type="dxa" w:w="1872"/>
            <w:shd w:val="clear" w:color="auto" w:fill="FFFFFF"/>
          </w:tcPr>
          <w:p>
            <w:r/>
            <w:r>
              <w:rPr>
                <w:rFonts w:ascii="Calibri" w:hAnsi="Calibri"/>
                <w:sz w:val="18"/>
              </w:rPr>
              <w:t>Geometric bin assignment</w:t>
            </w:r>
          </w:p>
        </w:tc>
        <w:tc>
          <w:tcPr>
            <w:tcW w:type="dxa" w:w="1872"/>
            <w:shd w:val="clear" w:color="auto" w:fill="FFFFFF"/>
          </w:tcPr>
          <w:p>
            <w:r/>
            <w:r>
              <w:rPr>
                <w:rFonts w:ascii="Calibri" w:hAnsi="Calibri"/>
                <w:sz w:val="18"/>
              </w:rPr>
              <w:t>260</w:t>
            </w:r>
          </w:p>
        </w:tc>
        <w:tc>
          <w:tcPr>
            <w:tcW w:type="dxa" w:w="1872"/>
            <w:shd w:val="clear" w:color="auto" w:fill="FFFFFF"/>
          </w:tcPr>
          <w:p>
            <w:r/>
            <w:r>
              <w:rPr>
                <w:rFonts w:ascii="Calibri" w:hAnsi="Calibri"/>
                <w:sz w:val="18"/>
              </w:rPr>
              <w:t>83%</w:t>
            </w:r>
          </w:p>
        </w:tc>
        <w:tc>
          <w:tcPr>
            <w:tcW w:type="dxa" w:w="1872"/>
            <w:shd w:val="clear" w:color="auto" w:fill="FFFFFF"/>
          </w:tcPr>
          <w:p>
            <w:r/>
            <w:r>
              <w:rPr>
                <w:rFonts w:ascii="Calibri" w:hAnsi="Calibri"/>
                <w:sz w:val="18"/>
              </w:rPr>
              <w:t>34</w:t>
            </w:r>
          </w:p>
        </w:tc>
      </w:tr>
      <w:tr>
        <w:tc>
          <w:tcPr>
            <w:tcW w:type="dxa" w:w="1872"/>
            <w:shd w:val="clear" w:color="auto" w:fill="F2F4F7"/>
          </w:tcPr>
          <w:p>
            <w:r/>
            <w:r>
              <w:rPr>
                <w:rFonts w:ascii="Calibri" w:hAnsi="Calibri"/>
                <w:sz w:val="18"/>
              </w:rPr>
              <w:t>occlusion_hold.py</w:t>
            </w:r>
          </w:p>
        </w:tc>
        <w:tc>
          <w:tcPr>
            <w:tcW w:type="dxa" w:w="1872"/>
            <w:shd w:val="clear" w:color="auto" w:fill="F2F4F7"/>
          </w:tcPr>
          <w:p>
            <w:r/>
            <w:r>
              <w:rPr>
                <w:rFonts w:ascii="Calibri" w:hAnsi="Calibri"/>
                <w:sz w:val="18"/>
              </w:rPr>
              <w:t>Shelf-lip occlusion handling</w:t>
            </w:r>
          </w:p>
        </w:tc>
        <w:tc>
          <w:tcPr>
            <w:tcW w:type="dxa" w:w="1872"/>
            <w:shd w:val="clear" w:color="auto" w:fill="F2F4F7"/>
          </w:tcPr>
          <w:p>
            <w:r/>
            <w:r>
              <w:rPr>
                <w:rFonts w:ascii="Calibri" w:hAnsi="Calibri"/>
                <w:sz w:val="18"/>
              </w:rPr>
              <w:t>35</w:t>
            </w:r>
          </w:p>
        </w:tc>
        <w:tc>
          <w:tcPr>
            <w:tcW w:type="dxa" w:w="1872"/>
            <w:shd w:val="clear" w:color="auto" w:fill="F2F4F7"/>
          </w:tcPr>
          <w:p>
            <w:r/>
            <w:r>
              <w:rPr>
                <w:rFonts w:ascii="Calibri" w:hAnsi="Calibri"/>
                <w:sz w:val="18"/>
              </w:rPr>
              <w:t>100%</w:t>
            </w:r>
          </w:p>
        </w:tc>
        <w:tc>
          <w:tcPr>
            <w:tcW w:type="dxa" w:w="1872"/>
            <w:shd w:val="clear" w:color="auto" w:fill="F2F4F7"/>
          </w:tcPr>
          <w:p>
            <w:r/>
            <w:r>
              <w:rPr>
                <w:rFonts w:ascii="Calibri" w:hAnsi="Calibri"/>
                <w:sz w:val="18"/>
              </w:rPr>
              <w:t>12</w:t>
            </w:r>
          </w:p>
        </w:tc>
      </w:tr>
      <w:tr>
        <w:tc>
          <w:tcPr>
            <w:tcW w:type="dxa" w:w="1872"/>
            <w:shd w:val="clear" w:color="auto" w:fill="FFFFFF"/>
          </w:tcPr>
          <w:p>
            <w:r/>
            <w:r>
              <w:rPr>
                <w:rFonts w:ascii="Calibri" w:hAnsi="Calibri"/>
                <w:sz w:val="18"/>
              </w:rPr>
              <w:t>grid_allocator.py</w:t>
            </w:r>
          </w:p>
        </w:tc>
        <w:tc>
          <w:tcPr>
            <w:tcW w:type="dxa" w:w="1872"/>
            <w:shd w:val="clear" w:color="auto" w:fill="FFFFFF"/>
          </w:tcPr>
          <w:p>
            <w:r/>
            <w:r>
              <w:rPr>
                <w:rFonts w:ascii="Calibri" w:hAnsi="Calibri"/>
                <w:sz w:val="18"/>
              </w:rPr>
              <w:t>Spatial grid calculations</w:t>
            </w:r>
          </w:p>
        </w:tc>
        <w:tc>
          <w:tcPr>
            <w:tcW w:type="dxa" w:w="1872"/>
            <w:shd w:val="clear" w:color="auto" w:fill="FFFFFF"/>
          </w:tcPr>
          <w:p>
            <w:r/>
            <w:r>
              <w:rPr>
                <w:rFonts w:ascii="Calibri" w:hAnsi="Calibri"/>
                <w:sz w:val="18"/>
              </w:rPr>
              <w:t>107</w:t>
            </w:r>
          </w:p>
        </w:tc>
        <w:tc>
          <w:tcPr>
            <w:tcW w:type="dxa" w:w="1872"/>
            <w:shd w:val="clear" w:color="auto" w:fill="FFFFFF"/>
          </w:tcPr>
          <w:p>
            <w:r/>
            <w:r>
              <w:rPr>
                <w:rFonts w:ascii="Calibri" w:hAnsi="Calibri"/>
                <w:sz w:val="18"/>
              </w:rPr>
              <w:t>93%</w:t>
            </w:r>
          </w:p>
        </w:tc>
        <w:tc>
          <w:tcPr>
            <w:tcW w:type="dxa" w:w="1872"/>
            <w:shd w:val="clear" w:color="auto" w:fill="FFFFFF"/>
          </w:tcPr>
          <w:p>
            <w:r/>
            <w:r>
              <w:rPr>
                <w:rFonts w:ascii="Calibri" w:hAnsi="Calibri"/>
                <w:sz w:val="18"/>
              </w:rPr>
              <w:t>14</w:t>
            </w:r>
          </w:p>
        </w:tc>
      </w:tr>
      <w:tr>
        <w:tc>
          <w:tcPr>
            <w:tcW w:type="dxa" w:w="1872"/>
            <w:shd w:val="clear" w:color="auto" w:fill="F2F4F7"/>
          </w:tcPr>
          <w:p>
            <w:r/>
            <w:r>
              <w:rPr>
                <w:rFonts w:ascii="Calibri" w:hAnsi="Calibri"/>
                <w:sz w:val="18"/>
              </w:rPr>
              <w:t>grid_calibrator.py</w:t>
            </w:r>
          </w:p>
        </w:tc>
        <w:tc>
          <w:tcPr>
            <w:tcW w:type="dxa" w:w="1872"/>
            <w:shd w:val="clear" w:color="auto" w:fill="F2F4F7"/>
          </w:tcPr>
          <w:p>
            <w:r/>
            <w:r>
              <w:rPr>
                <w:rFonts w:ascii="Calibri" w:hAnsi="Calibri"/>
                <w:sz w:val="18"/>
              </w:rPr>
              <w:t>Calibration verification</w:t>
            </w:r>
          </w:p>
        </w:tc>
        <w:tc>
          <w:tcPr>
            <w:tcW w:type="dxa" w:w="1872"/>
            <w:shd w:val="clear" w:color="auto" w:fill="F2F4F7"/>
          </w:tcPr>
          <w:p>
            <w:r/>
            <w:r>
              <w:rPr>
                <w:rFonts w:ascii="Calibri" w:hAnsi="Calibri"/>
                <w:sz w:val="18"/>
              </w:rPr>
              <w:t>79</w:t>
            </w:r>
          </w:p>
        </w:tc>
        <w:tc>
          <w:tcPr>
            <w:tcW w:type="dxa" w:w="1872"/>
            <w:shd w:val="clear" w:color="auto" w:fill="F2F4F7"/>
          </w:tcPr>
          <w:p>
            <w:r/>
            <w:r>
              <w:rPr>
                <w:rFonts w:ascii="Calibri" w:hAnsi="Calibri"/>
                <w:sz w:val="18"/>
              </w:rPr>
              <w:t>96%</w:t>
            </w:r>
          </w:p>
        </w:tc>
        <w:tc>
          <w:tcPr>
            <w:tcW w:type="dxa" w:w="1872"/>
            <w:shd w:val="clear" w:color="auto" w:fill="F2F4F7"/>
          </w:tcPr>
          <w:p>
            <w:r/>
            <w:r>
              <w:rPr>
                <w:rFonts w:ascii="Calibri" w:hAnsi="Calibri"/>
                <w:sz w:val="18"/>
              </w:rPr>
              <w:t>12</w:t>
            </w:r>
          </w:p>
        </w:tc>
      </w:tr>
      <w:tr>
        <w:tc>
          <w:tcPr>
            <w:tcW w:type="dxa" w:w="1872"/>
            <w:shd w:val="clear" w:color="auto" w:fill="FFFFFF"/>
          </w:tcPr>
          <w:p>
            <w:r/>
            <w:r>
              <w:rPr>
                <w:rFonts w:ascii="Calibri" w:hAnsi="Calibri"/>
                <w:sz w:val="18"/>
              </w:rPr>
              <w:t>grid_session.py</w:t>
            </w:r>
          </w:p>
        </w:tc>
        <w:tc>
          <w:tcPr>
            <w:tcW w:type="dxa" w:w="1872"/>
            <w:shd w:val="clear" w:color="auto" w:fill="FFFFFF"/>
          </w:tcPr>
          <w:p>
            <w:r/>
            <w:r>
              <w:rPr>
                <w:rFonts w:ascii="Calibri" w:hAnsi="Calibri"/>
                <w:sz w:val="18"/>
              </w:rPr>
              <w:t>Session boundary management</w:t>
            </w:r>
          </w:p>
        </w:tc>
        <w:tc>
          <w:tcPr>
            <w:tcW w:type="dxa" w:w="1872"/>
            <w:shd w:val="clear" w:color="auto" w:fill="FFFFFF"/>
          </w:tcPr>
          <w:p>
            <w:r/>
            <w:r>
              <w:rPr>
                <w:rFonts w:ascii="Calibri" w:hAnsi="Calibri"/>
                <w:sz w:val="18"/>
              </w:rPr>
              <w:t>74</w:t>
            </w:r>
          </w:p>
        </w:tc>
        <w:tc>
          <w:tcPr>
            <w:tcW w:type="dxa" w:w="1872"/>
            <w:shd w:val="clear" w:color="auto" w:fill="FFFFFF"/>
          </w:tcPr>
          <w:p>
            <w:r/>
            <w:r>
              <w:rPr>
                <w:rFonts w:ascii="Calibri" w:hAnsi="Calibri"/>
                <w:sz w:val="18"/>
              </w:rPr>
              <w:t>95%</w:t>
            </w:r>
          </w:p>
        </w:tc>
        <w:tc>
          <w:tcPr>
            <w:tcW w:type="dxa" w:w="1872"/>
            <w:shd w:val="clear" w:color="auto" w:fill="FFFFFF"/>
          </w:tcPr>
          <w:p>
            <w:r/>
            <w:r>
              <w:rPr>
                <w:rFonts w:ascii="Calibri" w:hAnsi="Calibri"/>
                <w:sz w:val="18"/>
              </w:rPr>
              <w:t>10</w:t>
            </w:r>
          </w:p>
        </w:tc>
      </w:tr>
      <w:tr>
        <w:tc>
          <w:tcPr>
            <w:tcW w:type="dxa" w:w="1872"/>
            <w:shd w:val="clear" w:color="auto" w:fill="F2F4F7"/>
          </w:tcPr>
          <w:p>
            <w:r/>
            <w:r>
              <w:rPr>
                <w:rFonts w:ascii="Calibri" w:hAnsi="Calibri"/>
                <w:sz w:val="18"/>
              </w:rPr>
              <w:t>inventory.py</w:t>
            </w:r>
          </w:p>
        </w:tc>
        <w:tc>
          <w:tcPr>
            <w:tcW w:type="dxa" w:w="1872"/>
            <w:shd w:val="clear" w:color="auto" w:fill="F2F4F7"/>
          </w:tcPr>
          <w:p>
            <w:r/>
            <w:r>
              <w:rPr>
                <w:rFonts w:ascii="Calibri" w:hAnsi="Calibri"/>
                <w:sz w:val="18"/>
              </w:rPr>
              <w:t>Weight-to-count conversion</w:t>
            </w:r>
          </w:p>
        </w:tc>
        <w:tc>
          <w:tcPr>
            <w:tcW w:type="dxa" w:w="1872"/>
            <w:shd w:val="clear" w:color="auto" w:fill="F2F4F7"/>
          </w:tcPr>
          <w:p>
            <w:r/>
            <w:r>
              <w:rPr>
                <w:rFonts w:ascii="Calibri" w:hAnsi="Calibri"/>
                <w:sz w:val="18"/>
              </w:rPr>
              <w:t>45</w:t>
            </w:r>
          </w:p>
        </w:tc>
        <w:tc>
          <w:tcPr>
            <w:tcW w:type="dxa" w:w="1872"/>
            <w:shd w:val="clear" w:color="auto" w:fill="F2F4F7"/>
          </w:tcPr>
          <w:p>
            <w:r/>
            <w:r>
              <w:rPr>
                <w:rFonts w:ascii="Calibri" w:hAnsi="Calibri"/>
                <w:sz w:val="18"/>
              </w:rPr>
              <w:t>78%</w:t>
            </w:r>
          </w:p>
        </w:tc>
        <w:tc>
          <w:tcPr>
            <w:tcW w:type="dxa" w:w="1872"/>
            <w:shd w:val="clear" w:color="auto" w:fill="F2F4F7"/>
          </w:tcPr>
          <w:p>
            <w:r/>
            <w:r>
              <w:rPr>
                <w:rFonts w:ascii="Calibri" w:hAnsi="Calibri"/>
                <w:sz w:val="18"/>
              </w:rPr>
              <w:t>8</w:t>
            </w:r>
          </w:p>
        </w:tc>
      </w:tr>
      <w:tr>
        <w:tc>
          <w:tcPr>
            <w:tcW w:type="dxa" w:w="1872"/>
            <w:shd w:val="clear" w:color="auto" w:fill="FFFFFF"/>
          </w:tcPr>
          <w:p>
            <w:r/>
            <w:r>
              <w:rPr>
                <w:rFonts w:ascii="Calibri" w:hAnsi="Calibri"/>
                <w:sz w:val="18"/>
              </w:rPr>
              <w:t>cycle.py</w:t>
            </w:r>
          </w:p>
        </w:tc>
        <w:tc>
          <w:tcPr>
            <w:tcW w:type="dxa" w:w="1872"/>
            <w:shd w:val="clear" w:color="auto" w:fill="FFFFFF"/>
          </w:tcPr>
          <w:p>
            <w:r/>
            <w:r>
              <w:rPr>
                <w:rFonts w:ascii="Calibri" w:hAnsi="Calibri"/>
                <w:sz w:val="18"/>
              </w:rPr>
              <w:t>Order cycle management</w:t>
            </w:r>
          </w:p>
        </w:tc>
        <w:tc>
          <w:tcPr>
            <w:tcW w:type="dxa" w:w="1872"/>
            <w:shd w:val="clear" w:color="auto" w:fill="FFFFFF"/>
          </w:tcPr>
          <w:p>
            <w:r/>
            <w:r>
              <w:rPr>
                <w:rFonts w:ascii="Calibri" w:hAnsi="Calibri"/>
                <w:sz w:val="18"/>
              </w:rPr>
              <w:t>39</w:t>
            </w:r>
          </w:p>
        </w:tc>
        <w:tc>
          <w:tcPr>
            <w:tcW w:type="dxa" w:w="1872"/>
            <w:shd w:val="clear" w:color="auto" w:fill="FFFFFF"/>
          </w:tcPr>
          <w:p>
            <w:r/>
            <w:r>
              <w:rPr>
                <w:rFonts w:ascii="Calibri" w:hAnsi="Calibri"/>
                <w:sz w:val="18"/>
              </w:rPr>
              <w:t>100%</w:t>
            </w:r>
          </w:p>
        </w:tc>
        <w:tc>
          <w:tcPr>
            <w:tcW w:type="dxa" w:w="1872"/>
            <w:shd w:val="clear" w:color="auto" w:fill="FFFFFF"/>
          </w:tcPr>
          <w:p>
            <w:r/>
            <w:r>
              <w:rPr>
                <w:rFonts w:ascii="Calibri" w:hAnsi="Calibri"/>
                <w:sz w:val="18"/>
              </w:rPr>
              <w:t>6</w:t>
            </w:r>
          </w:p>
        </w:tc>
      </w:tr>
    </w:tbl>
    <w:p/>
    <w:p>
      <w:pPr>
        <w:spacing w:line="276" w:lineRule="auto" w:after="120"/>
      </w:pPr>
      <w:r>
        <w:rPr>
          <w:rFonts w:ascii="Calibri" w:hAnsi="Calibri"/>
          <w:sz w:val="22"/>
        </w:rPr>
        <w:t>All 134 tests pass in 4.46 seconds. The 50% overall project coverage figure reflects the fact that the suite deliberately targets the pure-logic modules rather than the hardware-bound modules (pipeline orchestrator, camera overlay) which require live peripherals. The core FSM — placement.py — achieves 98% statement coverage, confirming that the critical state machine pathways are exercised exhaustively.</w:t>
      </w:r>
    </w:p>
    <w:p>
      <w:pPr>
        <w:jc w:val="center"/>
      </w:pPr>
      <w:r>
        <w:rPr>
          <w:i/>
          <w:color w:val="595959"/>
          <w:sz w:val="20"/>
        </w:rPr>
        <w:t>[Figure 4.9: Pytest terminal output showing 134/134 passed tests and per-module coverage summary]</w:t>
      </w:r>
    </w:p>
    <w:p>
      <w:r>
        <w:br w:type="page"/>
      </w:r>
    </w:p>
    <w:p>
      <w:pPr>
        <w:pStyle w:val="Heading1"/>
      </w:pPr>
      <w:r>
        <w:rPr>
          <w:rFonts w:ascii="Calibri" w:hAnsi="Calibri"/>
          <w:color w:val="1F4E79"/>
        </w:rPr>
        <w:t>Chapter 5 | System Testing and Evaluation</w:t>
      </w:r>
    </w:p>
    <w:p>
      <w:pPr>
        <w:spacing w:line="276" w:lineRule="auto" w:after="120"/>
      </w:pPr>
      <w:r>
        <w:rPr>
          <w:rFonts w:ascii="Calibri" w:hAnsi="Calibri"/>
          <w:sz w:val="22"/>
        </w:rPr>
        <w:t>This chapter presents the system-level validation of the integrated AEGIS prototype, focusing on user-oriented testing with plant operators, the HMI design iteration driven by operator feedback, and the formal requirements validation matrix that traces each functional requirement to its verification evidence.</w:t>
      </w:r>
    </w:p>
    <w:p>
      <w:pPr>
        <w:pStyle w:val="Heading2"/>
      </w:pPr>
      <w:r>
        <w:rPr>
          <w:rFonts w:ascii="Calibri" w:hAnsi="Calibri"/>
          <w:color w:val="2E75B6"/>
        </w:rPr>
        <w:t>5.1 Usability Study</w:t>
      </w:r>
    </w:p>
    <w:p>
      <w:pPr>
        <w:pStyle w:val="Heading3"/>
      </w:pPr>
      <w:r>
        <w:rPr>
          <w:rFonts w:ascii="Calibri" w:hAnsi="Calibri"/>
          <w:color w:val="2E75B6"/>
        </w:rPr>
        <w:t>5.1.1 Testing Framework</w:t>
      </w:r>
    </w:p>
    <w:p>
      <w:pPr>
        <w:spacing w:line="276" w:lineRule="auto" w:after="120"/>
      </w:pPr>
      <w:r>
        <w:rPr>
          <w:rFonts w:ascii="Calibri" w:hAnsi="Calibri"/>
          <w:sz w:val="22"/>
        </w:rPr>
        <w:t>The integrated system was evaluated through a structured usability study with six operators (Benny, Chloe, Ming Zhan, Song Yi, Royce, and Jack), conducted between 8 and 13 July 2026. The study employed a within-subjects, counterbalanced design: each operator completed a paper-based Control block and an AEGIS System block, with three bills of materials (BOMs) per block. Block order was counterbalanced across participants to control for learning effects.</w:t>
      </w:r>
    </w:p>
    <w:p>
      <w:pPr>
        <w:spacing w:line="276" w:lineRule="auto" w:after="120"/>
      </w:pPr>
      <w:r>
        <w:rPr>
          <w:rFonts w:ascii="Calibri" w:hAnsi="Calibri"/>
          <w:sz w:val="22"/>
        </w:rPr>
        <w:t>Each session comprised a structured alert walkthrough, in which the operator encountered and was asked to interpret each fault type, followed by a rating interview across nine dimensions scored on a 1–5 Likert scale, and an open-ended interview capturing free-form feedback.</w:t>
      </w:r>
    </w:p>
    <w:p>
      <w:r>
        <w:rPr>
          <w:b/>
          <w:color w:val="000000"/>
          <w:sz w:val="20"/>
        </w:rPr>
        <w:t>Table 21: Usability Study Participant Schedule</w:t>
      </w:r>
    </w:p>
    <w:tbl>
      <w:tblPr>
        <w:tblStyle w:val="TableGrid"/>
        <w:tblW w:type="auto" w:w="0"/>
        <w:jc w:val="center"/>
        <w:tblLook w:firstColumn="1" w:firstRow="1" w:lastColumn="0" w:lastRow="0" w:noHBand="0" w:noVBand="1" w:val="04A0"/>
      </w:tblPr>
      <w:tblGrid>
        <w:gridCol w:w="2340"/>
        <w:gridCol w:w="2340"/>
        <w:gridCol w:w="2340"/>
        <w:gridCol w:w="2340"/>
      </w:tblGrid>
      <w:tr>
        <w:trPr>
          <w:tblHeader/>
        </w:trPr>
        <w:tc>
          <w:tcPr>
            <w:tcW w:type="dxa" w:w="2340"/>
            <w:shd w:val="clear" w:color="auto" w:fill="1F4E79"/>
          </w:tcPr>
          <w:p>
            <w:r/>
            <w:r>
              <w:rPr>
                <w:rFonts w:ascii="Calibri" w:hAnsi="Calibri"/>
                <w:b/>
                <w:color w:val="FFFFFF"/>
                <w:sz w:val="18"/>
              </w:rPr>
              <w:t>Operator</w:t>
            </w:r>
          </w:p>
        </w:tc>
        <w:tc>
          <w:tcPr>
            <w:tcW w:type="dxa" w:w="2340"/>
            <w:shd w:val="clear" w:color="auto" w:fill="1F4E79"/>
          </w:tcPr>
          <w:p>
            <w:r/>
            <w:r>
              <w:rPr>
                <w:rFonts w:ascii="Calibri" w:hAnsi="Calibri"/>
                <w:b/>
                <w:color w:val="FFFFFF"/>
                <w:sz w:val="18"/>
              </w:rPr>
              <w:t>Date</w:t>
            </w:r>
          </w:p>
        </w:tc>
        <w:tc>
          <w:tcPr>
            <w:tcW w:type="dxa" w:w="2340"/>
            <w:shd w:val="clear" w:color="auto" w:fill="1F4E79"/>
          </w:tcPr>
          <w:p>
            <w:r/>
            <w:r>
              <w:rPr>
                <w:rFonts w:ascii="Calibri" w:hAnsi="Calibri"/>
                <w:b/>
                <w:color w:val="FFFFFF"/>
                <w:sz w:val="18"/>
              </w:rPr>
              <w:t>Group</w:t>
            </w:r>
          </w:p>
        </w:tc>
        <w:tc>
          <w:tcPr>
            <w:tcW w:type="dxa" w:w="2340"/>
            <w:shd w:val="clear" w:color="auto" w:fill="1F4E79"/>
          </w:tcPr>
          <w:p>
            <w:r/>
            <w:r>
              <w:rPr>
                <w:rFonts w:ascii="Calibri" w:hAnsi="Calibri"/>
                <w:b/>
                <w:color w:val="FFFFFF"/>
                <w:sz w:val="18"/>
              </w:rPr>
              <w:t>BOM Order</w:t>
            </w:r>
          </w:p>
        </w:tc>
      </w:tr>
      <w:tr>
        <w:tc>
          <w:tcPr>
            <w:tcW w:type="dxa" w:w="2340"/>
            <w:shd w:val="clear" w:color="auto" w:fill="F2F4F7"/>
          </w:tcPr>
          <w:p>
            <w:r/>
            <w:r>
              <w:rPr>
                <w:rFonts w:ascii="Calibri" w:hAnsi="Calibri"/>
                <w:sz w:val="18"/>
              </w:rPr>
              <w:t>Benny</w:t>
            </w:r>
          </w:p>
        </w:tc>
        <w:tc>
          <w:tcPr>
            <w:tcW w:type="dxa" w:w="2340"/>
            <w:shd w:val="clear" w:color="auto" w:fill="F2F4F7"/>
          </w:tcPr>
          <w:p>
            <w:r/>
            <w:r>
              <w:rPr>
                <w:rFonts w:ascii="Calibri" w:hAnsi="Calibri"/>
                <w:sz w:val="18"/>
              </w:rPr>
              <w:t>8 Jul</w:t>
            </w:r>
          </w:p>
        </w:tc>
        <w:tc>
          <w:tcPr>
            <w:tcW w:type="dxa" w:w="2340"/>
            <w:shd w:val="clear" w:color="auto" w:fill="F2F4F7"/>
          </w:tcPr>
          <w:p>
            <w:r/>
            <w:r>
              <w:rPr>
                <w:rFonts w:ascii="Calibri" w:hAnsi="Calibri"/>
                <w:sz w:val="18"/>
              </w:rPr>
              <w:t>—*</w:t>
            </w:r>
          </w:p>
        </w:tc>
        <w:tc>
          <w:tcPr>
            <w:tcW w:type="dxa" w:w="2340"/>
            <w:shd w:val="clear" w:color="auto" w:fill="F2F4F7"/>
          </w:tcPr>
          <w:p>
            <w:r/>
            <w:r>
              <w:rPr>
                <w:rFonts w:ascii="Calibri" w:hAnsi="Calibri"/>
                <w:sz w:val="18"/>
              </w:rPr>
              <w:t>1 → 2 → 3</w:t>
            </w:r>
          </w:p>
        </w:tc>
      </w:tr>
      <w:tr>
        <w:tc>
          <w:tcPr>
            <w:tcW w:type="dxa" w:w="2340"/>
            <w:shd w:val="clear" w:color="auto" w:fill="FFFFFF"/>
          </w:tcPr>
          <w:p>
            <w:r/>
            <w:r>
              <w:rPr>
                <w:rFonts w:ascii="Calibri" w:hAnsi="Calibri"/>
                <w:sz w:val="18"/>
              </w:rPr>
              <w:t>Chloe</w:t>
            </w:r>
          </w:p>
        </w:tc>
        <w:tc>
          <w:tcPr>
            <w:tcW w:type="dxa" w:w="2340"/>
            <w:shd w:val="clear" w:color="auto" w:fill="FFFFFF"/>
          </w:tcPr>
          <w:p>
            <w:r/>
            <w:r>
              <w:rPr>
                <w:rFonts w:ascii="Calibri" w:hAnsi="Calibri"/>
                <w:sz w:val="18"/>
              </w:rPr>
              <w:t>8 Jul</w:t>
            </w:r>
          </w:p>
        </w:tc>
        <w:tc>
          <w:tcPr>
            <w:tcW w:type="dxa" w:w="2340"/>
            <w:shd w:val="clear" w:color="auto" w:fill="FFFFFF"/>
          </w:tcPr>
          <w:p>
            <w:r/>
            <w:r>
              <w:rPr>
                <w:rFonts w:ascii="Calibri" w:hAnsi="Calibri"/>
                <w:sz w:val="18"/>
              </w:rPr>
              <w:t>B</w:t>
            </w:r>
          </w:p>
        </w:tc>
        <w:tc>
          <w:tcPr>
            <w:tcW w:type="dxa" w:w="2340"/>
            <w:shd w:val="clear" w:color="auto" w:fill="FFFFFF"/>
          </w:tcPr>
          <w:p>
            <w:r/>
            <w:r>
              <w:rPr>
                <w:rFonts w:ascii="Calibri" w:hAnsi="Calibri"/>
                <w:sz w:val="18"/>
              </w:rPr>
              <w:t>2 → 3 → 1</w:t>
            </w:r>
          </w:p>
        </w:tc>
      </w:tr>
      <w:tr>
        <w:tc>
          <w:tcPr>
            <w:tcW w:type="dxa" w:w="2340"/>
            <w:shd w:val="clear" w:color="auto" w:fill="F2F4F7"/>
          </w:tcPr>
          <w:p>
            <w:r/>
            <w:r>
              <w:rPr>
                <w:rFonts w:ascii="Calibri" w:hAnsi="Calibri"/>
                <w:sz w:val="18"/>
              </w:rPr>
              <w:t>Ming Zhan</w:t>
            </w:r>
          </w:p>
        </w:tc>
        <w:tc>
          <w:tcPr>
            <w:tcW w:type="dxa" w:w="2340"/>
            <w:shd w:val="clear" w:color="auto" w:fill="F2F4F7"/>
          </w:tcPr>
          <w:p>
            <w:r/>
            <w:r>
              <w:rPr>
                <w:rFonts w:ascii="Calibri" w:hAnsi="Calibri"/>
                <w:sz w:val="18"/>
              </w:rPr>
              <w:t>8 Jul</w:t>
            </w:r>
          </w:p>
        </w:tc>
        <w:tc>
          <w:tcPr>
            <w:tcW w:type="dxa" w:w="2340"/>
            <w:shd w:val="clear" w:color="auto" w:fill="F2F4F7"/>
          </w:tcPr>
          <w:p>
            <w:r/>
            <w:r>
              <w:rPr>
                <w:rFonts w:ascii="Calibri" w:hAnsi="Calibri"/>
                <w:sz w:val="18"/>
              </w:rPr>
              <w:t>B</w:t>
            </w:r>
          </w:p>
        </w:tc>
        <w:tc>
          <w:tcPr>
            <w:tcW w:type="dxa" w:w="2340"/>
            <w:shd w:val="clear" w:color="auto" w:fill="F2F4F7"/>
          </w:tcPr>
          <w:p>
            <w:r/>
            <w:r>
              <w:rPr>
                <w:rFonts w:ascii="Calibri" w:hAnsi="Calibri"/>
                <w:sz w:val="18"/>
              </w:rPr>
              <w:t>2 → 1 → 3</w:t>
            </w:r>
          </w:p>
        </w:tc>
      </w:tr>
      <w:tr>
        <w:tc>
          <w:tcPr>
            <w:tcW w:type="dxa" w:w="2340"/>
            <w:shd w:val="clear" w:color="auto" w:fill="FFFFFF"/>
          </w:tcPr>
          <w:p>
            <w:r/>
            <w:r>
              <w:rPr>
                <w:rFonts w:ascii="Calibri" w:hAnsi="Calibri"/>
                <w:sz w:val="18"/>
              </w:rPr>
              <w:t>Song Yi</w:t>
            </w:r>
          </w:p>
        </w:tc>
        <w:tc>
          <w:tcPr>
            <w:tcW w:type="dxa" w:w="2340"/>
            <w:shd w:val="clear" w:color="auto" w:fill="FFFFFF"/>
          </w:tcPr>
          <w:p>
            <w:r/>
            <w:r>
              <w:rPr>
                <w:rFonts w:ascii="Calibri" w:hAnsi="Calibri"/>
                <w:sz w:val="18"/>
              </w:rPr>
              <w:t>9 Jul</w:t>
            </w:r>
          </w:p>
        </w:tc>
        <w:tc>
          <w:tcPr>
            <w:tcW w:type="dxa" w:w="2340"/>
            <w:shd w:val="clear" w:color="auto" w:fill="FFFFFF"/>
          </w:tcPr>
          <w:p>
            <w:r/>
            <w:r>
              <w:rPr>
                <w:rFonts w:ascii="Calibri" w:hAnsi="Calibri"/>
                <w:sz w:val="18"/>
              </w:rPr>
              <w:t>A</w:t>
            </w:r>
          </w:p>
        </w:tc>
        <w:tc>
          <w:tcPr>
            <w:tcW w:type="dxa" w:w="2340"/>
            <w:shd w:val="clear" w:color="auto" w:fill="FFFFFF"/>
          </w:tcPr>
          <w:p>
            <w:r/>
            <w:r>
              <w:rPr>
                <w:rFonts w:ascii="Calibri" w:hAnsi="Calibri"/>
                <w:sz w:val="18"/>
              </w:rPr>
              <w:t>2 → 1 → 3</w:t>
            </w:r>
          </w:p>
        </w:tc>
      </w:tr>
      <w:tr>
        <w:tc>
          <w:tcPr>
            <w:tcW w:type="dxa" w:w="2340"/>
            <w:shd w:val="clear" w:color="auto" w:fill="F2F4F7"/>
          </w:tcPr>
          <w:p>
            <w:r/>
            <w:r>
              <w:rPr>
                <w:rFonts w:ascii="Calibri" w:hAnsi="Calibri"/>
                <w:sz w:val="18"/>
              </w:rPr>
              <w:t>Royce</w:t>
            </w:r>
          </w:p>
        </w:tc>
        <w:tc>
          <w:tcPr>
            <w:tcW w:type="dxa" w:w="2340"/>
            <w:shd w:val="clear" w:color="auto" w:fill="F2F4F7"/>
          </w:tcPr>
          <w:p>
            <w:r/>
            <w:r>
              <w:rPr>
                <w:rFonts w:ascii="Calibri" w:hAnsi="Calibri"/>
                <w:sz w:val="18"/>
              </w:rPr>
              <w:t>10 Jul</w:t>
            </w:r>
          </w:p>
        </w:tc>
        <w:tc>
          <w:tcPr>
            <w:tcW w:type="dxa" w:w="2340"/>
            <w:shd w:val="clear" w:color="auto" w:fill="F2F4F7"/>
          </w:tcPr>
          <w:p>
            <w:r/>
            <w:r>
              <w:rPr>
                <w:rFonts w:ascii="Calibri" w:hAnsi="Calibri"/>
                <w:sz w:val="18"/>
              </w:rPr>
              <w:t>A</w:t>
            </w:r>
          </w:p>
        </w:tc>
        <w:tc>
          <w:tcPr>
            <w:tcW w:type="dxa" w:w="2340"/>
            <w:shd w:val="clear" w:color="auto" w:fill="F2F4F7"/>
          </w:tcPr>
          <w:p>
            <w:r/>
            <w:r>
              <w:rPr>
                <w:rFonts w:ascii="Calibri" w:hAnsi="Calibri"/>
                <w:sz w:val="18"/>
              </w:rPr>
              <w:t>3 → 2 → 1</w:t>
            </w:r>
          </w:p>
        </w:tc>
      </w:tr>
      <w:tr>
        <w:tc>
          <w:tcPr>
            <w:tcW w:type="dxa" w:w="2340"/>
            <w:shd w:val="clear" w:color="auto" w:fill="FFFFFF"/>
          </w:tcPr>
          <w:p>
            <w:r/>
            <w:r>
              <w:rPr>
                <w:rFonts w:ascii="Calibri" w:hAnsi="Calibri"/>
                <w:sz w:val="18"/>
              </w:rPr>
              <w:t>Jack</w:t>
            </w:r>
          </w:p>
        </w:tc>
        <w:tc>
          <w:tcPr>
            <w:tcW w:type="dxa" w:w="2340"/>
            <w:shd w:val="clear" w:color="auto" w:fill="FFFFFF"/>
          </w:tcPr>
          <w:p>
            <w:r/>
            <w:r>
              <w:rPr>
                <w:rFonts w:ascii="Calibri" w:hAnsi="Calibri"/>
                <w:sz w:val="18"/>
              </w:rPr>
              <w:t>13 Jul</w:t>
            </w:r>
          </w:p>
        </w:tc>
        <w:tc>
          <w:tcPr>
            <w:tcW w:type="dxa" w:w="2340"/>
            <w:shd w:val="clear" w:color="auto" w:fill="FFFFFF"/>
          </w:tcPr>
          <w:p>
            <w:r/>
            <w:r>
              <w:rPr>
                <w:rFonts w:ascii="Calibri" w:hAnsi="Calibri"/>
                <w:sz w:val="18"/>
              </w:rPr>
              <w:t>B</w:t>
            </w:r>
          </w:p>
        </w:tc>
        <w:tc>
          <w:tcPr>
            <w:tcW w:type="dxa" w:w="2340"/>
            <w:shd w:val="clear" w:color="auto" w:fill="FFFFFF"/>
          </w:tcPr>
          <w:p>
            <w:r/>
            <w:r>
              <w:rPr>
                <w:rFonts w:ascii="Calibri" w:hAnsi="Calibri"/>
                <w:sz w:val="18"/>
              </w:rPr>
              <w:t>1 → 3 → 2</w:t>
            </w:r>
          </w:p>
        </w:tc>
      </w:tr>
    </w:tbl>
    <w:p/>
    <w:p>
      <w:pPr>
        <w:spacing w:line="276" w:lineRule="auto" w:after="120"/>
      </w:pPr>
      <w:r>
        <w:rPr>
          <w:rFonts w:ascii="Calibri" w:hAnsi="Calibri"/>
          <w:sz w:val="22"/>
        </w:rPr>
        <w:t>*Benny's session used an earlier protocol template.</w:t>
      </w:r>
    </w:p>
    <w:p>
      <w:pPr>
        <w:jc w:val="center"/>
      </w:pPr>
      <w:r>
        <w:rPr>
          <w:i/>
          <w:color w:val="595959"/>
          <w:sz w:val="20"/>
        </w:rPr>
        <w:t>[Figure 5.1: Operators conducting usability testing at the AEGIS workstation]</w:t>
      </w:r>
    </w:p>
    <w:p>
      <w:pPr>
        <w:pStyle w:val="Heading3"/>
      </w:pPr>
      <w:r>
        <w:rPr>
          <w:rFonts w:ascii="Calibri" w:hAnsi="Calibri"/>
          <w:color w:val="2E75B6"/>
        </w:rPr>
        <w:t>5.1.2 Evaluation Results</w:t>
      </w:r>
    </w:p>
    <w:p>
      <w:r>
        <w:rPr>
          <w:b/>
          <w:color w:val="000000"/>
          <w:sz w:val="20"/>
        </w:rPr>
        <w:t>Table 22: Operator Usability Ratings (1 = poor, 5 = excellent)</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trPr>
        <w:tc>
          <w:tcPr>
            <w:tcW w:type="dxa" w:w="1872"/>
            <w:shd w:val="clear" w:color="auto" w:fill="1F4E79"/>
          </w:tcPr>
          <w:p>
            <w:r/>
            <w:r>
              <w:rPr>
                <w:rFonts w:ascii="Calibri" w:hAnsi="Calibri"/>
                <w:b/>
                <w:color w:val="FFFFFF"/>
                <w:sz w:val="18"/>
              </w:rPr>
              <w:t>ID</w:t>
            </w:r>
          </w:p>
        </w:tc>
        <w:tc>
          <w:tcPr>
            <w:tcW w:type="dxa" w:w="1872"/>
            <w:shd w:val="clear" w:color="auto" w:fill="1F4E79"/>
          </w:tcPr>
          <w:p>
            <w:r/>
            <w:r>
              <w:rPr>
                <w:rFonts w:ascii="Calibri" w:hAnsi="Calibri"/>
                <w:b/>
                <w:color w:val="FFFFFF"/>
                <w:sz w:val="18"/>
              </w:rPr>
              <w:t>Dimension</w:t>
            </w:r>
          </w:p>
        </w:tc>
        <w:tc>
          <w:tcPr>
            <w:tcW w:type="dxa" w:w="1872"/>
            <w:shd w:val="clear" w:color="auto" w:fill="1F4E79"/>
          </w:tcPr>
          <w:p>
            <w:r/>
            <w:r>
              <w:rPr>
                <w:rFonts w:ascii="Calibri" w:hAnsi="Calibri"/>
                <w:b/>
                <w:color w:val="FFFFFF"/>
                <w:sz w:val="18"/>
              </w:rPr>
              <w:t>Mean</w:t>
            </w:r>
          </w:p>
        </w:tc>
        <w:tc>
          <w:tcPr>
            <w:tcW w:type="dxa" w:w="1872"/>
            <w:shd w:val="clear" w:color="auto" w:fill="1F4E79"/>
          </w:tcPr>
          <w:p>
            <w:r/>
            <w:r>
              <w:rPr>
                <w:rFonts w:ascii="Calibri" w:hAnsi="Calibri"/>
                <w:b/>
                <w:color w:val="FFFFFF"/>
                <w:sz w:val="18"/>
              </w:rPr>
              <w:t>Range</w:t>
            </w:r>
          </w:p>
        </w:tc>
        <w:tc>
          <w:tcPr>
            <w:tcW w:type="dxa" w:w="1872"/>
            <w:shd w:val="clear" w:color="auto" w:fill="1F4E79"/>
          </w:tcPr>
          <w:p>
            <w:r/>
            <w:r>
              <w:rPr>
                <w:rFonts w:ascii="Calibri" w:hAnsi="Calibri"/>
                <w:b/>
                <w:color w:val="FFFFFF"/>
                <w:sz w:val="18"/>
              </w:rPr>
              <w:t>n</w:t>
            </w:r>
          </w:p>
        </w:tc>
      </w:tr>
      <w:tr>
        <w:tc>
          <w:tcPr>
            <w:tcW w:type="dxa" w:w="1872"/>
            <w:shd w:val="clear" w:color="auto" w:fill="F2F4F7"/>
          </w:tcPr>
          <w:p>
            <w:r/>
            <w:r>
              <w:rPr>
                <w:rFonts w:ascii="Calibri" w:hAnsi="Calibri"/>
                <w:sz w:val="18"/>
              </w:rPr>
              <w:t>R1</w:t>
            </w:r>
          </w:p>
        </w:tc>
        <w:tc>
          <w:tcPr>
            <w:tcW w:type="dxa" w:w="1872"/>
            <w:shd w:val="clear" w:color="auto" w:fill="F2F4F7"/>
          </w:tcPr>
          <w:p>
            <w:r/>
            <w:r>
              <w:rPr>
                <w:rFonts w:ascii="Calibri" w:hAnsi="Calibri"/>
                <w:sz w:val="18"/>
              </w:rPr>
              <w:t>Screen wording was clear and easy to understand</w:t>
            </w:r>
          </w:p>
        </w:tc>
        <w:tc>
          <w:tcPr>
            <w:tcW w:type="dxa" w:w="1872"/>
            <w:shd w:val="clear" w:color="auto" w:fill="F2F4F7"/>
          </w:tcPr>
          <w:p>
            <w:r/>
            <w:r>
              <w:rPr>
                <w:rFonts w:ascii="Calibri" w:hAnsi="Calibri"/>
                <w:sz w:val="18"/>
              </w:rPr>
              <w:t>3.3</w:t>
            </w:r>
          </w:p>
        </w:tc>
        <w:tc>
          <w:tcPr>
            <w:tcW w:type="dxa" w:w="1872"/>
            <w:shd w:val="clear" w:color="auto" w:fill="F2F4F7"/>
          </w:tcPr>
          <w:p>
            <w:r/>
            <w:r>
              <w:rPr>
                <w:rFonts w:ascii="Calibri" w:hAnsi="Calibri"/>
                <w:sz w:val="18"/>
              </w:rPr>
              <w:t>2–5</w:t>
            </w:r>
          </w:p>
        </w:tc>
        <w:tc>
          <w:tcPr>
            <w:tcW w:type="dxa" w:w="1872"/>
            <w:shd w:val="clear" w:color="auto" w:fill="F2F4F7"/>
          </w:tcPr>
          <w:p>
            <w:r/>
            <w:r>
              <w:rPr>
                <w:rFonts w:ascii="Calibri" w:hAnsi="Calibri"/>
                <w:sz w:val="18"/>
              </w:rPr>
              <w:t>6</w:t>
            </w:r>
          </w:p>
        </w:tc>
      </w:tr>
      <w:tr>
        <w:tc>
          <w:tcPr>
            <w:tcW w:type="dxa" w:w="1872"/>
            <w:shd w:val="clear" w:color="auto" w:fill="FFFFFF"/>
          </w:tcPr>
          <w:p>
            <w:r/>
            <w:r>
              <w:rPr>
                <w:rFonts w:ascii="Calibri" w:hAnsi="Calibri"/>
                <w:sz w:val="18"/>
              </w:rPr>
              <w:t>R2</w:t>
            </w:r>
          </w:p>
        </w:tc>
        <w:tc>
          <w:tcPr>
            <w:tcW w:type="dxa" w:w="1872"/>
            <w:shd w:val="clear" w:color="auto" w:fill="FFFFFF"/>
          </w:tcPr>
          <w:p>
            <w:r/>
            <w:r>
              <w:rPr>
                <w:rFonts w:ascii="Calibri" w:hAnsi="Calibri"/>
                <w:sz w:val="18"/>
              </w:rPr>
              <w:t>Placement / layout of on-screen information was easy to follow</w:t>
            </w:r>
          </w:p>
        </w:tc>
        <w:tc>
          <w:tcPr>
            <w:tcW w:type="dxa" w:w="1872"/>
            <w:shd w:val="clear" w:color="auto" w:fill="FFFFFF"/>
          </w:tcPr>
          <w:p>
            <w:r/>
            <w:r>
              <w:rPr>
                <w:rFonts w:ascii="Calibri" w:hAnsi="Calibri"/>
                <w:sz w:val="18"/>
              </w:rPr>
              <w:t>4.2</w:t>
            </w:r>
          </w:p>
        </w:tc>
        <w:tc>
          <w:tcPr>
            <w:tcW w:type="dxa" w:w="1872"/>
            <w:shd w:val="clear" w:color="auto" w:fill="FFFFFF"/>
          </w:tcPr>
          <w:p>
            <w:r/>
            <w:r>
              <w:rPr>
                <w:rFonts w:ascii="Calibri" w:hAnsi="Calibri"/>
                <w:sz w:val="18"/>
              </w:rPr>
              <w:t>3–5</w:t>
            </w:r>
          </w:p>
        </w:tc>
        <w:tc>
          <w:tcPr>
            <w:tcW w:type="dxa" w:w="1872"/>
            <w:shd w:val="clear" w:color="auto" w:fill="FFFFFF"/>
          </w:tcPr>
          <w:p>
            <w:r/>
            <w:r>
              <w:rPr>
                <w:rFonts w:ascii="Calibri" w:hAnsi="Calibri"/>
                <w:sz w:val="18"/>
              </w:rPr>
              <w:t>6</w:t>
            </w:r>
          </w:p>
        </w:tc>
      </w:tr>
      <w:tr>
        <w:tc>
          <w:tcPr>
            <w:tcW w:type="dxa" w:w="1872"/>
            <w:shd w:val="clear" w:color="auto" w:fill="F2F4F7"/>
          </w:tcPr>
          <w:p>
            <w:r/>
            <w:r>
              <w:rPr>
                <w:rFonts w:ascii="Calibri" w:hAnsi="Calibri"/>
                <w:sz w:val="18"/>
              </w:rPr>
              <w:t>R3</w:t>
            </w:r>
          </w:p>
        </w:tc>
        <w:tc>
          <w:tcPr>
            <w:tcW w:type="dxa" w:w="1872"/>
            <w:shd w:val="clear" w:color="auto" w:fill="F2F4F7"/>
          </w:tcPr>
          <w:p>
            <w:r/>
            <w:r>
              <w:rPr>
                <w:rFonts w:ascii="Calibri" w:hAnsi="Calibri"/>
                <w:sz w:val="18"/>
              </w:rPr>
              <w:t>Easy to understand what to pack</w:t>
            </w:r>
          </w:p>
        </w:tc>
        <w:tc>
          <w:tcPr>
            <w:tcW w:type="dxa" w:w="1872"/>
            <w:shd w:val="clear" w:color="auto" w:fill="F2F4F7"/>
          </w:tcPr>
          <w:p>
            <w:r/>
            <w:r>
              <w:rPr>
                <w:rFonts w:ascii="Calibri" w:hAnsi="Calibri"/>
                <w:sz w:val="18"/>
              </w:rPr>
              <w:t>4.9</w:t>
            </w:r>
          </w:p>
        </w:tc>
        <w:tc>
          <w:tcPr>
            <w:tcW w:type="dxa" w:w="1872"/>
            <w:shd w:val="clear" w:color="auto" w:fill="F2F4F7"/>
          </w:tcPr>
          <w:p>
            <w:r/>
            <w:r>
              <w:rPr>
                <w:rFonts w:ascii="Calibri" w:hAnsi="Calibri"/>
                <w:sz w:val="18"/>
              </w:rPr>
              <w:t>4.5–5</w:t>
            </w:r>
          </w:p>
        </w:tc>
        <w:tc>
          <w:tcPr>
            <w:tcW w:type="dxa" w:w="1872"/>
            <w:shd w:val="clear" w:color="auto" w:fill="F2F4F7"/>
          </w:tcPr>
          <w:p>
            <w:r/>
            <w:r>
              <w:rPr>
                <w:rFonts w:ascii="Calibri" w:hAnsi="Calibri"/>
                <w:sz w:val="18"/>
              </w:rPr>
              <w:t>6</w:t>
            </w:r>
          </w:p>
        </w:tc>
      </w:tr>
      <w:tr>
        <w:tc>
          <w:tcPr>
            <w:tcW w:type="dxa" w:w="1872"/>
            <w:shd w:val="clear" w:color="auto" w:fill="FFFFFF"/>
          </w:tcPr>
          <w:p>
            <w:r/>
            <w:r>
              <w:rPr>
                <w:rFonts w:ascii="Calibri" w:hAnsi="Calibri"/>
                <w:sz w:val="18"/>
              </w:rPr>
              <w:t>R4</w:t>
            </w:r>
          </w:p>
        </w:tc>
        <w:tc>
          <w:tcPr>
            <w:tcW w:type="dxa" w:w="1872"/>
            <w:shd w:val="clear" w:color="auto" w:fill="FFFFFF"/>
          </w:tcPr>
          <w:p>
            <w:r/>
            <w:r>
              <w:rPr>
                <w:rFonts w:ascii="Calibri" w:hAnsi="Calibri"/>
                <w:sz w:val="18"/>
              </w:rPr>
              <w:t>Easy to understand how many to pack</w:t>
            </w:r>
          </w:p>
        </w:tc>
        <w:tc>
          <w:tcPr>
            <w:tcW w:type="dxa" w:w="1872"/>
            <w:shd w:val="clear" w:color="auto" w:fill="FFFFFF"/>
          </w:tcPr>
          <w:p>
            <w:r/>
            <w:r>
              <w:rPr>
                <w:rFonts w:ascii="Calibri" w:hAnsi="Calibri"/>
                <w:sz w:val="18"/>
              </w:rPr>
              <w:t>5.0</w:t>
            </w:r>
          </w:p>
        </w:tc>
        <w:tc>
          <w:tcPr>
            <w:tcW w:type="dxa" w:w="1872"/>
            <w:shd w:val="clear" w:color="auto" w:fill="FFFFFF"/>
          </w:tcPr>
          <w:p>
            <w:r/>
            <w:r>
              <w:rPr>
                <w:rFonts w:ascii="Calibri" w:hAnsi="Calibri"/>
                <w:sz w:val="18"/>
              </w:rPr>
              <w:t>5–5</w:t>
            </w:r>
          </w:p>
        </w:tc>
        <w:tc>
          <w:tcPr>
            <w:tcW w:type="dxa" w:w="1872"/>
            <w:shd w:val="clear" w:color="auto" w:fill="FFFFFF"/>
          </w:tcPr>
          <w:p>
            <w:r/>
            <w:r>
              <w:rPr>
                <w:rFonts w:ascii="Calibri" w:hAnsi="Calibri"/>
                <w:sz w:val="18"/>
              </w:rPr>
              <w:t>6</w:t>
            </w:r>
          </w:p>
        </w:tc>
      </w:tr>
      <w:tr>
        <w:tc>
          <w:tcPr>
            <w:tcW w:type="dxa" w:w="1872"/>
            <w:shd w:val="clear" w:color="auto" w:fill="F2F4F7"/>
          </w:tcPr>
          <w:p>
            <w:r/>
            <w:r>
              <w:rPr>
                <w:rFonts w:ascii="Calibri" w:hAnsi="Calibri"/>
                <w:sz w:val="18"/>
              </w:rPr>
              <w:t>R5</w:t>
            </w:r>
          </w:p>
        </w:tc>
        <w:tc>
          <w:tcPr>
            <w:tcW w:type="dxa" w:w="1872"/>
            <w:shd w:val="clear" w:color="auto" w:fill="F2F4F7"/>
          </w:tcPr>
          <w:p>
            <w:r/>
            <w:r>
              <w:rPr>
                <w:rFonts w:ascii="Calibri" w:hAnsi="Calibri"/>
                <w:sz w:val="18"/>
              </w:rPr>
              <w:t>Running count per bin helped keep track</w:t>
            </w:r>
          </w:p>
        </w:tc>
        <w:tc>
          <w:tcPr>
            <w:tcW w:type="dxa" w:w="1872"/>
            <w:shd w:val="clear" w:color="auto" w:fill="F2F4F7"/>
          </w:tcPr>
          <w:p>
            <w:r/>
            <w:r>
              <w:rPr>
                <w:rFonts w:ascii="Calibri" w:hAnsi="Calibri"/>
                <w:sz w:val="18"/>
              </w:rPr>
              <w:t>3.8</w:t>
            </w:r>
          </w:p>
        </w:tc>
        <w:tc>
          <w:tcPr>
            <w:tcW w:type="dxa" w:w="1872"/>
            <w:shd w:val="clear" w:color="auto" w:fill="F2F4F7"/>
          </w:tcPr>
          <w:p>
            <w:r/>
            <w:r>
              <w:rPr>
                <w:rFonts w:ascii="Calibri" w:hAnsi="Calibri"/>
                <w:sz w:val="18"/>
              </w:rPr>
              <w:t>1–5</w:t>
            </w:r>
          </w:p>
        </w:tc>
        <w:tc>
          <w:tcPr>
            <w:tcW w:type="dxa" w:w="1872"/>
            <w:shd w:val="clear" w:color="auto" w:fill="F2F4F7"/>
          </w:tcPr>
          <w:p>
            <w:r/>
            <w:r>
              <w:rPr>
                <w:rFonts w:ascii="Calibri" w:hAnsi="Calibri"/>
                <w:sz w:val="18"/>
              </w:rPr>
              <w:t>6</w:t>
            </w:r>
          </w:p>
        </w:tc>
      </w:tr>
      <w:tr>
        <w:tc>
          <w:tcPr>
            <w:tcW w:type="dxa" w:w="1872"/>
            <w:shd w:val="clear" w:color="auto" w:fill="FFFFFF"/>
          </w:tcPr>
          <w:p>
            <w:r/>
            <w:r>
              <w:rPr>
                <w:rFonts w:ascii="Calibri" w:hAnsi="Calibri"/>
                <w:sz w:val="18"/>
              </w:rPr>
              <w:t>R6</w:t>
            </w:r>
          </w:p>
        </w:tc>
        <w:tc>
          <w:tcPr>
            <w:tcW w:type="dxa" w:w="1872"/>
            <w:shd w:val="clear" w:color="auto" w:fill="FFFFFF"/>
          </w:tcPr>
          <w:p>
            <w:r/>
            <w:r>
              <w:rPr>
                <w:rFonts w:ascii="Calibri" w:hAnsi="Calibri"/>
                <w:sz w:val="18"/>
              </w:rPr>
              <w:t>Warnings / error alerts were easy to understand</w:t>
            </w:r>
          </w:p>
        </w:tc>
        <w:tc>
          <w:tcPr>
            <w:tcW w:type="dxa" w:w="1872"/>
            <w:shd w:val="clear" w:color="auto" w:fill="FFFFFF"/>
          </w:tcPr>
          <w:p>
            <w:r/>
            <w:r>
              <w:rPr>
                <w:rFonts w:ascii="Calibri" w:hAnsi="Calibri"/>
                <w:sz w:val="18"/>
              </w:rPr>
              <w:t>3.3</w:t>
            </w:r>
          </w:p>
        </w:tc>
        <w:tc>
          <w:tcPr>
            <w:tcW w:type="dxa" w:w="1872"/>
            <w:shd w:val="clear" w:color="auto" w:fill="FFFFFF"/>
          </w:tcPr>
          <w:p>
            <w:r/>
            <w:r>
              <w:rPr>
                <w:rFonts w:ascii="Calibri" w:hAnsi="Calibri"/>
                <w:sz w:val="18"/>
              </w:rPr>
              <w:t>2–5</w:t>
            </w:r>
          </w:p>
        </w:tc>
        <w:tc>
          <w:tcPr>
            <w:tcW w:type="dxa" w:w="1872"/>
            <w:shd w:val="clear" w:color="auto" w:fill="FFFFFF"/>
          </w:tcPr>
          <w:p>
            <w:r/>
            <w:r>
              <w:rPr>
                <w:rFonts w:ascii="Calibri" w:hAnsi="Calibri"/>
                <w:sz w:val="18"/>
              </w:rPr>
              <w:t>6</w:t>
            </w:r>
          </w:p>
        </w:tc>
      </w:tr>
      <w:tr>
        <w:tc>
          <w:tcPr>
            <w:tcW w:type="dxa" w:w="1872"/>
            <w:shd w:val="clear" w:color="auto" w:fill="F2F4F7"/>
          </w:tcPr>
          <w:p>
            <w:r/>
            <w:r>
              <w:rPr>
                <w:rFonts w:ascii="Calibri" w:hAnsi="Calibri"/>
                <w:sz w:val="18"/>
              </w:rPr>
              <w:t>R7</w:t>
            </w:r>
          </w:p>
        </w:tc>
        <w:tc>
          <w:tcPr>
            <w:tcW w:type="dxa" w:w="1872"/>
            <w:shd w:val="clear" w:color="auto" w:fill="F2F4F7"/>
          </w:tcPr>
          <w:p>
            <w:r/>
            <w:r>
              <w:rPr>
                <w:rFonts w:ascii="Calibri" w:hAnsi="Calibri"/>
                <w:sz w:val="18"/>
              </w:rPr>
              <w:t>Corrective instructions clearly explained the fix</w:t>
            </w:r>
          </w:p>
        </w:tc>
        <w:tc>
          <w:tcPr>
            <w:tcW w:type="dxa" w:w="1872"/>
            <w:shd w:val="clear" w:color="auto" w:fill="F2F4F7"/>
          </w:tcPr>
          <w:p>
            <w:r/>
            <w:r>
              <w:rPr>
                <w:rFonts w:ascii="Calibri" w:hAnsi="Calibri"/>
                <w:sz w:val="18"/>
              </w:rPr>
              <w:t>3.0</w:t>
            </w:r>
          </w:p>
        </w:tc>
        <w:tc>
          <w:tcPr>
            <w:tcW w:type="dxa" w:w="1872"/>
            <w:shd w:val="clear" w:color="auto" w:fill="F2F4F7"/>
          </w:tcPr>
          <w:p>
            <w:r/>
            <w:r>
              <w:rPr>
                <w:rFonts w:ascii="Calibri" w:hAnsi="Calibri"/>
                <w:sz w:val="18"/>
              </w:rPr>
              <w:t>1–4</w:t>
            </w:r>
          </w:p>
        </w:tc>
        <w:tc>
          <w:tcPr>
            <w:tcW w:type="dxa" w:w="1872"/>
            <w:shd w:val="clear" w:color="auto" w:fill="F2F4F7"/>
          </w:tcPr>
          <w:p>
            <w:r/>
            <w:r>
              <w:rPr>
                <w:rFonts w:ascii="Calibri" w:hAnsi="Calibri"/>
                <w:sz w:val="18"/>
              </w:rPr>
              <w:t>5*</w:t>
            </w:r>
          </w:p>
        </w:tc>
      </w:tr>
      <w:tr>
        <w:tc>
          <w:tcPr>
            <w:tcW w:type="dxa" w:w="1872"/>
            <w:shd w:val="clear" w:color="auto" w:fill="FFFFFF"/>
          </w:tcPr>
          <w:p>
            <w:r/>
            <w:r>
              <w:rPr>
                <w:rFonts w:ascii="Calibri" w:hAnsi="Calibri"/>
                <w:sz w:val="18"/>
              </w:rPr>
              <w:t>R8</w:t>
            </w:r>
          </w:p>
        </w:tc>
        <w:tc>
          <w:tcPr>
            <w:tcW w:type="dxa" w:w="1872"/>
            <w:shd w:val="clear" w:color="auto" w:fill="FFFFFF"/>
          </w:tcPr>
          <w:p>
            <w:r/>
            <w:r>
              <w:rPr>
                <w:rFonts w:ascii="Calibri" w:hAnsi="Calibri"/>
                <w:sz w:val="18"/>
              </w:rPr>
              <w:t>Overall trust that the system would catch mistakes</w:t>
            </w:r>
          </w:p>
        </w:tc>
        <w:tc>
          <w:tcPr>
            <w:tcW w:type="dxa" w:w="1872"/>
            <w:shd w:val="clear" w:color="auto" w:fill="FFFFFF"/>
          </w:tcPr>
          <w:p>
            <w:r/>
            <w:r>
              <w:rPr>
                <w:rFonts w:ascii="Calibri" w:hAnsi="Calibri"/>
                <w:sz w:val="18"/>
              </w:rPr>
              <w:t>4.0</w:t>
            </w:r>
          </w:p>
        </w:tc>
        <w:tc>
          <w:tcPr>
            <w:tcW w:type="dxa" w:w="1872"/>
            <w:shd w:val="clear" w:color="auto" w:fill="FFFFFF"/>
          </w:tcPr>
          <w:p>
            <w:r/>
            <w:r>
              <w:rPr>
                <w:rFonts w:ascii="Calibri" w:hAnsi="Calibri"/>
                <w:sz w:val="18"/>
              </w:rPr>
              <w:t>3–5</w:t>
            </w:r>
          </w:p>
        </w:tc>
        <w:tc>
          <w:tcPr>
            <w:tcW w:type="dxa" w:w="1872"/>
            <w:shd w:val="clear" w:color="auto" w:fill="FFFFFF"/>
          </w:tcPr>
          <w:p>
            <w:r/>
            <w:r>
              <w:rPr>
                <w:rFonts w:ascii="Calibri" w:hAnsi="Calibri"/>
                <w:sz w:val="18"/>
              </w:rPr>
              <w:t>6</w:t>
            </w:r>
          </w:p>
        </w:tc>
      </w:tr>
      <w:tr>
        <w:tc>
          <w:tcPr>
            <w:tcW w:type="dxa" w:w="1872"/>
            <w:shd w:val="clear" w:color="auto" w:fill="F2F4F7"/>
          </w:tcPr>
          <w:p>
            <w:r/>
            <w:r>
              <w:rPr>
                <w:rFonts w:ascii="Calibri" w:hAnsi="Calibri"/>
                <w:sz w:val="18"/>
              </w:rPr>
              <w:t>R9</w:t>
            </w:r>
          </w:p>
        </w:tc>
        <w:tc>
          <w:tcPr>
            <w:tcW w:type="dxa" w:w="1872"/>
            <w:shd w:val="clear" w:color="auto" w:fill="F2F4F7"/>
          </w:tcPr>
          <w:p>
            <w:r/>
            <w:r>
              <w:rPr>
                <w:rFonts w:ascii="Calibri" w:hAnsi="Calibri"/>
                <w:sz w:val="18"/>
              </w:rPr>
              <w:t>Overall, the system made kitting easier than without it</w:t>
            </w:r>
          </w:p>
        </w:tc>
        <w:tc>
          <w:tcPr>
            <w:tcW w:type="dxa" w:w="1872"/>
            <w:shd w:val="clear" w:color="auto" w:fill="F2F4F7"/>
          </w:tcPr>
          <w:p>
            <w:r/>
            <w:r>
              <w:rPr>
                <w:rFonts w:ascii="Calibri" w:hAnsi="Calibri"/>
                <w:sz w:val="18"/>
              </w:rPr>
              <w:t>4.3</w:t>
            </w:r>
          </w:p>
        </w:tc>
        <w:tc>
          <w:tcPr>
            <w:tcW w:type="dxa" w:w="1872"/>
            <w:shd w:val="clear" w:color="auto" w:fill="F2F4F7"/>
          </w:tcPr>
          <w:p>
            <w:r/>
            <w:r>
              <w:rPr>
                <w:rFonts w:ascii="Calibri" w:hAnsi="Calibri"/>
                <w:sz w:val="18"/>
              </w:rPr>
              <w:t>2–5</w:t>
            </w:r>
          </w:p>
        </w:tc>
        <w:tc>
          <w:tcPr>
            <w:tcW w:type="dxa" w:w="1872"/>
            <w:shd w:val="clear" w:color="auto" w:fill="F2F4F7"/>
          </w:tcPr>
          <w:p>
            <w:r/>
            <w:r>
              <w:rPr>
                <w:rFonts w:ascii="Calibri" w:hAnsi="Calibri"/>
                <w:sz w:val="18"/>
              </w:rPr>
              <w:t>6</w:t>
            </w:r>
          </w:p>
        </w:tc>
      </w:tr>
    </w:tbl>
    <w:p/>
    <w:p>
      <w:pPr>
        <w:spacing w:line="276" w:lineRule="auto" w:after="120"/>
      </w:pPr>
      <w:r>
        <w:rPr>
          <w:rFonts w:ascii="Calibri" w:hAnsi="Calibri"/>
          <w:sz w:val="22"/>
        </w:rPr>
        <w:t>*One operator did not trigger any errors during live runs; R7 was not scored (n = 5).</w:t>
      </w:r>
    </w:p>
    <w:p>
      <w:pPr>
        <w:spacing w:line="276" w:lineRule="auto" w:after="120"/>
      </w:pPr>
      <w:r>
        <w:rPr>
          <w:rFonts w:ascii="Calibri" w:hAnsi="Calibri"/>
          <w:sz w:val="22"/>
        </w:rPr>
        <w:t>The results reveal a clear pattern. Operators rated the system's core guidance — understanding what to pack (R3: 4.9) and how many (R4: 5.0) — at or near ceiling, and cited the spatial bin grid as the reason. The system was also rated as making kitting easier than the paper baseline (R9: 4.3), and operators expressed moderate trust in its ability to catch mistakes (R8: 4.0).</w:t>
      </w:r>
    </w:p>
    <w:p>
      <w:pPr>
        <w:spacing w:line="276" w:lineRule="auto" w:after="120"/>
      </w:pPr>
      <w:r>
        <w:rPr>
          <w:rFonts w:ascii="Calibri" w:hAnsi="Calibri"/>
          <w:sz w:val="22"/>
        </w:rPr>
        <w:t>The weakest dimensions concerned the communication of exceptions. On-screen wording clarity (R1: 3.3), alert legibility (R6: 3.3), and corrective instruction completeness (R7: 3.0) all scored below the midpoint for several operators. The open-ended feedback localised these scores to the following issues:</w:t>
      </w:r>
    </w:p>
    <w:p>
      <w:pPr>
        <w:pStyle w:val="ListNumber"/>
      </w:pPr>
      <w:r>
        <w:rPr>
          <w:rFonts w:ascii="Calibri" w:hAnsi="Calibri"/>
          <w:sz w:val="22"/>
        </w:rPr>
        <w:t>Small font size on alerts — the single most frequently raised complaint, reported independently by four of six operators.</w:t>
      </w:r>
    </w:p>
    <w:p>
      <w:pPr>
        <w:pStyle w:val="ListNumber"/>
      </w:pPr>
      <w:r>
        <w:rPr>
          <w:rFonts w:ascii="Calibri" w:hAnsi="Calibri"/>
          <w:sz w:val="22"/>
        </w:rPr>
        <w:t>Incomplete corrective instructions — the wrong-bin return message did not state which bin the item belonged to or how many units needed to be returned.</w:t>
      </w:r>
    </w:p>
    <w:p>
      <w:pPr>
        <w:pStyle w:val="ListNumber"/>
      </w:pPr>
      <w:r>
        <w:rPr>
          <w:rFonts w:ascii="Calibri" w:hAnsi="Calibri"/>
          <w:sz w:val="22"/>
        </w:rPr>
        <w:t>Dual warning banners at the top and bottom of the display were visually disorienting, with conflicting colours.</w:t>
      </w:r>
    </w:p>
    <w:p>
      <w:pPr>
        <w:pStyle w:val="ListNumber"/>
      </w:pPr>
      <w:r>
        <w:rPr>
          <w:rFonts w:ascii="Calibri" w:hAnsi="Calibri"/>
          <w:sz w:val="22"/>
        </w:rPr>
        <w:t>The on-screen "Complete Set" confirmation button occasionally failed to register touch inputs.</w:t>
      </w:r>
    </w:p>
    <w:p>
      <w:pPr>
        <w:jc w:val="center"/>
      </w:pPr>
      <w:r>
        <w:rPr>
          <w:i/>
          <w:color w:val="595959"/>
          <w:sz w:val="20"/>
        </w:rPr>
        <w:t>[Figure 5.2: Operator rating distribution across the nine usability dimensions, showing means and ranges]</w:t>
      </w:r>
    </w:p>
    <w:p>
      <w:pPr>
        <w:pStyle w:val="Heading2"/>
      </w:pPr>
      <w:r>
        <w:rPr>
          <w:rFonts w:ascii="Calibri" w:hAnsi="Calibri"/>
          <w:color w:val="2E75B6"/>
        </w:rPr>
        <w:t>5.2 User-Facing HMI Iteration</w:t>
      </w:r>
    </w:p>
    <w:p>
      <w:pPr>
        <w:spacing w:line="276" w:lineRule="auto" w:after="120"/>
      </w:pPr>
      <w:r>
        <w:rPr>
          <w:rFonts w:ascii="Calibri" w:hAnsi="Calibri"/>
          <w:sz w:val="22"/>
        </w:rPr>
        <w:t>The qualitative and quantitative findings from the usability study directly drove a targeted iteration of the frontend HMI. The changes were prioritised by frequency of operator complaint and by their mapping to the lowest-rated dimensions.</w:t>
      </w:r>
    </w:p>
    <w:p>
      <w:r>
        <w:rPr>
          <w:b/>
          <w:color w:val="000000"/>
          <w:sz w:val="20"/>
        </w:rPr>
        <w:t>Table 23: HMI Iteration Changes and Rationale</w:t>
      </w:r>
    </w:p>
    <w:tbl>
      <w:tblPr>
        <w:tblStyle w:val="TableGrid"/>
        <w:tblW w:type="auto" w:w="0"/>
        <w:jc w:val="center"/>
        <w:tblLook w:firstColumn="1" w:firstRow="1" w:lastColumn="0" w:lastRow="0" w:noHBand="0" w:noVBand="1" w:val="04A0"/>
      </w:tblPr>
      <w:tblGrid>
        <w:gridCol w:w="3120"/>
        <w:gridCol w:w="3120"/>
        <w:gridCol w:w="3120"/>
      </w:tblGrid>
      <w:tr>
        <w:trPr>
          <w:tblHeader/>
        </w:trPr>
        <w:tc>
          <w:tcPr>
            <w:tcW w:type="dxa" w:w="3120"/>
            <w:shd w:val="clear" w:color="auto" w:fill="1F4E79"/>
          </w:tcPr>
          <w:p>
            <w:r/>
            <w:r>
              <w:rPr>
                <w:rFonts w:ascii="Calibri" w:hAnsi="Calibri"/>
                <w:b/>
                <w:color w:val="FFFFFF"/>
                <w:sz w:val="18"/>
              </w:rPr>
              <w:t>Change</w:t>
            </w:r>
          </w:p>
        </w:tc>
        <w:tc>
          <w:tcPr>
            <w:tcW w:type="dxa" w:w="3120"/>
            <w:shd w:val="clear" w:color="auto" w:fill="1F4E79"/>
          </w:tcPr>
          <w:p>
            <w:r/>
            <w:r>
              <w:rPr>
                <w:rFonts w:ascii="Calibri" w:hAnsi="Calibri"/>
                <w:b/>
                <w:color w:val="FFFFFF"/>
                <w:sz w:val="18"/>
              </w:rPr>
              <w:t>Rationale</w:t>
            </w:r>
          </w:p>
        </w:tc>
        <w:tc>
          <w:tcPr>
            <w:tcW w:type="dxa" w:w="3120"/>
            <w:shd w:val="clear" w:color="auto" w:fill="1F4E79"/>
          </w:tcPr>
          <w:p>
            <w:r/>
            <w:r>
              <w:rPr>
                <w:rFonts w:ascii="Calibri" w:hAnsi="Calibri"/>
                <w:b/>
                <w:color w:val="FFFFFF"/>
                <w:sz w:val="18"/>
              </w:rPr>
              <w:t>Dimension Addressed</w:t>
            </w:r>
          </w:p>
        </w:tc>
      </w:tr>
      <w:tr>
        <w:tc>
          <w:tcPr>
            <w:tcW w:type="dxa" w:w="3120"/>
            <w:shd w:val="clear" w:color="auto" w:fill="F2F4F7"/>
          </w:tcPr>
          <w:p>
            <w:r/>
            <w:r>
              <w:rPr>
                <w:rFonts w:ascii="Calibri" w:hAnsi="Calibri"/>
                <w:sz w:val="18"/>
              </w:rPr>
              <w:t>Enlarged alert typography (+50%)</w:t>
            </w:r>
          </w:p>
        </w:tc>
        <w:tc>
          <w:tcPr>
            <w:tcW w:type="dxa" w:w="3120"/>
            <w:shd w:val="clear" w:color="auto" w:fill="F2F4F7"/>
          </w:tcPr>
          <w:p>
            <w:r/>
            <w:r>
              <w:rPr>
                <w:rFonts w:ascii="Calibri" w:hAnsi="Calibri"/>
                <w:sz w:val="18"/>
              </w:rPr>
              <w:t>Most frequently raised complaint (4/6 operators)</w:t>
            </w:r>
          </w:p>
        </w:tc>
        <w:tc>
          <w:tcPr>
            <w:tcW w:type="dxa" w:w="3120"/>
            <w:shd w:val="clear" w:color="auto" w:fill="F2F4F7"/>
          </w:tcPr>
          <w:p>
            <w:r/>
            <w:r>
              <w:rPr>
                <w:rFonts w:ascii="Calibri" w:hAnsi="Calibri"/>
                <w:sz w:val="18"/>
              </w:rPr>
              <w:t>R1, R6</w:t>
            </w:r>
          </w:p>
        </w:tc>
      </w:tr>
      <w:tr>
        <w:tc>
          <w:tcPr>
            <w:tcW w:type="dxa" w:w="3120"/>
            <w:shd w:val="clear" w:color="auto" w:fill="FFFFFF"/>
          </w:tcPr>
          <w:p>
            <w:r/>
            <w:r>
              <w:rPr>
                <w:rFonts w:ascii="Calibri" w:hAnsi="Calibri"/>
                <w:sz w:val="18"/>
              </w:rPr>
              <w:t>Unified single top banner (red/white)</w:t>
            </w:r>
          </w:p>
        </w:tc>
        <w:tc>
          <w:tcPr>
            <w:tcW w:type="dxa" w:w="3120"/>
            <w:shd w:val="clear" w:color="auto" w:fill="FFFFFF"/>
          </w:tcPr>
          <w:p>
            <w:r/>
            <w:r>
              <w:rPr>
                <w:rFonts w:ascii="Calibri" w:hAnsi="Calibri"/>
                <w:sz w:val="18"/>
              </w:rPr>
              <w:t>Replaced confusing dual top/bottom banners</w:t>
            </w:r>
          </w:p>
        </w:tc>
        <w:tc>
          <w:tcPr>
            <w:tcW w:type="dxa" w:w="3120"/>
            <w:shd w:val="clear" w:color="auto" w:fill="FFFFFF"/>
          </w:tcPr>
          <w:p>
            <w:r/>
            <w:r>
              <w:rPr>
                <w:rFonts w:ascii="Calibri" w:hAnsi="Calibri"/>
                <w:sz w:val="18"/>
              </w:rPr>
              <w:t>R6</w:t>
            </w:r>
          </w:p>
        </w:tc>
      </w:tr>
      <w:tr>
        <w:tc>
          <w:tcPr>
            <w:tcW w:type="dxa" w:w="3120"/>
            <w:shd w:val="clear" w:color="auto" w:fill="F2F4F7"/>
          </w:tcPr>
          <w:p>
            <w:r/>
            <w:r>
              <w:rPr>
                <w:rFonts w:ascii="Calibri" w:hAnsi="Calibri"/>
                <w:sz w:val="18"/>
              </w:rPr>
              <w:t>Explicit corrective prompts</w:t>
              <w:br/>
              <w:t>(e.g. "WRONG BIN: Return 2 units to Bin 1_0")</w:t>
            </w:r>
          </w:p>
        </w:tc>
        <w:tc>
          <w:tcPr>
            <w:tcW w:type="dxa" w:w="3120"/>
            <w:shd w:val="clear" w:color="auto" w:fill="F2F4F7"/>
          </w:tcPr>
          <w:p>
            <w:r/>
            <w:r>
              <w:rPr>
                <w:rFonts w:ascii="Calibri" w:hAnsi="Calibri"/>
                <w:sz w:val="18"/>
              </w:rPr>
              <w:t>Lowest-rated dimension (R7: 3.0)</w:t>
            </w:r>
          </w:p>
        </w:tc>
        <w:tc>
          <w:tcPr>
            <w:tcW w:type="dxa" w:w="3120"/>
            <w:shd w:val="clear" w:color="auto" w:fill="F2F4F7"/>
          </w:tcPr>
          <w:p>
            <w:r/>
            <w:r>
              <w:rPr>
                <w:rFonts w:ascii="Calibri" w:hAnsi="Calibri"/>
                <w:sz w:val="18"/>
              </w:rPr>
              <w:t>R7</w:t>
            </w:r>
          </w:p>
        </w:tc>
      </w:tr>
      <w:tr>
        <w:tc>
          <w:tcPr>
            <w:tcW w:type="dxa" w:w="3120"/>
            <w:shd w:val="clear" w:color="auto" w:fill="FFFFFF"/>
          </w:tcPr>
          <w:p>
            <w:r/>
            <w:r>
              <w:rPr>
                <w:rFonts w:ascii="Calibri" w:hAnsi="Calibri"/>
                <w:sz w:val="18"/>
              </w:rPr>
              <w:t>Automatic consolidation via load cell weight change</w:t>
            </w:r>
          </w:p>
        </w:tc>
        <w:tc>
          <w:tcPr>
            <w:tcW w:type="dxa" w:w="3120"/>
            <w:shd w:val="clear" w:color="auto" w:fill="FFFFFF"/>
          </w:tcPr>
          <w:p>
            <w:r/>
            <w:r>
              <w:rPr>
                <w:rFonts w:ascii="Calibri" w:hAnsi="Calibri"/>
                <w:sz w:val="18"/>
              </w:rPr>
              <w:t>Eliminated unreliable touchscreen taps</w:t>
            </w:r>
          </w:p>
        </w:tc>
        <w:tc>
          <w:tcPr>
            <w:tcW w:type="dxa" w:w="3120"/>
            <w:shd w:val="clear" w:color="auto" w:fill="FFFFFF"/>
          </w:tcPr>
          <w:p>
            <w:r/>
            <w:r>
              <w:rPr>
                <w:rFonts w:ascii="Calibri" w:hAnsi="Calibri"/>
                <w:sz w:val="18"/>
              </w:rPr>
              <w:t>R5</w:t>
            </w:r>
          </w:p>
        </w:tc>
      </w:tr>
      <w:tr>
        <w:tc>
          <w:tcPr>
            <w:tcW w:type="dxa" w:w="3120"/>
            <w:shd w:val="clear" w:color="auto" w:fill="F2F4F7"/>
          </w:tcPr>
          <w:p>
            <w:r/>
            <w:r>
              <w:rPr>
                <w:rFonts w:ascii="Calibri" w:hAnsi="Calibri"/>
                <w:sz w:val="18"/>
              </w:rPr>
              <w:t>1-indexed bin labels (Bins 1–9)</w:t>
            </w:r>
          </w:p>
        </w:tc>
        <w:tc>
          <w:tcPr>
            <w:tcW w:type="dxa" w:w="3120"/>
            <w:shd w:val="clear" w:color="auto" w:fill="F2F4F7"/>
          </w:tcPr>
          <w:p>
            <w:r/>
            <w:r>
              <w:rPr>
                <w:rFonts w:ascii="Calibri" w:hAnsi="Calibri"/>
                <w:sz w:val="18"/>
              </w:rPr>
              <w:t>Matched operator mental model</w:t>
            </w:r>
          </w:p>
        </w:tc>
        <w:tc>
          <w:tcPr>
            <w:tcW w:type="dxa" w:w="3120"/>
            <w:shd w:val="clear" w:color="auto" w:fill="F2F4F7"/>
          </w:tcPr>
          <w:p>
            <w:r/>
            <w:r>
              <w:rPr>
                <w:rFonts w:ascii="Calibri" w:hAnsi="Calibri"/>
                <w:sz w:val="18"/>
              </w:rPr>
              <w:t>R1, R2</w:t>
            </w:r>
          </w:p>
        </w:tc>
      </w:tr>
      <w:tr>
        <w:tc>
          <w:tcPr>
            <w:tcW w:type="dxa" w:w="3120"/>
            <w:shd w:val="clear" w:color="auto" w:fill="FFFFFF"/>
          </w:tcPr>
          <w:p>
            <w:r/>
            <w:r>
              <w:rPr>
                <w:rFonts w:ascii="Calibri" w:hAnsi="Calibri"/>
                <w:sz w:val="18"/>
              </w:rPr>
              <w:t>Sets-remaining progress bar</w:t>
            </w:r>
          </w:p>
        </w:tc>
        <w:tc>
          <w:tcPr>
            <w:tcW w:type="dxa" w:w="3120"/>
            <w:shd w:val="clear" w:color="auto" w:fill="FFFFFF"/>
          </w:tcPr>
          <w:p>
            <w:r/>
            <w:r>
              <w:rPr>
                <w:rFonts w:ascii="Calibri" w:hAnsi="Calibri"/>
                <w:sz w:val="18"/>
              </w:rPr>
              <w:t>Unprompted request from two operators</w:t>
            </w:r>
          </w:p>
        </w:tc>
        <w:tc>
          <w:tcPr>
            <w:tcW w:type="dxa" w:w="3120"/>
            <w:shd w:val="clear" w:color="auto" w:fill="FFFFFF"/>
          </w:tcPr>
          <w:p>
            <w:r/>
            <w:r>
              <w:rPr>
                <w:rFonts w:ascii="Calibri" w:hAnsi="Calibri"/>
                <w:sz w:val="18"/>
              </w:rPr>
              <w:t>R5</w:t>
            </w:r>
          </w:p>
        </w:tc>
      </w:tr>
    </w:tbl>
    <w:p/>
    <w:p>
      <w:pPr>
        <w:jc w:val="center"/>
      </w:pPr>
      <w:r>
        <w:rPr>
          <w:i/>
          <w:color w:val="595959"/>
          <w:sz w:val="20"/>
        </w:rPr>
        <w:t>[Figure 5.3: HMI before and after user-driven iteration — (a) pre-iteration: small font, dual banners, 0-indexed labels; (b) post-iteration: enlarged single banner, explicit corrective instruction, 1-indexed labels, progress indicator]</w:t>
      </w:r>
    </w:p>
    <w:p>
      <w:pPr>
        <w:pStyle w:val="Heading2"/>
      </w:pPr>
      <w:r>
        <w:rPr>
          <w:rFonts w:ascii="Calibri" w:hAnsi="Calibri"/>
          <w:color w:val="2E75B6"/>
        </w:rPr>
        <w:t>5.3 Requirements Validation</w:t>
      </w:r>
    </w:p>
    <w:p>
      <w:pPr>
        <w:spacing w:line="276" w:lineRule="auto" w:after="120"/>
      </w:pPr>
      <w:r>
        <w:rPr>
          <w:rFonts w:ascii="Calibri" w:hAnsi="Calibri"/>
          <w:sz w:val="22"/>
        </w:rPr>
        <w:t>To formally evaluate system compliance, the integrated prototype was validated against each functional requirement defined in Chapter 2. Requirements marked "Met" have been verified through the testing evidence documented in Chapters 4 and 5. Requirements marked "Partially Met" identify specific boundary conditions where the current prototype does not fully satisfy the requirement, with the nature and extent of the gap documented.</w:t>
      </w:r>
    </w:p>
    <w:p>
      <w:r>
        <w:rPr>
          <w:b/>
          <w:color w:val="000000"/>
          <w:sz w:val="20"/>
        </w:rPr>
        <w:t>Table 24: Requirements Validation Matrix</w:t>
      </w:r>
    </w:p>
    <w:tbl>
      <w:tblPr>
        <w:tblStyle w:val="TableGrid"/>
        <w:tblW w:type="auto" w:w="0"/>
        <w:jc w:val="center"/>
        <w:tblLook w:firstColumn="1" w:firstRow="1" w:lastColumn="0" w:lastRow="0" w:noHBand="0" w:noVBand="1" w:val="04A0"/>
      </w:tblPr>
      <w:tblGrid>
        <w:gridCol w:w="2340"/>
        <w:gridCol w:w="2340"/>
        <w:gridCol w:w="2340"/>
        <w:gridCol w:w="2340"/>
      </w:tblGrid>
      <w:tr>
        <w:trPr>
          <w:tblHeader/>
        </w:trPr>
        <w:tc>
          <w:tcPr>
            <w:tcW w:type="dxa" w:w="2340"/>
            <w:shd w:val="clear" w:color="auto" w:fill="1F4E79"/>
          </w:tcPr>
          <w:p>
            <w:r/>
            <w:r>
              <w:rPr>
                <w:rFonts w:ascii="Calibri" w:hAnsi="Calibri"/>
                <w:b/>
                <w:color w:val="FFFFFF"/>
                <w:sz w:val="18"/>
              </w:rPr>
              <w:t>ID</w:t>
            </w:r>
          </w:p>
        </w:tc>
        <w:tc>
          <w:tcPr>
            <w:tcW w:type="dxa" w:w="2340"/>
            <w:shd w:val="clear" w:color="auto" w:fill="1F4E79"/>
          </w:tcPr>
          <w:p>
            <w:r/>
            <w:r>
              <w:rPr>
                <w:rFonts w:ascii="Calibri" w:hAnsi="Calibri"/>
                <w:b/>
                <w:color w:val="FFFFFF"/>
                <w:sz w:val="18"/>
              </w:rPr>
              <w:t>Requirement</w:t>
            </w:r>
          </w:p>
        </w:tc>
        <w:tc>
          <w:tcPr>
            <w:tcW w:type="dxa" w:w="2340"/>
            <w:shd w:val="clear" w:color="auto" w:fill="1F4E79"/>
          </w:tcPr>
          <w:p>
            <w:r/>
            <w:r>
              <w:rPr>
                <w:rFonts w:ascii="Calibri" w:hAnsi="Calibri"/>
                <w:b/>
                <w:color w:val="FFFFFF"/>
                <w:sz w:val="18"/>
              </w:rPr>
              <w:t>Status</w:t>
            </w:r>
          </w:p>
        </w:tc>
        <w:tc>
          <w:tcPr>
            <w:tcW w:type="dxa" w:w="2340"/>
            <w:shd w:val="clear" w:color="auto" w:fill="1F4E79"/>
          </w:tcPr>
          <w:p>
            <w:r/>
            <w:r>
              <w:rPr>
                <w:rFonts w:ascii="Calibri" w:hAnsi="Calibri"/>
                <w:b/>
                <w:color w:val="FFFFFF"/>
                <w:sz w:val="18"/>
              </w:rPr>
              <w:t>Verification Evidence</w:t>
            </w:r>
          </w:p>
        </w:tc>
      </w:tr>
      <w:tr>
        <w:tc>
          <w:tcPr>
            <w:tcW w:type="dxa" w:w="2340"/>
            <w:shd w:val="clear" w:color="auto" w:fill="F2F4F7"/>
          </w:tcPr>
          <w:p>
            <w:r/>
            <w:r>
              <w:rPr>
                <w:rFonts w:ascii="Calibri" w:hAnsi="Calibri"/>
                <w:sz w:val="18"/>
              </w:rPr>
              <w:t>FR-01</w:t>
            </w:r>
          </w:p>
        </w:tc>
        <w:tc>
          <w:tcPr>
            <w:tcW w:type="dxa" w:w="2340"/>
            <w:shd w:val="clear" w:color="auto" w:fill="F2F4F7"/>
          </w:tcPr>
          <w:p>
            <w:r/>
            <w:r>
              <w:rPr>
                <w:rFonts w:ascii="Calibri" w:hAnsi="Calibri"/>
                <w:sz w:val="18"/>
              </w:rPr>
              <w:t>Component Identification</w:t>
            </w:r>
          </w:p>
        </w:tc>
        <w:tc>
          <w:tcPr>
            <w:tcW w:type="dxa" w:w="2340"/>
            <w:shd w:val="clear" w:color="auto" w:fill="F2F4F7"/>
          </w:tcPr>
          <w:p>
            <w:r/>
            <w:r>
              <w:rPr>
                <w:rFonts w:ascii="Calibri" w:hAnsi="Calibri"/>
                <w:sz w:val="18"/>
              </w:rPr>
              <w:t>Met</w:t>
            </w:r>
          </w:p>
        </w:tc>
        <w:tc>
          <w:tcPr>
            <w:tcW w:type="dxa" w:w="2340"/>
            <w:shd w:val="clear" w:color="auto" w:fill="F2F4F7"/>
          </w:tcPr>
          <w:p>
            <w:r/>
            <w:r>
              <w:rPr>
                <w:rFonts w:ascii="Calibri" w:hAnsi="Calibri"/>
                <w:sz w:val="18"/>
              </w:rPr>
              <w:t>YOLOv8-OBB localises bin boundaries; inventory engine maps weight changes to active SKU specifications via bin-position identity.</w:t>
            </w:r>
          </w:p>
        </w:tc>
      </w:tr>
      <w:tr>
        <w:tc>
          <w:tcPr>
            <w:tcW w:type="dxa" w:w="2340"/>
            <w:shd w:val="clear" w:color="auto" w:fill="FFFFFF"/>
          </w:tcPr>
          <w:p>
            <w:r/>
            <w:r>
              <w:rPr>
                <w:rFonts w:ascii="Calibri" w:hAnsi="Calibri"/>
                <w:sz w:val="18"/>
              </w:rPr>
              <w:t>FR-02</w:t>
            </w:r>
          </w:p>
        </w:tc>
        <w:tc>
          <w:tcPr>
            <w:tcW w:type="dxa" w:w="2340"/>
            <w:shd w:val="clear" w:color="auto" w:fill="FFFFFF"/>
          </w:tcPr>
          <w:p>
            <w:r/>
            <w:r>
              <w:rPr>
                <w:rFonts w:ascii="Calibri" w:hAnsi="Calibri"/>
                <w:sz w:val="18"/>
              </w:rPr>
              <w:t>Wrong Part Detection</w:t>
            </w:r>
          </w:p>
        </w:tc>
        <w:tc>
          <w:tcPr>
            <w:tcW w:type="dxa" w:w="2340"/>
            <w:shd w:val="clear" w:color="auto" w:fill="FFFFFF"/>
          </w:tcPr>
          <w:p>
            <w:r/>
            <w:r>
              <w:rPr>
                <w:rFonts w:ascii="Calibri" w:hAnsi="Calibri"/>
                <w:sz w:val="18"/>
              </w:rPr>
              <w:t>Met</w:t>
            </w:r>
          </w:p>
        </w:tc>
        <w:tc>
          <w:tcPr>
            <w:tcW w:type="dxa" w:w="2340"/>
            <w:shd w:val="clear" w:color="auto" w:fill="FFFFFF"/>
          </w:tcPr>
          <w:p>
            <w:r/>
            <w:r>
              <w:rPr>
                <w:rFonts w:ascii="Calibri" w:hAnsi="Calibri"/>
                <w:sz w:val="18"/>
              </w:rPr>
              <w:t>FSM immediately triggers a wrong-bin alert when hand tracking registers access to an inactive or completed bin.</w:t>
            </w:r>
          </w:p>
        </w:tc>
      </w:tr>
      <w:tr>
        <w:tc>
          <w:tcPr>
            <w:tcW w:type="dxa" w:w="2340"/>
            <w:shd w:val="clear" w:color="auto" w:fill="F2F4F7"/>
          </w:tcPr>
          <w:p>
            <w:r/>
            <w:r>
              <w:rPr>
                <w:rFonts w:ascii="Calibri" w:hAnsi="Calibri"/>
                <w:sz w:val="18"/>
              </w:rPr>
              <w:t>FR-03</w:t>
            </w:r>
          </w:p>
        </w:tc>
        <w:tc>
          <w:tcPr>
            <w:tcW w:type="dxa" w:w="2340"/>
            <w:shd w:val="clear" w:color="auto" w:fill="F2F4F7"/>
          </w:tcPr>
          <w:p>
            <w:r/>
            <w:r>
              <w:rPr>
                <w:rFonts w:ascii="Calibri" w:hAnsi="Calibri"/>
                <w:sz w:val="18"/>
              </w:rPr>
              <w:t>Missing Part Detection</w:t>
            </w:r>
          </w:p>
        </w:tc>
        <w:tc>
          <w:tcPr>
            <w:tcW w:type="dxa" w:w="2340"/>
            <w:shd w:val="clear" w:color="auto" w:fill="F2F4F7"/>
          </w:tcPr>
          <w:p>
            <w:r/>
            <w:r>
              <w:rPr>
                <w:rFonts w:ascii="Calibri" w:hAnsi="Calibri"/>
                <w:sz w:val="18"/>
              </w:rPr>
              <w:t>Met</w:t>
            </w:r>
          </w:p>
        </w:tc>
        <w:tc>
          <w:tcPr>
            <w:tcW w:type="dxa" w:w="2340"/>
            <w:shd w:val="clear" w:color="auto" w:fill="F2F4F7"/>
          </w:tcPr>
          <w:p>
            <w:r/>
            <w:r>
              <w:rPr>
                <w:rFonts w:ascii="Calibri" w:hAnsi="Calibri"/>
                <w:sz w:val="18"/>
              </w:rPr>
              <w:t>FSM prevents kit completion and blocks KIT_COMPLETE if any required SKU remains below its target count.</w:t>
            </w:r>
          </w:p>
        </w:tc>
      </w:tr>
      <w:tr>
        <w:tc>
          <w:tcPr>
            <w:tcW w:type="dxa" w:w="2340"/>
            <w:shd w:val="clear" w:color="auto" w:fill="FFFFFF"/>
          </w:tcPr>
          <w:p>
            <w:r/>
            <w:r>
              <w:rPr>
                <w:rFonts w:ascii="Calibri" w:hAnsi="Calibri"/>
                <w:sz w:val="18"/>
              </w:rPr>
              <w:t>FR-04</w:t>
            </w:r>
          </w:p>
        </w:tc>
        <w:tc>
          <w:tcPr>
            <w:tcW w:type="dxa" w:w="2340"/>
            <w:shd w:val="clear" w:color="auto" w:fill="FFFFFF"/>
          </w:tcPr>
          <w:p>
            <w:r/>
            <w:r>
              <w:rPr>
                <w:rFonts w:ascii="Calibri" w:hAnsi="Calibri"/>
                <w:sz w:val="18"/>
              </w:rPr>
              <w:t>Quantity Verification</w:t>
            </w:r>
          </w:p>
        </w:tc>
        <w:tc>
          <w:tcPr>
            <w:tcW w:type="dxa" w:w="2340"/>
            <w:shd w:val="clear" w:color="auto" w:fill="FFFFFF"/>
          </w:tcPr>
          <w:p>
            <w:r/>
            <w:r>
              <w:rPr>
                <w:rFonts w:ascii="Calibri" w:hAnsi="Calibri"/>
                <w:sz w:val="18"/>
              </w:rPr>
              <w:t>Partially Met</w:t>
            </w:r>
          </w:p>
        </w:tc>
        <w:tc>
          <w:tcPr>
            <w:tcW w:type="dxa" w:w="2340"/>
            <w:shd w:val="clear" w:color="auto" w:fill="FFFFFF"/>
          </w:tcPr>
          <w:p>
            <w:r/>
            <w:r>
              <w:rPr>
                <w:rFonts w:ascii="Calibri" w:hAnsi="Calibri"/>
                <w:sz w:val="18"/>
              </w:rPr>
              <w:t>Met for components &gt;5 g. For light items (&lt;3.5 g) on 5 kg / 10 kg summed platforms, off-centre sensitivity and noise floors occasionally skip counts. Mitigated by assigning light items to 1 kg platforms (σ = 0.028 g).</w:t>
            </w:r>
          </w:p>
        </w:tc>
      </w:tr>
      <w:tr>
        <w:tc>
          <w:tcPr>
            <w:tcW w:type="dxa" w:w="2340"/>
            <w:shd w:val="clear" w:color="auto" w:fill="F2F4F7"/>
          </w:tcPr>
          <w:p>
            <w:r/>
            <w:r>
              <w:rPr>
                <w:rFonts w:ascii="Calibri" w:hAnsi="Calibri"/>
                <w:sz w:val="18"/>
              </w:rPr>
              <w:t>FR-05</w:t>
            </w:r>
          </w:p>
        </w:tc>
        <w:tc>
          <w:tcPr>
            <w:tcW w:type="dxa" w:w="2340"/>
            <w:shd w:val="clear" w:color="auto" w:fill="F2F4F7"/>
          </w:tcPr>
          <w:p>
            <w:r/>
            <w:r>
              <w:rPr>
                <w:rFonts w:ascii="Calibri" w:hAnsi="Calibri"/>
                <w:sz w:val="18"/>
              </w:rPr>
              <w:t>Real-Time Alerting</w:t>
            </w:r>
          </w:p>
        </w:tc>
        <w:tc>
          <w:tcPr>
            <w:tcW w:type="dxa" w:w="2340"/>
            <w:shd w:val="clear" w:color="auto" w:fill="F2F4F7"/>
          </w:tcPr>
          <w:p>
            <w:r/>
            <w:r>
              <w:rPr>
                <w:rFonts w:ascii="Calibri" w:hAnsi="Calibri"/>
                <w:sz w:val="18"/>
              </w:rPr>
              <w:t>Met</w:t>
            </w:r>
          </w:p>
        </w:tc>
        <w:tc>
          <w:tcPr>
            <w:tcW w:type="dxa" w:w="2340"/>
            <w:shd w:val="clear" w:color="auto" w:fill="F2F4F7"/>
          </w:tcPr>
          <w:p>
            <w:r/>
            <w:r>
              <w:rPr>
                <w:rFonts w:ascii="Calibri" w:hAnsi="Calibri"/>
                <w:sz w:val="18"/>
              </w:rPr>
              <w:t>End-to-end latency &lt;80 ms (33 ms CV frame + 10 Hz REST polling). Alerts appear before the operator completes the reach.</w:t>
            </w:r>
          </w:p>
        </w:tc>
      </w:tr>
      <w:tr>
        <w:tc>
          <w:tcPr>
            <w:tcW w:type="dxa" w:w="2340"/>
            <w:shd w:val="clear" w:color="auto" w:fill="FFFFFF"/>
          </w:tcPr>
          <w:p>
            <w:r/>
            <w:r>
              <w:rPr>
                <w:rFonts w:ascii="Calibri" w:hAnsi="Calibri"/>
                <w:sz w:val="18"/>
              </w:rPr>
              <w:t>FR-06</w:t>
            </w:r>
          </w:p>
        </w:tc>
        <w:tc>
          <w:tcPr>
            <w:tcW w:type="dxa" w:w="2340"/>
            <w:shd w:val="clear" w:color="auto" w:fill="FFFFFF"/>
          </w:tcPr>
          <w:p>
            <w:r/>
            <w:r>
              <w:rPr>
                <w:rFonts w:ascii="Calibri" w:hAnsi="Calibri"/>
                <w:sz w:val="18"/>
              </w:rPr>
              <w:t>Corrective Guidance</w:t>
            </w:r>
          </w:p>
        </w:tc>
        <w:tc>
          <w:tcPr>
            <w:tcW w:type="dxa" w:w="2340"/>
            <w:shd w:val="clear" w:color="auto" w:fill="FFFFFF"/>
          </w:tcPr>
          <w:p>
            <w:r/>
            <w:r>
              <w:rPr>
                <w:rFonts w:ascii="Calibri" w:hAnsi="Calibri"/>
                <w:sz w:val="18"/>
              </w:rPr>
              <w:t>Met</w:t>
            </w:r>
          </w:p>
        </w:tc>
        <w:tc>
          <w:tcPr>
            <w:tcW w:type="dxa" w:w="2340"/>
            <w:shd w:val="clear" w:color="auto" w:fill="FFFFFF"/>
          </w:tcPr>
          <w:p>
            <w:r/>
            <w:r>
              <w:rPr>
                <w:rFonts w:ascii="Calibri" w:hAnsi="Calibri"/>
                <w:sz w:val="18"/>
              </w:rPr>
              <w:t>Resolved in HMI iteration (Section 5.2): alerts display the specific bin, error type, and required corrective action.</w:t>
            </w:r>
          </w:p>
        </w:tc>
      </w:tr>
      <w:tr>
        <w:tc>
          <w:tcPr>
            <w:tcW w:type="dxa" w:w="2340"/>
            <w:shd w:val="clear" w:color="auto" w:fill="F2F4F7"/>
          </w:tcPr>
          <w:p>
            <w:r/>
            <w:r>
              <w:rPr>
                <w:rFonts w:ascii="Calibri" w:hAnsi="Calibri"/>
                <w:sz w:val="18"/>
              </w:rPr>
              <w:t>FR-07</w:t>
            </w:r>
          </w:p>
        </w:tc>
        <w:tc>
          <w:tcPr>
            <w:tcW w:type="dxa" w:w="2340"/>
            <w:shd w:val="clear" w:color="auto" w:fill="F2F4F7"/>
          </w:tcPr>
          <w:p>
            <w:r/>
            <w:r>
              <w:rPr>
                <w:rFonts w:ascii="Calibri" w:hAnsi="Calibri"/>
                <w:sz w:val="18"/>
              </w:rPr>
              <w:t>Order Integration</w:t>
            </w:r>
          </w:p>
        </w:tc>
        <w:tc>
          <w:tcPr>
            <w:tcW w:type="dxa" w:w="2340"/>
            <w:shd w:val="clear" w:color="auto" w:fill="F2F4F7"/>
          </w:tcPr>
          <w:p>
            <w:r/>
            <w:r>
              <w:rPr>
                <w:rFonts w:ascii="Calibri" w:hAnsi="Calibri"/>
                <w:sz w:val="18"/>
              </w:rPr>
              <w:t>Met</w:t>
            </w:r>
          </w:p>
        </w:tc>
        <w:tc>
          <w:tcPr>
            <w:tcW w:type="dxa" w:w="2340"/>
            <w:shd w:val="clear" w:color="auto" w:fill="F2F4F7"/>
          </w:tcPr>
          <w:p>
            <w:r/>
            <w:r>
              <w:rPr>
                <w:rFonts w:ascii="Calibri" w:hAnsi="Calibri"/>
                <w:sz w:val="18"/>
              </w:rPr>
              <w:t>System parses order configurations in YAML format and configures FSM bin locks accordingly.</w:t>
            </w:r>
          </w:p>
        </w:tc>
      </w:tr>
      <w:tr>
        <w:tc>
          <w:tcPr>
            <w:tcW w:type="dxa" w:w="2340"/>
            <w:shd w:val="clear" w:color="auto" w:fill="FFFFFF"/>
          </w:tcPr>
          <w:p>
            <w:r/>
            <w:r>
              <w:rPr>
                <w:rFonts w:ascii="Calibri" w:hAnsi="Calibri"/>
                <w:sz w:val="18"/>
              </w:rPr>
              <w:t>FR-08</w:t>
            </w:r>
          </w:p>
        </w:tc>
        <w:tc>
          <w:tcPr>
            <w:tcW w:type="dxa" w:w="2340"/>
            <w:shd w:val="clear" w:color="auto" w:fill="FFFFFF"/>
          </w:tcPr>
          <w:p>
            <w:r/>
            <w:r>
              <w:rPr>
                <w:rFonts w:ascii="Calibri" w:hAnsi="Calibri"/>
                <w:sz w:val="18"/>
              </w:rPr>
              <w:t>New Part Onboarding</w:t>
            </w:r>
          </w:p>
        </w:tc>
        <w:tc>
          <w:tcPr>
            <w:tcW w:type="dxa" w:w="2340"/>
            <w:shd w:val="clear" w:color="auto" w:fill="FFFFFF"/>
          </w:tcPr>
          <w:p>
            <w:r/>
            <w:r>
              <w:rPr>
                <w:rFonts w:ascii="Calibri" w:hAnsi="Calibri"/>
                <w:sz w:val="18"/>
              </w:rPr>
              <w:t>Met</w:t>
            </w:r>
          </w:p>
        </w:tc>
        <w:tc>
          <w:tcPr>
            <w:tcW w:type="dxa" w:w="2340"/>
            <w:shd w:val="clear" w:color="auto" w:fill="FFFFFF"/>
          </w:tcPr>
          <w:p>
            <w:r/>
            <w:r>
              <w:rPr>
                <w:rFonts w:ascii="Calibri" w:hAnsi="Calibri"/>
                <w:sz w:val="18"/>
              </w:rPr>
              <w:t>Dynamic OBB calibration eliminates manual coordinate mapping. New SKUs require only updating the inventory configuration file.</w:t>
            </w:r>
          </w:p>
        </w:tc>
      </w:tr>
      <w:tr>
        <w:tc>
          <w:tcPr>
            <w:tcW w:type="dxa" w:w="2340"/>
            <w:shd w:val="clear" w:color="auto" w:fill="F2F4F7"/>
          </w:tcPr>
          <w:p>
            <w:r/>
            <w:r>
              <w:rPr>
                <w:rFonts w:ascii="Calibri" w:hAnsi="Calibri"/>
                <w:sz w:val="18"/>
              </w:rPr>
              <w:t>FR-09</w:t>
            </w:r>
          </w:p>
        </w:tc>
        <w:tc>
          <w:tcPr>
            <w:tcW w:type="dxa" w:w="2340"/>
            <w:shd w:val="clear" w:color="auto" w:fill="F2F4F7"/>
          </w:tcPr>
          <w:p>
            <w:r/>
            <w:r>
              <w:rPr>
                <w:rFonts w:ascii="Calibri" w:hAnsi="Calibri"/>
                <w:sz w:val="18"/>
              </w:rPr>
              <w:t>Environmental Robustness</w:t>
            </w:r>
          </w:p>
        </w:tc>
        <w:tc>
          <w:tcPr>
            <w:tcW w:type="dxa" w:w="2340"/>
            <w:shd w:val="clear" w:color="auto" w:fill="F2F4F7"/>
          </w:tcPr>
          <w:p>
            <w:r/>
            <w:r>
              <w:rPr>
                <w:rFonts w:ascii="Calibri" w:hAnsi="Calibri"/>
                <w:sz w:val="18"/>
              </w:rPr>
              <w:t>Met</w:t>
            </w:r>
          </w:p>
        </w:tc>
        <w:tc>
          <w:tcPr>
            <w:tcW w:type="dxa" w:w="2340"/>
            <w:shd w:val="clear" w:color="auto" w:fill="F2F4F7"/>
          </w:tcPr>
          <w:p>
            <w:r/>
            <w:r>
              <w:rPr>
                <w:rFonts w:ascii="Calibri" w:hAnsi="Calibri"/>
                <w:sz w:val="18"/>
              </w:rPr>
              <w:t>100% CV detection from 0 to 506 lux. Anti-glare ESD mats eliminate reflection errors. No workstation modification required.</w:t>
            </w:r>
          </w:p>
        </w:tc>
      </w:tr>
      <w:tr>
        <w:tc>
          <w:tcPr>
            <w:tcW w:type="dxa" w:w="2340"/>
            <w:shd w:val="clear" w:color="auto" w:fill="FFFFFF"/>
          </w:tcPr>
          <w:p>
            <w:r/>
            <w:r>
              <w:rPr>
                <w:rFonts w:ascii="Calibri" w:hAnsi="Calibri"/>
                <w:sz w:val="18"/>
              </w:rPr>
              <w:t>FR-10</w:t>
            </w:r>
          </w:p>
        </w:tc>
        <w:tc>
          <w:tcPr>
            <w:tcW w:type="dxa" w:w="2340"/>
            <w:shd w:val="clear" w:color="auto" w:fill="FFFFFF"/>
          </w:tcPr>
          <w:p>
            <w:r/>
            <w:r>
              <w:rPr>
                <w:rFonts w:ascii="Calibri" w:hAnsi="Calibri"/>
                <w:sz w:val="18"/>
              </w:rPr>
              <w:t>Supervisor Visibility</w:t>
            </w:r>
          </w:p>
        </w:tc>
        <w:tc>
          <w:tcPr>
            <w:tcW w:type="dxa" w:w="2340"/>
            <w:shd w:val="clear" w:color="auto" w:fill="FFFFFF"/>
          </w:tcPr>
          <w:p>
            <w:r/>
            <w:r>
              <w:rPr>
                <w:rFonts w:ascii="Calibri" w:hAnsi="Calibri"/>
                <w:sz w:val="18"/>
              </w:rPr>
              <w:t>Met</w:t>
            </w:r>
          </w:p>
        </w:tc>
        <w:tc>
          <w:tcPr>
            <w:tcW w:type="dxa" w:w="2340"/>
            <w:shd w:val="clear" w:color="auto" w:fill="FFFFFF"/>
          </w:tcPr>
          <w:p>
            <w:r/>
            <w:r>
              <w:rPr>
                <w:rFonts w:ascii="Calibri" w:hAnsi="Calibri"/>
                <w:sz w:val="18"/>
              </w:rPr>
              <w:t>FastAPI web server hosts live state queries accessible over the local intranet.</w:t>
            </w:r>
          </w:p>
        </w:tc>
      </w:tr>
      <w:tr>
        <w:tc>
          <w:tcPr>
            <w:tcW w:type="dxa" w:w="2340"/>
            <w:shd w:val="clear" w:color="auto" w:fill="F2F4F7"/>
          </w:tcPr>
          <w:p>
            <w:r/>
            <w:r>
              <w:rPr>
                <w:rFonts w:ascii="Calibri" w:hAnsi="Calibri"/>
                <w:sz w:val="18"/>
              </w:rPr>
              <w:t>FR-11</w:t>
            </w:r>
          </w:p>
        </w:tc>
        <w:tc>
          <w:tcPr>
            <w:tcW w:type="dxa" w:w="2340"/>
            <w:shd w:val="clear" w:color="auto" w:fill="F2F4F7"/>
          </w:tcPr>
          <w:p>
            <w:r/>
            <w:r>
              <w:rPr>
                <w:rFonts w:ascii="Calibri" w:hAnsi="Calibri"/>
                <w:sz w:val="18"/>
              </w:rPr>
              <w:t>Scalability</w:t>
            </w:r>
          </w:p>
        </w:tc>
        <w:tc>
          <w:tcPr>
            <w:tcW w:type="dxa" w:w="2340"/>
            <w:shd w:val="clear" w:color="auto" w:fill="F2F4F7"/>
          </w:tcPr>
          <w:p>
            <w:r/>
            <w:r>
              <w:rPr>
                <w:rFonts w:ascii="Calibri" w:hAnsi="Calibri"/>
                <w:sz w:val="18"/>
              </w:rPr>
              <w:t>Met</w:t>
            </w:r>
          </w:p>
        </w:tc>
        <w:tc>
          <w:tcPr>
            <w:tcW w:type="dxa" w:w="2340"/>
            <w:shd w:val="clear" w:color="auto" w:fill="F2F4F7"/>
          </w:tcPr>
          <w:p>
            <w:r/>
            <w:r>
              <w:rPr>
                <w:rFonts w:ascii="Calibri" w:hAnsi="Calibri"/>
                <w:sz w:val="18"/>
              </w:rPr>
              <w:t>Thread-safe PipelineState architecture and low CPU utilisation (1 of 12 cores) support multi-station extension without per-station redesign.</w:t>
            </w:r>
          </w:p>
        </w:tc>
      </w:tr>
    </w:tbl>
    <w:p/>
    <w:p>
      <w:r>
        <w:br w:type="page"/>
      </w:r>
    </w:p>
    <w:p>
      <w:pPr>
        <w:pStyle w:val="Heading1"/>
      </w:pPr>
      <w:r>
        <w:rPr>
          <w:rFonts w:ascii="Calibri" w:hAnsi="Calibri"/>
          <w:color w:val="1F4E79"/>
        </w:rPr>
        <w:t>Chapter 6 | Conclusion</w:t>
      </w:r>
    </w:p>
    <w:p>
      <w:pPr>
        <w:spacing w:line="276" w:lineRule="auto" w:after="120"/>
      </w:pPr>
      <w:r>
        <w:rPr>
          <w:rFonts w:ascii="Calibri" w:hAnsi="Calibri"/>
          <w:sz w:val="22"/>
        </w:rPr>
        <w:t>Figure 6.1 illustrates the current state of the AEGIS solution, showing the complete workflow from sensor capture through edge processing to operator guidance.</w:t>
      </w:r>
    </w:p>
    <w:p>
      <w:pPr>
        <w:jc w:val="center"/>
      </w:pPr>
      <w:r>
        <w:rPr>
          <w:i/>
          <w:color w:val="595959"/>
          <w:sz w:val="20"/>
        </w:rPr>
        <w:t>[Figure 6.1: Current state of the AEGIS solution — complete system deployment showing edge processing unit, sensor array, operator HMI, and supervisor intranet view]</w:t>
      </w:r>
    </w:p>
    <w:p>
      <w:pPr>
        <w:spacing w:line="276" w:lineRule="auto" w:after="120"/>
      </w:pPr>
      <w:r>
        <w:rPr>
          <w:rFonts w:ascii="Calibri" w:hAnsi="Calibri"/>
          <w:sz w:val="22"/>
        </w:rPr>
        <w:t>Table 25 shows the overall contribution of AEGIS towards the problem defined in Chapter 1.</w:t>
      </w:r>
    </w:p>
    <w:p>
      <w:r>
        <w:rPr>
          <w:b/>
          <w:color w:val="000000"/>
          <w:sz w:val="20"/>
        </w:rPr>
        <w:t>Table 25: Overall Contribution of AEGIS</w:t>
      </w:r>
    </w:p>
    <w:tbl>
      <w:tblPr>
        <w:tblStyle w:val="TableGrid"/>
        <w:tblW w:type="auto" w:w="0"/>
        <w:jc w:val="center"/>
        <w:tblLook w:firstColumn="1" w:firstRow="1" w:lastColumn="0" w:lastRow="0" w:noHBand="0" w:noVBand="1" w:val="04A0"/>
      </w:tblPr>
      <w:tblGrid>
        <w:gridCol w:w="3120"/>
        <w:gridCol w:w="3120"/>
        <w:gridCol w:w="3120"/>
      </w:tblGrid>
      <w:tr>
        <w:trPr>
          <w:tblHeader/>
        </w:trPr>
        <w:tc>
          <w:tcPr>
            <w:tcW w:type="dxa" w:w="3120"/>
            <w:shd w:val="clear" w:color="auto" w:fill="1F4E79"/>
          </w:tcPr>
          <w:p>
            <w:r/>
            <w:r>
              <w:rPr>
                <w:rFonts w:ascii="Calibri" w:hAnsi="Calibri"/>
                <w:b/>
                <w:color w:val="FFFFFF"/>
                <w:sz w:val="18"/>
              </w:rPr>
              <w:t>Problem Identified (Chapter 1)</w:t>
            </w:r>
          </w:p>
        </w:tc>
        <w:tc>
          <w:tcPr>
            <w:tcW w:type="dxa" w:w="3120"/>
            <w:shd w:val="clear" w:color="auto" w:fill="1F4E79"/>
          </w:tcPr>
          <w:p>
            <w:r/>
            <w:r>
              <w:rPr>
                <w:rFonts w:ascii="Calibri" w:hAnsi="Calibri"/>
                <w:b/>
                <w:color w:val="FFFFFF"/>
                <w:sz w:val="18"/>
              </w:rPr>
              <w:t>AEGIS Contribution</w:t>
            </w:r>
          </w:p>
        </w:tc>
        <w:tc>
          <w:tcPr>
            <w:tcW w:type="dxa" w:w="3120"/>
            <w:shd w:val="clear" w:color="auto" w:fill="1F4E79"/>
          </w:tcPr>
          <w:p>
            <w:r/>
            <w:r>
              <w:rPr>
                <w:rFonts w:ascii="Calibri" w:hAnsi="Calibri"/>
                <w:b/>
                <w:color w:val="FFFFFF"/>
                <w:sz w:val="18"/>
              </w:rPr>
              <w:t>Status</w:t>
            </w:r>
          </w:p>
        </w:tc>
      </w:tr>
      <w:tr>
        <w:tc>
          <w:tcPr>
            <w:tcW w:type="dxa" w:w="3120"/>
            <w:shd w:val="clear" w:color="auto" w:fill="F2F4F7"/>
          </w:tcPr>
          <w:p>
            <w:r/>
            <w:r>
              <w:rPr>
                <w:rFonts w:ascii="Calibri" w:hAnsi="Calibri"/>
                <w:sz w:val="18"/>
              </w:rPr>
              <w:t>No real-time error detection at point of packing</w:t>
            </w:r>
          </w:p>
        </w:tc>
        <w:tc>
          <w:tcPr>
            <w:tcW w:type="dxa" w:w="3120"/>
            <w:shd w:val="clear" w:color="auto" w:fill="F2F4F7"/>
          </w:tcPr>
          <w:p>
            <w:r/>
            <w:r>
              <w:rPr>
                <w:rFonts w:ascii="Calibri" w:hAnsi="Calibri"/>
                <w:sz w:val="18"/>
              </w:rPr>
              <w:t>Multi-modal CV + gravimetric sensing intercepts errors at the moment of commission</w:t>
            </w:r>
          </w:p>
        </w:tc>
        <w:tc>
          <w:tcPr>
            <w:tcW w:type="dxa" w:w="3120"/>
            <w:shd w:val="clear" w:color="auto" w:fill="F2F4F7"/>
          </w:tcPr>
          <w:p>
            <w:r/>
            <w:r>
              <w:rPr>
                <w:rFonts w:ascii="Calibri" w:hAnsi="Calibri"/>
                <w:sz w:val="18"/>
              </w:rPr>
              <w:t>Achieved</w:t>
            </w:r>
          </w:p>
        </w:tc>
      </w:tr>
      <w:tr>
        <w:tc>
          <w:tcPr>
            <w:tcW w:type="dxa" w:w="3120"/>
            <w:shd w:val="clear" w:color="auto" w:fill="FFFFFF"/>
          </w:tcPr>
          <w:p>
            <w:r/>
            <w:r>
              <w:rPr>
                <w:rFonts w:ascii="Calibri" w:hAnsi="Calibri"/>
                <w:sz w:val="18"/>
              </w:rPr>
              <w:t>Post-kit scale cannot localise or diagnose errors</w:t>
            </w:r>
          </w:p>
        </w:tc>
        <w:tc>
          <w:tcPr>
            <w:tcW w:type="dxa" w:w="3120"/>
            <w:shd w:val="clear" w:color="auto" w:fill="FFFFFF"/>
          </w:tcPr>
          <w:p>
            <w:r/>
            <w:r>
              <w:rPr>
                <w:rFonts w:ascii="Calibri" w:hAnsi="Calibri"/>
                <w:sz w:val="18"/>
              </w:rPr>
              <w:t>Sequential single-bin FSM attributes every weight change to a specific SKU and bin</w:t>
            </w:r>
          </w:p>
        </w:tc>
        <w:tc>
          <w:tcPr>
            <w:tcW w:type="dxa" w:w="3120"/>
            <w:shd w:val="clear" w:color="auto" w:fill="FFFFFF"/>
          </w:tcPr>
          <w:p>
            <w:r/>
            <w:r>
              <w:rPr>
                <w:rFonts w:ascii="Calibri" w:hAnsi="Calibri"/>
                <w:sz w:val="18"/>
              </w:rPr>
              <w:t>Achieved</w:t>
            </w:r>
          </w:p>
        </w:tc>
      </w:tr>
      <w:tr>
        <w:tc>
          <w:tcPr>
            <w:tcW w:type="dxa" w:w="3120"/>
            <w:shd w:val="clear" w:color="auto" w:fill="F2F4F7"/>
          </w:tcPr>
          <w:p>
            <w:r/>
            <w:r>
              <w:rPr>
                <w:rFonts w:ascii="Calibri" w:hAnsi="Calibri"/>
                <w:sz w:val="18"/>
              </w:rPr>
              <w:t>No corrective guidance for operators</w:t>
            </w:r>
          </w:p>
        </w:tc>
        <w:tc>
          <w:tcPr>
            <w:tcW w:type="dxa" w:w="3120"/>
            <w:shd w:val="clear" w:color="auto" w:fill="F2F4F7"/>
          </w:tcPr>
          <w:p>
            <w:r/>
            <w:r>
              <w:rPr>
                <w:rFonts w:ascii="Calibri" w:hAnsi="Calibri"/>
                <w:sz w:val="18"/>
              </w:rPr>
              <w:t>HMI displays explicit corrective instructions naming bin and quantity</w:t>
            </w:r>
          </w:p>
        </w:tc>
        <w:tc>
          <w:tcPr>
            <w:tcW w:type="dxa" w:w="3120"/>
            <w:shd w:val="clear" w:color="auto" w:fill="F2F4F7"/>
          </w:tcPr>
          <w:p>
            <w:r/>
            <w:r>
              <w:rPr>
                <w:rFonts w:ascii="Calibri" w:hAnsi="Calibri"/>
                <w:sz w:val="18"/>
              </w:rPr>
              <w:t>Achieved</w:t>
            </w:r>
          </w:p>
        </w:tc>
      </w:tr>
      <w:tr>
        <w:tc>
          <w:tcPr>
            <w:tcW w:type="dxa" w:w="3120"/>
            <w:shd w:val="clear" w:color="auto" w:fill="FFFFFF"/>
          </w:tcPr>
          <w:p>
            <w:r/>
            <w:r>
              <w:rPr>
                <w:rFonts w:ascii="Calibri" w:hAnsi="Calibri"/>
                <w:sz w:val="18"/>
              </w:rPr>
              <w:t>System must not disrupt operator workflow</w:t>
            </w:r>
          </w:p>
        </w:tc>
        <w:tc>
          <w:tcPr>
            <w:tcW w:type="dxa" w:w="3120"/>
            <w:shd w:val="clear" w:color="auto" w:fill="FFFFFF"/>
          </w:tcPr>
          <w:p>
            <w:r/>
            <w:r>
              <w:rPr>
                <w:rFonts w:ascii="Calibri" w:hAnsi="Calibri"/>
                <w:sz w:val="18"/>
              </w:rPr>
              <w:t>Passive sensing with zero added handling steps; latency &lt;80 ms</w:t>
            </w:r>
          </w:p>
        </w:tc>
        <w:tc>
          <w:tcPr>
            <w:tcW w:type="dxa" w:w="3120"/>
            <w:shd w:val="clear" w:color="auto" w:fill="FFFFFF"/>
          </w:tcPr>
          <w:p>
            <w:r/>
            <w:r>
              <w:rPr>
                <w:rFonts w:ascii="Calibri" w:hAnsi="Calibri"/>
                <w:sz w:val="18"/>
              </w:rPr>
              <w:t>Achieved</w:t>
            </w:r>
          </w:p>
        </w:tc>
      </w:tr>
      <w:tr>
        <w:tc>
          <w:tcPr>
            <w:tcW w:type="dxa" w:w="3120"/>
            <w:shd w:val="clear" w:color="auto" w:fill="F2F4F7"/>
          </w:tcPr>
          <w:p>
            <w:r/>
            <w:r>
              <w:rPr>
                <w:rFonts w:ascii="Calibri" w:hAnsi="Calibri"/>
                <w:sz w:val="18"/>
              </w:rPr>
              <w:t>Reliable counting of light components (&lt;3.5 g)</w:t>
            </w:r>
          </w:p>
        </w:tc>
        <w:tc>
          <w:tcPr>
            <w:tcW w:type="dxa" w:w="3120"/>
            <w:shd w:val="clear" w:color="auto" w:fill="F2F4F7"/>
          </w:tcPr>
          <w:p>
            <w:r/>
            <w:r>
              <w:rPr>
                <w:rFonts w:ascii="Calibri" w:hAnsi="Calibri"/>
                <w:sz w:val="18"/>
              </w:rPr>
              <w:t>Partially achieved — mitigated by routing to 1 kg platform but not fully resolved on multi-cell platforms</w:t>
            </w:r>
          </w:p>
        </w:tc>
        <w:tc>
          <w:tcPr>
            <w:tcW w:type="dxa" w:w="3120"/>
            <w:shd w:val="clear" w:color="auto" w:fill="F2F4F7"/>
          </w:tcPr>
          <w:p>
            <w:r/>
            <w:r>
              <w:rPr>
                <w:rFonts w:ascii="Calibri" w:hAnsi="Calibri"/>
                <w:sz w:val="18"/>
              </w:rPr>
              <w:t>Partially Achieved</w:t>
            </w:r>
          </w:p>
        </w:tc>
      </w:tr>
    </w:tbl>
    <w:p/>
    <w:p>
      <w:pPr>
        <w:spacing w:line="276" w:lineRule="auto" w:after="120"/>
      </w:pPr>
      <w:r>
        <w:rPr>
          <w:rFonts w:ascii="Calibri" w:hAnsi="Calibri"/>
          <w:sz w:val="22"/>
        </w:rPr>
        <w:t>Following successful laboratory validation and user-driven HMI redesign, TE Connectivity is considering implementing the AEGIS solution design in their industrial sandbox environment for operational testing. This sandbox trial will evaluate the system's hardware longevity and operator compliance under continuous shift conditions.</w:t>
      </w:r>
    </w:p>
    <w:p>
      <w:pPr>
        <w:pStyle w:val="Heading2"/>
      </w:pPr>
      <w:r>
        <w:rPr>
          <w:rFonts w:ascii="Calibri" w:hAnsi="Calibri"/>
          <w:color w:val="2E75B6"/>
        </w:rPr>
        <w:t>6.1 Scalability and Maintenance</w:t>
      </w:r>
    </w:p>
    <w:p>
      <w:pPr>
        <w:spacing w:line="276" w:lineRule="auto" w:after="120"/>
      </w:pPr>
      <w:r>
        <w:rPr>
          <w:rFonts w:ascii="Calibri" w:hAnsi="Calibri"/>
          <w:sz w:val="22"/>
        </w:rPr>
        <w:t>For the system to scale across manufacturing lines, maintenance procedures must remain accessible to plant engineers without specialist expertise:</w:t>
      </w:r>
    </w:p>
    <w:p>
      <w:pPr>
        <w:pStyle w:val="ListBullet"/>
      </w:pPr>
      <w:r>
        <w:rPr>
          <w:rFonts w:ascii="Calibri" w:hAnsi="Calibri"/>
          <w:sz w:val="22"/>
        </w:rPr>
        <w:t>SKU Onboarding: Introducing a new component does not require retraining any machine learning model. A technician needs only to weigh the part and add its unit weight to the inventory configuration file.</w:t>
      </w:r>
    </w:p>
    <w:p>
      <w:pPr>
        <w:pStyle w:val="ListBullet"/>
      </w:pPr>
      <w:r>
        <w:rPr>
          <w:rFonts w:ascii="Calibri" w:hAnsi="Calibri"/>
          <w:sz w:val="22"/>
        </w:rPr>
        <w:t>Station Calibration: A workstation can be calibrated in under two minutes using the two-snapshot YOLOv8-OBB process, which automatically defines the bin geofences from the live camera feed.</w:t>
      </w:r>
    </w:p>
    <w:p>
      <w:pPr>
        <w:pStyle w:val="ListBullet"/>
      </w:pPr>
      <w:r>
        <w:rPr>
          <w:rFonts w:ascii="Calibri" w:hAnsi="Calibri"/>
          <w:sz w:val="22"/>
        </w:rPr>
        <w:t>Modular Hardware: Load cell mounts are mechanically standardised. A failed cell can be replaced by removing four screws and swapping in a replacement of the same capacity.</w:t>
      </w:r>
    </w:p>
    <w:p>
      <w:pPr>
        <w:pStyle w:val="ListBullet"/>
      </w:pPr>
      <w:r>
        <w:rPr>
          <w:rFonts w:ascii="Calibri" w:hAnsi="Calibri"/>
          <w:sz w:val="22"/>
        </w:rPr>
        <w:t>Multi-Station Architecture: The full pipeline occupies roughly one of the edge device's twelve cores, leaving substantial compute headroom to support multi-workstation extension (FR-11).</w:t>
      </w:r>
    </w:p>
    <w:p>
      <w:pPr>
        <w:pStyle w:val="Heading2"/>
      </w:pPr>
      <w:r>
        <w:rPr>
          <w:rFonts w:ascii="Calibri" w:hAnsi="Calibri"/>
          <w:color w:val="2E75B6"/>
        </w:rPr>
        <w:t>6.2 Ergonomic Considerations</w:t>
      </w:r>
    </w:p>
    <w:p>
      <w:pPr>
        <w:spacing w:line="276" w:lineRule="auto" w:after="120"/>
      </w:pPr>
      <w:r>
        <w:rPr>
          <w:rFonts w:ascii="Calibri" w:hAnsi="Calibri"/>
          <w:sz w:val="22"/>
        </w:rPr>
        <w:t>While ergonomic design was not a primary focus of the prototype, the usability study surfaced two physical-interaction issues that should be addressed prior to sandbox deployment:</w:t>
      </w:r>
    </w:p>
    <w:p>
      <w:pPr>
        <w:pStyle w:val="ListNumber"/>
      </w:pPr>
      <w:r>
        <w:rPr>
          <w:rFonts w:ascii="Calibri" w:hAnsi="Calibri"/>
          <w:sz w:val="22"/>
        </w:rPr>
        <w:t>Consolidation Fatigue: Operators reported that physically lifting and dumping heavy completed bins into the kit container was tiring. Potential mitigations include tilting bin racks or gravity-fed slide-out chutes.</w:t>
      </w:r>
    </w:p>
    <w:p>
      <w:pPr>
        <w:pStyle w:val="ListNumber"/>
      </w:pPr>
      <w:r>
        <w:rPr>
          <w:rFonts w:ascii="Calibri" w:hAnsi="Calibri"/>
          <w:sz w:val="22"/>
        </w:rPr>
        <w:t>Standing Fatigue: Incorporating a scheduled break reminder into the HMI — for example, suggesting a short rest every ten completed sets — would help maintain operator attention.</w:t>
      </w:r>
    </w:p>
    <w:p>
      <w:pPr>
        <w:pStyle w:val="Heading2"/>
      </w:pPr>
      <w:r>
        <w:rPr>
          <w:rFonts w:ascii="Calibri" w:hAnsi="Calibri"/>
          <w:color w:val="2E75B6"/>
        </w:rPr>
        <w:t>6.3 Future Works</w:t>
      </w:r>
    </w:p>
    <w:p>
      <w:pPr>
        <w:spacing w:line="276" w:lineRule="auto" w:after="120"/>
      </w:pPr>
      <w:r>
        <w:rPr>
          <w:rFonts w:ascii="Calibri" w:hAnsi="Calibri"/>
          <w:sz w:val="22"/>
        </w:rPr>
        <w:t>Several directions for future development are identified:</w:t>
      </w:r>
    </w:p>
    <w:p>
      <w:pPr>
        <w:pStyle w:val="ListNumber"/>
      </w:pPr>
      <w:r>
        <w:rPr>
          <w:rFonts w:ascii="Calibri" w:hAnsi="Calibri"/>
          <w:sz w:val="22"/>
        </w:rPr>
        <w:t>Integration with TE Connectivity's Manufacturing Execution System (MES) via Modbus TCP communications would automate work-order loading and provide bidirectional status reporting.</w:t>
      </w:r>
    </w:p>
    <w:p>
      <w:pPr>
        <w:pStyle w:val="ListNumber"/>
      </w:pPr>
      <w:r>
        <w:rPr>
          <w:rFonts w:ascii="Calibri" w:hAnsi="Calibri"/>
          <w:sz w:val="22"/>
        </w:rPr>
        <w:t>Linking local FastAPI instances across multiple edge devices to a centralised factory supervisor dashboard would enable real-time monitoring of all kitting lines from a single interface.</w:t>
      </w:r>
    </w:p>
    <w:p>
      <w:pPr>
        <w:pStyle w:val="ListNumber"/>
      </w:pPr>
      <w:r>
        <w:rPr>
          <w:rFonts w:ascii="Calibri" w:hAnsi="Calibri"/>
          <w:sz w:val="22"/>
        </w:rPr>
        <w:t>The partial-met status of FR-04 suggests investigating higher-resolution load cells or supplementary counting methods (e.g. capacitive proximity sensing) for the lightest SKUs.</w:t>
      </w:r>
    </w:p>
    <w:p>
      <w:pPr>
        <w:pStyle w:val="ListNumber"/>
      </w:pPr>
      <w:r>
        <w:rPr>
          <w:rFonts w:ascii="Calibri" w:hAnsi="Calibri"/>
          <w:sz w:val="22"/>
        </w:rPr>
        <w:t>Expanding the OBB training dataset to include non-blue bin colours would improve model generalisation for plants that use varied bin inventories.</w:t>
      </w:r>
    </w:p>
    <w:p>
      <w:pPr>
        <w:jc w:val="center"/>
      </w:pPr>
      <w:r>
        <w:rPr>
          <w:i/>
          <w:color w:val="595959"/>
          <w:sz w:val="20"/>
        </w:rPr>
        <w:t>[Figure 6.2: Summary of limitations and future work]</w:t>
      </w:r>
    </w:p>
    <w:p>
      <w:r>
        <w:br w:type="page"/>
      </w:r>
    </w:p>
    <w:p>
      <w:pPr>
        <w:pStyle w:val="Heading1"/>
      </w:pPr>
      <w:r>
        <w:rPr>
          <w:rFonts w:ascii="Calibri" w:hAnsi="Calibri"/>
          <w:color w:val="1F4E79"/>
        </w:rPr>
        <w:t>Chapter 7 | Reflection and Lessons Learned</w:t>
      </w:r>
    </w:p>
    <w:p>
      <w:pPr>
        <w:spacing w:line="276" w:lineRule="auto" w:after="120"/>
      </w:pPr>
      <w:r>
        <w:rPr>
          <w:rFonts w:ascii="Calibri" w:hAnsi="Calibri"/>
          <w:sz w:val="22"/>
        </w:rPr>
        <w:t>Over the course of this project, our team encountered several technical and process-related challenges that yielded valuable lessons. The single hardest engineering problem was not software but the physics of gravimetric sensing. The bench qualification battery put numbers on it: a minimum detectable mass of approximately 0.5 g on the 1 kg platform but approximately 2.3 g and 4.3 g on the 5 kg and 10 kg platforms, and off-centre deviations of tens of grams on the summed three-cell platforms. Since the lightest components in the BOM weigh only approximately 3 g, those numbers — not the code — set the ceiling on what can be counted where. The lesson was to characterise the sensor early and design around its limits, combining software mitigations (absolute-gram crediting floors, debounce windows) with operational ones (assigning light items to the smallest platform) rather than expecting the code to overcome physics.</w:t>
      </w:r>
    </w:p>
    <w:p>
      <w:pPr>
        <w:spacing w:line="276" w:lineRule="auto" w:after="120"/>
      </w:pPr>
      <w:r>
        <w:rPr>
          <w:rFonts w:ascii="Calibri" w:hAnsi="Calibri"/>
          <w:sz w:val="22"/>
        </w:rPr>
        <w:t>User testing revealed what the development team could not see. Features that seemed obvious to us — alert wording, colour coding, corrective phrasing — were the very things operators struggled with, while the parts we considered basic (the bin grid layout) rated at ceiling. The study turned subjective impressions into a prioritised backlog and directly shaped a better interface. In hindsight, testing with real operators earlier in the development cycle would have caught these issues sooner and reduced rework.</w:t>
      </w:r>
    </w:p>
    <w:p>
      <w:pPr>
        <w:spacing w:line="276" w:lineRule="auto" w:after="120"/>
      </w:pPr>
      <w:r>
        <w:rPr>
          <w:rFonts w:ascii="Calibri" w:hAnsi="Calibri"/>
          <w:sz w:val="22"/>
        </w:rPr>
        <w:t>From an architecture perspective, encapsulating the verification logic as a pure, hardware-independent state tracker made it possible to test the FSM exhaustively (134 test cases, 98% coverage of the core module) and iterate on it with confidence without a physical rig in the loop. This decoupling substantially accelerated development velocity and provided a reliable regression guard. We also learned the value of iterative testing — by verifying the pipeline at each step, we avoided major integration failures later on.</w:t>
      </w:r>
    </w:p>
    <w:p>
      <w:pPr>
        <w:spacing w:line="276" w:lineRule="auto" w:after="120"/>
      </w:pPr>
      <w:r>
        <w:rPr>
          <w:rFonts w:ascii="Calibri" w:hAnsi="Calibri"/>
          <w:sz w:val="22"/>
        </w:rPr>
        <w:t>Process-wise, our early planning underestimated the time required for integration and cross-component debugging. Last-minute issues such as intermittent USB resets from the load cell microcontroller and disconnected serial links were reminders that a laboratory prototype meets messy hardware realities in deployment. Building automated reconnect loops, sensor health checks, and clear diagnostic logging deserves dedicated design attention — not just the happy path.</w:t>
      </w:r>
    </w:p>
    <w:p>
      <w:pPr>
        <w:spacing w:line="276" w:lineRule="auto" w:after="120"/>
      </w:pPr>
      <w:r>
        <w:rPr>
          <w:rFonts w:ascii="Calibri" w:hAnsi="Calibri"/>
          <w:sz w:val="22"/>
        </w:rPr>
        <w:t>Overall, the experience sharpened our ability to balance technical ambition with practical constraints and reinforced the importance of adaptability, clear communication, and user-centred design.</w:t>
      </w:r>
    </w:p>
    <w:p>
      <w:pPr>
        <w:spacing w:line="276" w:lineRule="auto" w:after="120"/>
      </w:pPr>
      <w:r>
        <w:rPr>
          <w:rFonts w:ascii="Calibri" w:hAnsi="Calibri"/>
          <w:sz w:val="22"/>
        </w:rPr>
        <w:t>[Individual team member reflections to be added here.]</w:t>
      </w:r>
    </w:p>
    <w:p>
      <w:r>
        <w:br w:type="page"/>
      </w:r>
    </w:p>
    <w:p>
      <w:pPr>
        <w:pStyle w:val="Heading1"/>
      </w:pPr>
      <w:r>
        <w:rPr>
          <w:rFonts w:ascii="Calibri" w:hAnsi="Calibri"/>
          <w:color w:val="1F4E79"/>
        </w:rPr>
        <w:t>References</w:t>
      </w:r>
    </w:p>
    <w:p>
      <w:pPr>
        <w:spacing w:line="276" w:lineRule="auto" w:after="120"/>
      </w:pPr>
      <w:r>
        <w:rPr>
          <w:rFonts w:ascii="Calibri" w:hAnsi="Calibri"/>
          <w:sz w:val="22"/>
        </w:rPr>
        <w:t>[1] Ultralytics, "YOLOv8 Documentation," 2024. [Online]. Available: https://github.com/ultralytics/ultralytics. [Accessed: Jul. 2026].</w:t>
      </w:r>
    </w:p>
    <w:p>
      <w:pPr>
        <w:spacing w:line="276" w:lineRule="auto" w:after="120"/>
      </w:pPr>
      <w:r>
        <w:rPr>
          <w:rFonts w:ascii="Calibri" w:hAnsi="Calibri"/>
          <w:sz w:val="22"/>
        </w:rPr>
        <w:t>[2] Google, "MediaPipe Hands: On-device Real-time Hand Tracking," 2023. [Online]. Available: https://developers.google.com/mediapipe/solutions/vision/hand_landmarker. [Accessed: Jul. 2026].</w:t>
      </w:r>
    </w:p>
    <w:p>
      <w:pPr>
        <w:spacing w:line="276" w:lineRule="auto" w:after="120"/>
      </w:pPr>
      <w:r>
        <w:rPr>
          <w:rFonts w:ascii="Calibri" w:hAnsi="Calibri"/>
          <w:sz w:val="22"/>
        </w:rPr>
        <w:t>[3] TE Connectivity, "Cost of Poor Quality (COPQ) Internal Manufacturing Reports," FY2025. Unpublished.</w:t>
      </w:r>
    </w:p>
    <w:p>
      <w:pPr>
        <w:spacing w:line="276" w:lineRule="auto" w:after="120"/>
      </w:pPr>
      <w:r>
        <w:rPr>
          <w:rFonts w:ascii="Calibri" w:hAnsi="Calibri"/>
          <w:sz w:val="22"/>
        </w:rPr>
        <w:t>[4] Avia Semiconductor, "HX711: 24-Bit Analog-to-Digital Converter for Weigh Scales," Datasheet Rev. 1.0.</w:t>
      </w:r>
    </w:p>
    <w:p>
      <w:pPr>
        <w:spacing w:line="276" w:lineRule="auto" w:after="120"/>
      </w:pPr>
      <w:r>
        <w:rPr>
          <w:rFonts w:ascii="Calibri" w:hAnsi="Calibri"/>
          <w:sz w:val="22"/>
        </w:rPr>
        <w:t>[5] Advantech, "MIC-733: AI Inference System Based on NVIDIA Jetson AGX Orin," Product Datasheet, 2024.</w:t>
      </w:r>
    </w:p>
    <w:p>
      <w:pPr>
        <w:spacing w:line="276" w:lineRule="auto" w:after="120"/>
      </w:pPr>
      <w:r>
        <w:rPr>
          <w:rFonts w:ascii="Calibri" w:hAnsi="Calibri"/>
          <w:sz w:val="22"/>
        </w:rPr>
        <w:t>[6] NVIDIA, "Jetson AGX Orin Technical Reference Manual," 2023.</w:t>
      </w:r>
    </w:p>
    <w:p>
      <w:pPr>
        <w:spacing w:line="276" w:lineRule="auto" w:after="120"/>
      </w:pPr>
      <w:r>
        <w:rPr>
          <w:rFonts w:ascii="Calibri" w:hAnsi="Calibri"/>
          <w:sz w:val="22"/>
        </w:rPr>
        <w:t>[7] Roboflow, "Computer Vision Annotation and Dataset Management Platform," 2024. [Online]. Available: https://roboflow.com.</w:t>
      </w:r>
    </w:p>
    <w:p>
      <w:pPr>
        <w:spacing w:line="276" w:lineRule="auto" w:after="120"/>
      </w:pPr>
      <w:r>
        <w:rPr>
          <w:rFonts w:ascii="Calibri" w:hAnsi="Calibri"/>
          <w:sz w:val="22"/>
        </w:rPr>
        <w:t>[8] Espressif Systems, "ESP32 Series Datasheet," Version 4.2, 2023.</w:t>
      </w:r>
    </w:p>
    <w:p>
      <w:r>
        <w:br w:type="page"/>
      </w:r>
    </w:p>
    <w:p>
      <w:pPr>
        <w:pStyle w:val="Heading1"/>
      </w:pPr>
      <w:r>
        <w:rPr>
          <w:rFonts w:ascii="Calibri" w:hAnsi="Calibri"/>
          <w:color w:val="1F4E79"/>
        </w:rPr>
        <w:t>Appendix</w:t>
      </w:r>
    </w:p>
    <w:p>
      <w:pPr>
        <w:pStyle w:val="Heading2"/>
      </w:pPr>
      <w:r>
        <w:rPr>
          <w:rFonts w:ascii="Calibri" w:hAnsi="Calibri"/>
          <w:color w:val="2E75B6"/>
        </w:rPr>
        <w:t>Appendix A: Usability Study Raw Data</w:t>
      </w:r>
    </w:p>
    <w:p>
      <w:pPr>
        <w:spacing w:line="276" w:lineRule="auto" w:after="120"/>
      </w:pPr>
      <w:r>
        <w:rPr>
          <w:rFonts w:ascii="Calibri" w:hAnsi="Calibri"/>
          <w:sz w:val="22"/>
        </w:rPr>
        <w:t>Full logs from usability testing sessions between 8 and 13 July 2026, including per-operator Likert ratings, alert walkthrough transcripts, and open-ended feedback for all six participants. Source: AEGIS_User_Test_Findings_Summary.docx.</w:t>
      </w:r>
    </w:p>
    <w:p>
      <w:pPr>
        <w:pStyle w:val="Heading2"/>
      </w:pPr>
      <w:r>
        <w:rPr>
          <w:rFonts w:ascii="Calibri" w:hAnsi="Calibri"/>
          <w:color w:val="2E75B6"/>
        </w:rPr>
        <w:t>Appendix B: Load Cell Qualification Data</w:t>
      </w:r>
    </w:p>
    <w:p>
      <w:pPr>
        <w:spacing w:line="276" w:lineRule="auto" w:after="120"/>
      </w:pPr>
      <w:r>
        <w:rPr>
          <w:rFonts w:ascii="Calibri" w:hAnsi="Calibri"/>
          <w:sz w:val="22"/>
        </w:rPr>
        <w:t>Full raw voltage readings, calibration ladders, repeatability trials, hysteresis measurements, warm-up drift logs, creep logs, and off-centre deviation measurements for the 1 kg, 5 kg, and 10 kg platforms. Source: AEGIS_LoadCell_Qualification.docx.</w:t>
      </w:r>
    </w:p>
    <w:p>
      <w:pPr>
        <w:pStyle w:val="Heading2"/>
      </w:pPr>
      <w:r>
        <w:rPr>
          <w:rFonts w:ascii="Calibri" w:hAnsi="Calibri"/>
          <w:color w:val="2E75B6"/>
        </w:rPr>
        <w:t>Appendix C: Computer Vision Training and Lighting Data</w:t>
      </w:r>
    </w:p>
    <w:p>
      <w:pPr>
        <w:spacing w:line="276" w:lineRule="auto" w:after="120"/>
      </w:pPr>
      <w:r>
        <w:rPr>
          <w:rFonts w:ascii="Calibri" w:hAnsi="Calibri"/>
          <w:sz w:val="22"/>
        </w:rPr>
        <w:t>YOLOv8-OBB training curves and final validation metrics. Lighting characterisation workbook: 72 bin-by-illuminance readings. Source: lighting_cv_test_backup.xlsx.</w:t>
      </w:r>
    </w:p>
    <w:p>
      <w:pPr>
        <w:pStyle w:val="Heading2"/>
      </w:pPr>
      <w:r>
        <w:rPr>
          <w:rFonts w:ascii="Calibri" w:hAnsi="Calibri"/>
          <w:color w:val="2E75B6"/>
        </w:rPr>
        <w:t>Appendix D: HMI Screenshots</w:t>
      </w:r>
    </w:p>
    <w:p>
      <w:pPr>
        <w:spacing w:line="276" w:lineRule="auto" w:after="120"/>
      </w:pPr>
      <w:r>
        <w:rPr>
          <w:rFonts w:ascii="Calibri" w:hAnsi="Calibri"/>
          <w:sz w:val="22"/>
        </w:rPr>
        <w:t>Pre-iteration and post-iteration HMI interface screenshots.</w:t>
      </w:r>
    </w:p>
    <w:p>
      <w:pPr>
        <w:jc w:val="center"/>
      </w:pPr>
      <w:r>
        <w:rPr>
          <w:i/>
          <w:color w:val="595959"/>
          <w:sz w:val="20"/>
        </w:rPr>
        <w:t>[Figure A.1: Pre-iteration HMI showing bin grid, small-font error banners, and 0-indexed bin labels]</w:t>
      </w:r>
    </w:p>
    <w:p>
      <w:pPr>
        <w:jc w:val="center"/>
      </w:pPr>
      <w:r>
        <w:rPr>
          <w:i/>
          <w:color w:val="595959"/>
          <w:sz w:val="20"/>
        </w:rPr>
        <w:t>[Figure A.2: Post-iteration HMI showing redesigned fault banner, colour-coded hand halo, 1-indexed labels, and sets-remaining progress indicator]</w:t>
      </w:r>
    </w:p>
    <w:p>
      <w:pPr>
        <w:pStyle w:val="Heading2"/>
      </w:pPr>
      <w:r>
        <w:rPr>
          <w:rFonts w:ascii="Calibri" w:hAnsi="Calibri"/>
          <w:color w:val="2E75B6"/>
        </w:rPr>
        <w:t>Appendix E: Unit Test Summary</w:t>
      </w:r>
    </w:p>
    <w:p>
      <w:pPr>
        <w:spacing w:line="276" w:lineRule="auto" w:after="120"/>
      </w:pPr>
      <w:r>
        <w:rPr>
          <w:rFonts w:ascii="Calibri" w:hAnsi="Calibri"/>
          <w:sz w:val="22"/>
        </w:rPr>
        <w:t>Full Pytest output for the 134-test backend verification suite, including per-module pass counts and pytest-cov coverage report.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