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47015517"/>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r w:rsidDel="00000000" w:rsidR="00000000" w:rsidRPr="00000000">
        <w:rPr>
          <w:sz w:val="34"/>
          <w:szCs w:val="34"/>
          <w:rtl w:val="0"/>
        </w:rPr>
        <w:t xml:space="preserve">Table of Tables</w:t>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t xml:space="preserve">Comparison of current kitting-error solutions against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80" w:lineRule="auto"/>
              <w:rPr/>
            </w:pPr>
            <w:r w:rsidDel="00000000" w:rsidR="00000000" w:rsidRPr="00000000">
              <w:rPr>
                <w:rtl w:val="0"/>
              </w:rPr>
              <w:t xml:space="preserve">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80" w:lineRule="auto"/>
              <w:rPr/>
            </w:pPr>
            <w:r w:rsidDel="00000000" w:rsidR="00000000" w:rsidRPr="00000000">
              <w:rPr>
                <w:rtl w:val="0"/>
              </w:rPr>
              <w:t xml:space="preserve">Stakeholder requirements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rPr/>
            </w:pPr>
            <w:r w:rsidDel="00000000" w:rsidR="00000000" w:rsidRPr="00000000">
              <w:rPr>
                <w:rtl w:val="0"/>
              </w:rPr>
              <w:t xml:space="preserve">1.7.1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rPr/>
            </w:pPr>
            <w:r w:rsidDel="00000000" w:rsidR="00000000" w:rsidRPr="00000000">
              <w:rPr>
                <w:rtl w:val="0"/>
              </w:rPr>
              <w:t xml:space="preserve">Demands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t xml:space="preserve">Wishes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80" w:lineRule="auto"/>
              <w:rPr/>
            </w:pPr>
            <w:r w:rsidDel="00000000" w:rsidR="00000000" w:rsidRPr="00000000">
              <w:rPr>
                <w:rtl w:val="0"/>
              </w:rPr>
              <w:t xml:space="preserve">2.2.1.1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80" w:lineRule="auto"/>
              <w:rPr/>
            </w:pPr>
            <w:r w:rsidDel="00000000" w:rsidR="00000000" w:rsidRPr="00000000">
              <w:rPr>
                <w:rtl w:val="0"/>
              </w:rPr>
              <w:t xml:space="preserve">System-level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80" w:lineRule="auto"/>
              <w:rPr/>
            </w:pPr>
            <w:r w:rsidDel="00000000" w:rsidR="00000000" w:rsidRPr="00000000">
              <w:rPr>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80" w:lineRule="auto"/>
              <w:rPr/>
            </w:pPr>
            <w:r w:rsidDel="00000000" w:rsidR="00000000" w:rsidRPr="00000000">
              <w:rPr>
                <w:rtl w:val="0"/>
              </w:rPr>
              <w:t xml:space="preserve">Detailed hardware/software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80" w:lineRule="auto"/>
              <w:rPr/>
            </w:pPr>
            <w:r w:rsidDel="00000000" w:rsidR="00000000" w:rsidRPr="00000000">
              <w:rPr>
                <w:rtl w:val="0"/>
              </w:rPr>
              <w:t xml:space="preserve">CV testing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80" w:lineRule="auto"/>
              <w:rPr/>
            </w:pPr>
            <w:r w:rsidDel="00000000" w:rsidR="00000000" w:rsidRPr="00000000">
              <w:rPr>
                <w:rtl w:val="0"/>
              </w:rPr>
              <w:t xml:space="preserve">YOLOv8-OBB validation metrics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80" w:lineRule="auto"/>
              <w:rPr/>
            </w:pPr>
            <w:r w:rsidDel="00000000" w:rsidR="00000000" w:rsidRPr="00000000">
              <w:rPr>
                <w:rtl w:val="0"/>
              </w:rPr>
              <w:t xml:space="preserve">Platforms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80" w:lineRule="auto"/>
              <w:rPr/>
            </w:pPr>
            <w:r w:rsidDel="00000000" w:rsidR="00000000" w:rsidRPr="00000000">
              <w:rPr>
                <w:rtl w:val="0"/>
              </w:rPr>
              <w:t xml:space="preserve">4.2.1.2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80" w:lineRule="auto"/>
              <w:rPr/>
            </w:pPr>
            <w:r w:rsidDel="00000000" w:rsidR="00000000" w:rsidRPr="00000000">
              <w:rPr>
                <w:rtl w:val="0"/>
              </w:rPr>
              <w:t xml:space="preserve">Supplier-stated YZC-133 performance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80" w:lineRule="auto"/>
              <w:rPr/>
            </w:pPr>
            <w:r w:rsidDel="00000000" w:rsidR="00000000" w:rsidRPr="00000000">
              <w:rPr>
                <w:rtl w:val="0"/>
              </w:rPr>
              <w:t xml:space="preserve">4.2.1.3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Test protocol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80" w:lineRule="auto"/>
              <w:rPr/>
            </w:pPr>
            <w:r w:rsidDel="00000000" w:rsidR="00000000" w:rsidRPr="00000000">
              <w:rPr>
                <w:rtl w:val="0"/>
              </w:rPr>
              <w:t xml:space="preserve">4.2.1.4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80" w:lineRule="auto"/>
              <w:rPr/>
            </w:pPr>
            <w:r w:rsidDel="00000000" w:rsidR="00000000" w:rsidRPr="00000000">
              <w:rPr>
                <w:rtl w:val="0"/>
              </w:rPr>
              <w:t xml:space="preserve">Repeatability standard deviation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80" w:lineRule="auto"/>
              <w:rPr/>
            </w:pPr>
            <w:r w:rsidDel="00000000" w:rsidR="00000000" w:rsidRPr="00000000">
              <w:rPr>
                <w:rtl w:val="0"/>
              </w:rPr>
              <w:t xml:space="preserve">4.2.1.5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80" w:lineRule="auto"/>
              <w:rPr/>
            </w:pPr>
            <w:r w:rsidDel="00000000" w:rsidR="00000000" w:rsidRPr="00000000">
              <w:rPr>
                <w:rtl w:val="0"/>
              </w:rPr>
              <w:t xml:space="preserve">Warm-up drift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80" w:lineRule="auto"/>
              <w:rPr/>
            </w:pPr>
            <w:r w:rsidDel="00000000" w:rsidR="00000000" w:rsidRPr="00000000">
              <w:rPr>
                <w:rtl w:val="0"/>
              </w:rPr>
              <w:t xml:space="preserve">4.2.1.6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80" w:lineRule="auto"/>
              <w:rPr/>
            </w:pPr>
            <w:r w:rsidDel="00000000" w:rsidR="00000000" w:rsidRPr="00000000">
              <w:rPr>
                <w:rtl w:val="0"/>
              </w:rPr>
              <w:t xml:space="preserve">Off-centre placement sensitivity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80" w:lineRule="auto"/>
              <w:rPr/>
            </w:pPr>
            <w:r w:rsidDel="00000000" w:rsidR="00000000" w:rsidRPr="00000000">
              <w:rPr>
                <w:rtl w:val="0"/>
              </w:rPr>
              <w:t xml:space="preserve">Unit test coverage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80" w:lineRule="auto"/>
              <w:rPr/>
            </w:pPr>
            <w:r w:rsidDel="00000000" w:rsidR="00000000" w:rsidRPr="00000000">
              <w:rPr>
                <w:rtl w:val="0"/>
              </w:rPr>
              <w:t xml:space="preserve">Participant schedule and counterbalancing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Total cycle time per operator, AEGIS vs. non-AEGIS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Mean cycle time by BOM and 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80" w:lineRule="auto"/>
              <w:rPr/>
            </w:pPr>
            <w:r w:rsidDel="00000000" w:rsidR="00000000" w:rsidRPr="00000000">
              <w:rPr>
                <w:rtl w:val="0"/>
              </w:rPr>
              <w:t xml:space="preserve">Total picks, total mass, and mean cycle time by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80" w:lineRule="auto"/>
              <w:rPr/>
            </w:pPr>
            <w:r w:rsidDel="00000000" w:rsidR="00000000" w:rsidRPr="00000000">
              <w:rPr>
                <w:rtl w:val="0"/>
              </w:rPr>
              <w:t xml:space="preserve">Set-level mass, size mix, and cycle time per 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80" w:lineRule="auto"/>
              <w:rPr/>
            </w:pPr>
            <w:r w:rsidDel="00000000" w:rsidR="00000000" w:rsidRPr="00000000">
              <w:rPr>
                <w:rtl w:val="0"/>
              </w:rPr>
              <w:t xml:space="preserve">Operator ratings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80" w:lineRule="auto"/>
              <w:rPr/>
            </w:pPr>
            <w:r w:rsidDel="00000000" w:rsidR="00000000" w:rsidRPr="00000000">
              <w:rPr>
                <w:rtl w:val="0"/>
              </w:rPr>
              <w:t xml:space="preserve">5.3.1.2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80" w:lineRule="auto"/>
              <w:rPr/>
            </w:pPr>
            <w:r w:rsidDel="00000000" w:rsidR="00000000" w:rsidRPr="00000000">
              <w:rPr>
                <w:rtl w:val="0"/>
              </w:rPr>
              <w:t xml:space="preserve">Usability gaps identified from operator 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80" w:lineRule="auto"/>
              <w:rPr/>
            </w:pPr>
            <w:r w:rsidDel="00000000" w:rsidR="00000000" w:rsidRPr="00000000">
              <w:rPr>
                <w:rtl w:val="0"/>
              </w:rPr>
              <w:t xml:space="preserve">Summary of stakeholder feedback and recommended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80" w:lineRule="auto"/>
              <w:rPr/>
            </w:pPr>
            <w:r w:rsidDel="00000000" w:rsidR="00000000" w:rsidRPr="00000000">
              <w:rPr>
                <w:rtl w:val="0"/>
              </w:rPr>
              <w:t xml:space="preserve">5.4.2.1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80" w:lineRule="auto"/>
              <w:rPr/>
            </w:pPr>
            <w:r w:rsidDel="00000000" w:rsidR="00000000" w:rsidRPr="00000000">
              <w:rPr>
                <w:rtl w:val="0"/>
              </w:rPr>
              <w:t xml:space="preserve">Requirements validation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80" w:lineRule="auto"/>
              <w:rPr/>
            </w:pPr>
            <w:r w:rsidDel="00000000" w:rsidR="00000000" w:rsidRPr="00000000">
              <w:rPr>
                <w:rtl w:val="0"/>
              </w:rPr>
              <w:t xml:space="preserve">6.2.1.1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80" w:lineRule="auto"/>
              <w:rPr/>
            </w:pPr>
            <w:r w:rsidDel="00000000" w:rsidR="00000000" w:rsidRPr="00000000">
              <w:rPr>
                <w:rtl w:val="0"/>
              </w:rPr>
              <w:t xml:space="preserve">Core station components, both tiers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80" w:lineRule="auto"/>
              <w:rPr/>
            </w:pPr>
            <w:r w:rsidDel="00000000" w:rsidR="00000000" w:rsidRPr="00000000">
              <w:rPr>
                <w:rtl w:val="0"/>
              </w:rPr>
              <w:t xml:space="preserve">6.2.2.1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80" w:lineRule="auto"/>
              <w:rPr/>
            </w:pPr>
            <w:r w:rsidDel="00000000" w:rsidR="00000000" w:rsidRPr="00000000">
              <w:rPr>
                <w:rtl w:val="0"/>
              </w:rPr>
              <w:t xml:space="preserve">Previously-unaccounted per-station 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80" w:lineRule="auto"/>
              <w:rPr/>
            </w:pPr>
            <w:r w:rsidDel="00000000" w:rsidR="00000000" w:rsidRPr="00000000">
              <w:rPr>
                <w:rtl w:val="0"/>
              </w:rPr>
              <w:t xml:space="preserve">NRE cost by effort 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Per-station total cost of ownership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80" w:lineRule="auto"/>
              <w:rPr/>
            </w:pPr>
            <w:r w:rsidDel="00000000" w:rsidR="00000000" w:rsidRPr="00000000">
              <w:rPr>
                <w:rtl w:val="0"/>
              </w:rPr>
              <w:t xml:space="preserve">6.3.1.1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80" w:lineRule="auto"/>
              <w:rPr/>
            </w:pPr>
            <w:r w:rsidDel="00000000" w:rsidR="00000000" w:rsidRPr="00000000">
              <w:rPr>
                <w:rtl w:val="0"/>
              </w:rPr>
              <w:t xml:space="preserve">Per-cell annual COPQ 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Payback, hardware-only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Base-tier payback sensitivity 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Future development directions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80" w:lineRule="auto"/>
              <w:rPr/>
            </w:pPr>
            <w:r w:rsidDel="00000000" w:rsidR="00000000" w:rsidRPr="00000000">
              <w:rPr>
                <w:rtl w:val="0"/>
              </w:rPr>
            </w:r>
          </w:p>
        </w:tc>
      </w:tr>
    </w:tbl>
    <w:p w:rsidR="00000000" w:rsidDel="00000000" w:rsidP="00000000" w:rsidRDefault="00000000" w:rsidRPr="00000000" w14:paraId="0000016A">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sz w:val="34"/>
          <w:szCs w:val="34"/>
        </w:rPr>
      </w:pPr>
      <w:bookmarkStart w:colFirst="0" w:colLast="0" w:name="_3e02xygl2zid" w:id="10"/>
      <w:bookmarkEnd w:id="10"/>
      <w:r w:rsidDel="00000000" w:rsidR="00000000" w:rsidRPr="00000000">
        <w:rPr>
          <w:sz w:val="34"/>
          <w:szCs w:val="34"/>
          <w:rtl w:val="0"/>
        </w:rPr>
        <w:t xml:space="preserve">Table of Figures</w:t>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80" w:lineRule="auto"/>
              <w:rPr/>
            </w:pPr>
            <w:r w:rsidDel="00000000" w:rsidR="00000000" w:rsidRPr="00000000">
              <w:rPr>
                <w:rtl w:val="0"/>
              </w:rPr>
              <w:t xml:space="preserve">CAD model of the camera mount and structural frame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80" w:lineRule="auto"/>
              <w:rPr/>
            </w:pPr>
            <w:r w:rsidDel="00000000" w:rsidR="00000000" w:rsidRPr="00000000">
              <w:rPr>
                <w:rtl w:val="0"/>
              </w:rPr>
              <w:t xml:space="preserve">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80" w:lineRule="auto"/>
              <w:rPr/>
            </w:pPr>
            <w:r w:rsidDel="00000000" w:rsidR="00000000" w:rsidRPr="00000000">
              <w:rPr>
                <w:rtl w:val="0"/>
              </w:rPr>
              <w:t xml:space="preserve">Configurable two-tier, 6-grid space bin layout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80" w:lineRule="auto"/>
              <w:rPr/>
            </w:pPr>
            <w:r w:rsidDel="00000000" w:rsidR="00000000" w:rsidRPr="00000000">
              <w:rPr>
                <w:rtl w:val="0"/>
              </w:rPr>
              <w:t xml:space="preserve">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80" w:lineRule="auto"/>
              <w:rPr/>
            </w:pPr>
            <w:r w:rsidDel="00000000" w:rsidR="00000000" w:rsidRPr="00000000">
              <w:rPr>
                <w:rtl w:val="0"/>
              </w:rPr>
              <w:t xml:space="preserve">Rim-centric bin detection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80" w:lineRule="auto"/>
              <w:rPr/>
            </w:pPr>
            <w:r w:rsidDel="00000000" w:rsidR="00000000" w:rsidRPr="00000000">
              <w:rPr>
                <w:rtl w:val="0"/>
              </w:rPr>
              <w:t xml:space="preserve">3.2.3.1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80" w:lineRule="auto"/>
              <w:rPr/>
            </w:pPr>
            <w:r w:rsidDel="00000000" w:rsidR="00000000" w:rsidRPr="00000000">
              <w:rPr>
                <w:rtl w:val="0"/>
              </w:rPr>
              <w:t xml:space="preserve">Dynamic grid calibration sequence start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80" w:lineRule="auto"/>
              <w:rPr/>
            </w:pPr>
            <w:r w:rsidDel="00000000" w:rsidR="00000000" w:rsidRPr="00000000">
              <w:rPr>
                <w:rtl w:val="0"/>
              </w:rPr>
              <w:t xml:space="preserve">3.2.3.2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80" w:lineRule="auto"/>
              <w:rPr/>
            </w:pPr>
            <w:r w:rsidDel="00000000" w:rsidR="00000000" w:rsidRPr="00000000">
              <w:rPr>
                <w:rtl w:val="0"/>
              </w:rPr>
              <w:t xml:space="preserve">After first screenshot (registration of possible bin positions)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80" w:lineRule="auto"/>
              <w:rPr/>
            </w:pPr>
            <w:r w:rsidDel="00000000" w:rsidR="00000000" w:rsidRPr="00000000">
              <w:rPr>
                <w:rtl w:val="0"/>
              </w:rPr>
              <w:t xml:space="preserve">3.2.3.3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80" w:lineRule="auto"/>
              <w:rPr/>
            </w:pPr>
            <w:r w:rsidDel="00000000" w:rsidR="00000000" w:rsidRPr="00000000">
              <w:rPr>
                <w:rtl w:val="0"/>
              </w:rPr>
              <w:t xml:space="preserve">After second screenshot (registration of all active bin geofences)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80" w:lineRule="auto"/>
              <w:rPr/>
            </w:pPr>
            <w:r w:rsidDel="00000000" w:rsidR="00000000" w:rsidRPr="00000000">
              <w:rPr>
                <w:rtl w:val="0"/>
              </w:rPr>
              <w:t xml:space="preserve">3.2.4.1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80" w:lineRule="auto"/>
              <w:rPr/>
            </w:pPr>
            <w:r w:rsidDel="00000000" w:rsidR="00000000" w:rsidRPr="00000000">
              <w:rPr>
                <w:rtl w:val="0"/>
              </w:rPr>
              <w:t xml:space="preserve">MediaPipe 21-point hand landmark topology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80" w:lineRule="auto"/>
              <w:rPr/>
            </w:pPr>
            <w:r w:rsidDel="00000000" w:rsidR="00000000" w:rsidRPr="00000000">
              <w:rPr>
                <w:rtl w:val="0"/>
              </w:rPr>
              <w:t xml:space="preserve">3.2.4.2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80" w:lineRule="auto"/>
              <w:rPr/>
            </w:pPr>
            <w:r w:rsidDel="00000000" w:rsidR="00000000" w:rsidRPr="00000000">
              <w:rPr>
                <w:rtl w:val="0"/>
              </w:rPr>
              <w:t xml:space="preserve">In-process landmark extraction during a live picking motion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80" w:lineRule="auto"/>
              <w:rPr/>
            </w:pPr>
            <w:r w:rsidDel="00000000" w:rsidR="00000000" w:rsidRPr="00000000">
              <w:rPr>
                <w:rtl w:val="0"/>
              </w:rPr>
              <w:t xml:space="preserve">3.2.7.1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80" w:lineRule="auto"/>
              <w:rPr/>
            </w:pPr>
            <w:r w:rsidDel="00000000" w:rsidR="00000000" w:rsidRPr="00000000">
              <w:rPr>
                <w:rtl w:val="0"/>
              </w:rPr>
              <w:t xml:space="preserve">Side-view schematic — shelf lip occluding fingertips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80" w:lineRule="auto"/>
              <w:rPr/>
            </w:pPr>
            <w:r w:rsidDel="00000000" w:rsidR="00000000" w:rsidRPr="00000000">
              <w:rPr>
                <w:rtl w:val="0"/>
              </w:rPr>
              <w:t xml:space="preserve">3.2.7.2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80" w:lineRule="auto"/>
              <w:rPr/>
            </w:pPr>
            <w:r w:rsidDel="00000000" w:rsidR="00000000" w:rsidRPr="00000000">
              <w:rPr>
                <w:rtl w:val="0"/>
              </w:rPr>
              <w:t xml:space="preserve">With the gate — override to correct bottom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80" w:lineRule="auto"/>
              <w:rPr/>
            </w:pPr>
            <w:r w:rsidDel="00000000" w:rsidR="00000000" w:rsidRPr="00000000">
              <w:rPr>
                <w:rtl w:val="0"/>
              </w:rPr>
              <w:t xml:space="preserve">3.2.2.4.1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80" w:lineRule="auto"/>
              <w:rPr/>
            </w:pPr>
            <w:r w:rsidDel="00000000" w:rsidR="00000000" w:rsidRPr="00000000">
              <w:rPr>
                <w:rtl w:val="0"/>
              </w:rPr>
              <w:t xml:space="preserve">Load cell platform evolution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80" w:lineRule="auto"/>
              <w:rPr/>
            </w:pPr>
            <w:r w:rsidDel="00000000" w:rsidR="00000000" w:rsidRPr="00000000">
              <w:rPr>
                <w:rtl w:val="0"/>
              </w:rPr>
              <w:t xml:space="preserve">3.3.1.3.1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80" w:lineRule="auto"/>
              <w:rPr/>
            </w:pPr>
            <w:r w:rsidDel="00000000" w:rsidR="00000000" w:rsidRPr="00000000">
              <w:rPr>
                <w:rtl w:val="0"/>
              </w:rPr>
              <w:t xml:space="preserve">Software architecture between sensor pipelines and FastAPI web 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80" w:lineRule="auto"/>
              <w:rPr/>
            </w:pPr>
            <w:r w:rsidDel="00000000" w:rsidR="00000000" w:rsidRPr="00000000">
              <w:rPr>
                <w:rtl w:val="0"/>
              </w:rPr>
              <w:t xml:space="preserve">3.3.2.2.1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80" w:lineRule="auto"/>
              <w:rPr/>
            </w:pPr>
            <w:r w:rsidDel="00000000" w:rsidR="00000000" w:rsidRPr="00000000">
              <w:rPr>
                <w:rtl w:val="0"/>
              </w:rPr>
              <w:t xml:space="preserve">Red outline — hand over the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80" w:lineRule="auto"/>
              <w:rPr/>
            </w:pPr>
            <w:r w:rsidDel="00000000" w:rsidR="00000000" w:rsidRPr="00000000">
              <w:rPr>
                <w:rtl w:val="0"/>
              </w:rPr>
              <w:t xml:space="preserve">3.3.2.2.2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80" w:lineRule="auto"/>
              <w:rPr/>
            </w:pPr>
            <w:r w:rsidDel="00000000" w:rsidR="00000000" w:rsidRPr="00000000">
              <w:rPr>
                <w:rtl w:val="0"/>
              </w:rPr>
              <w:t xml:space="preserve">Green outline — hand in the correct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80" w:lineRule="auto"/>
              <w:rPr/>
            </w:pPr>
            <w:r w:rsidDel="00000000" w:rsidR="00000000" w:rsidRPr="00000000">
              <w:rPr>
                <w:rtl w:val="0"/>
              </w:rPr>
              <w:t xml:space="preserve">3.3.2.2.3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80" w:lineRule="auto"/>
              <w:rPr/>
            </w:pPr>
            <w:r w:rsidDel="00000000" w:rsidR="00000000" w:rsidRPr="00000000">
              <w:rPr>
                <w:rtl w:val="0"/>
              </w:rPr>
              <w:t xml:space="preserve">Target state — only working bin is 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80" w:lineRule="auto"/>
              <w:rPr/>
            </w:pPr>
            <w:r w:rsidDel="00000000" w:rsidR="00000000" w:rsidRPr="00000000">
              <w:rPr>
                <w:rtl w:val="0"/>
              </w:rPr>
              <w:t xml:space="preserve">3.4.2.1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80" w:lineRule="auto"/>
              <w:rPr/>
            </w:pPr>
            <w:r w:rsidDel="00000000" w:rsidR="00000000" w:rsidRPr="00000000">
              <w:rPr>
                <w:rtl w:val="0"/>
              </w:rPr>
              <w:t xml:space="preserve">Fully integrated AEGIS 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80" w:lineRule="auto"/>
              <w:rPr/>
            </w:pPr>
            <w:r w:rsidDel="00000000" w:rsidR="00000000" w:rsidRPr="00000000">
              <w:rPr>
                <w:rtl w:val="0"/>
              </w:rPr>
              <w:t xml:space="preserve">3.4.2.2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80" w:lineRule="auto"/>
              <w:rPr/>
            </w:pPr>
            <w:r w:rsidDel="00000000" w:rsidR="00000000" w:rsidRPr="00000000">
              <w:rPr>
                <w:rtl w:val="0"/>
              </w:rPr>
              <w:t xml:space="preserve">Real-time processing loop data flow diagram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80" w:lineRule="auto"/>
              <w:rPr/>
            </w:pPr>
            <w:r w:rsidDel="00000000" w:rsidR="00000000" w:rsidRPr="00000000">
              <w:rPr>
                <w:rtl w:val="0"/>
              </w:rPr>
              <w:t xml:space="preserve">CV test setups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80" w:lineRule="auto"/>
              <w:rPr/>
            </w:pPr>
            <w:r w:rsidDel="00000000" w:rsidR="00000000" w:rsidRPr="00000000">
              <w:rPr>
                <w:rtl w:val="0"/>
              </w:rPr>
              <w:t xml:space="preserve">No hallucination (all-blue) vs. hallucinated bounding box (mixed)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80" w:lineRule="auto"/>
              <w:rPr/>
            </w:pPr>
            <w:r w:rsidDel="00000000" w:rsidR="00000000" w:rsidRPr="00000000">
              <w:rPr>
                <w:rtl w:val="0"/>
              </w:rPr>
              <w:t xml:space="preserve">4.1.1.3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80" w:lineRule="auto"/>
              <w:rPr/>
            </w:pPr>
            <w:r w:rsidDel="00000000" w:rsidR="00000000" w:rsidRPr="00000000">
              <w:rPr>
                <w:rtl w:val="0"/>
              </w:rPr>
              <w:t xml:space="preserve">Group B sample detections across item categories and fill levels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80" w:lineRule="auto"/>
              <w:rPr/>
            </w:pPr>
            <w:r w:rsidDel="00000000" w:rsidR="00000000" w:rsidRPr="00000000">
              <w:rPr>
                <w:rtl w:val="0"/>
              </w:rPr>
              <w:t xml:space="preserve">4.1.1.4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80" w:lineRule="auto"/>
              <w:rPr/>
            </w:pPr>
            <w:r w:rsidDel="00000000" w:rsidR="00000000" w:rsidRPr="00000000">
              <w:rPr>
                <w:rtl w:val="0"/>
              </w:rPr>
              <w:t xml:space="preserve">Training curves for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80" w:lineRule="auto"/>
              <w:rPr/>
            </w:pPr>
            <w:r w:rsidDel="00000000" w:rsidR="00000000" w:rsidRPr="00000000">
              <w:rPr>
                <w:rtl w:val="0"/>
              </w:rPr>
              <w:t xml:space="preserve">4.1.1.5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80" w:lineRule="auto"/>
              <w:rPr/>
            </w:pPr>
            <w:r w:rsidDel="00000000" w:rsidR="00000000" w:rsidRPr="00000000">
              <w:rPr>
                <w:rtl w:val="0"/>
              </w:rPr>
              <w:t xml:space="preserve">Lighting characterisation results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80" w:lineRule="auto"/>
              <w:rPr/>
            </w:pPr>
            <w:r w:rsidDel="00000000" w:rsidR="00000000" w:rsidRPr="00000000">
              <w:rPr>
                <w:rtl w:val="0"/>
              </w:rPr>
              <w:t xml:space="preserve">Load-cell qualification bench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80" w:lineRule="auto"/>
              <w:rPr/>
            </w:pPr>
            <w:r w:rsidDel="00000000" w:rsidR="00000000" w:rsidRPr="00000000">
              <w:rPr>
                <w:rtl w:val="0"/>
              </w:rPr>
              <w:t xml:space="preserve">Unit test coverage by module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80" w:lineRule="auto"/>
              <w:rPr/>
            </w:pPr>
            <w:r w:rsidDel="00000000" w:rsidR="00000000" w:rsidRPr="00000000">
              <w:rPr>
                <w:rtl w:val="0"/>
              </w:rPr>
              <w:t xml:space="preserve">Usability study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80" w:lineRule="auto"/>
              <w:rPr/>
            </w:pPr>
            <w:r w:rsidDel="00000000" w:rsidR="00000000" w:rsidRPr="00000000">
              <w:rPr>
                <w:rtl w:val="0"/>
              </w:rPr>
              <w:t xml:space="preserve">Paired AEGIS-vs-non-AEGIS cycle time chart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80" w:lineRule="auto"/>
              <w:rPr/>
            </w:pPr>
            <w:r w:rsidDel="00000000" w:rsidR="00000000" w:rsidRPr="00000000">
              <w:rPr>
                <w:rtl w:val="0"/>
              </w:rPr>
              <w:t xml:space="preserve">Mean cycle time by BOM, non-AEGIS vs.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80" w:lineRule="auto"/>
              <w:rPr/>
            </w:pPr>
            <w:r w:rsidDel="00000000" w:rsidR="00000000" w:rsidRPr="00000000">
              <w:rPr>
                <w:rtl w:val="0"/>
              </w:rPr>
              <w:t xml:space="preserve">Cycle time vs. total mass handled by operator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80" w:lineRule="auto"/>
              <w:rPr/>
            </w:pPr>
            <w:r w:rsidDel="00000000" w:rsidR="00000000" w:rsidRPr="00000000">
              <w:rPr>
                <w:rtl w:val="0"/>
              </w:rPr>
              <w:t xml:space="preserve">Cycle time per pick vs. mass per pick, by set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80" w:lineRule="auto"/>
              <w:rPr/>
            </w:pPr>
            <w:r w:rsidDel="00000000" w:rsidR="00000000" w:rsidRPr="00000000">
              <w:rPr>
                <w:rtl w:val="0"/>
              </w:rPr>
              <w:t xml:space="preserve">Rating distribution across the nine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80" w:lineRule="auto"/>
              <w:rPr/>
            </w:pPr>
            <w:r w:rsidDel="00000000" w:rsidR="00000000" w:rsidRPr="00000000">
              <w:rPr>
                <w:rtl w:val="0"/>
              </w:rPr>
              <w:t xml:space="preserve">TE Connectivity stakeholder testing the AEGIS prototype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80" w:lineRule="auto"/>
              <w:rPr/>
            </w:pPr>
            <w:r w:rsidDel="00000000" w:rsidR="00000000" w:rsidRPr="00000000">
              <w:rPr>
                <w:rtl w:val="0"/>
              </w:rPr>
              <w:t xml:space="preserve">NRE amortisation curve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80" w:lineRule="auto"/>
              <w:rPr/>
            </w:pPr>
            <w:r w:rsidDel="00000000" w:rsidR="00000000" w:rsidRPr="00000000">
              <w:rPr>
                <w:rtl w:val="0"/>
              </w:rPr>
              <w:t xml:space="preserve">Stacked cost breakdown per station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80" w:lineRule="auto"/>
              <w:rPr/>
            </w:pPr>
            <w:r w:rsidDel="00000000" w:rsidR="00000000" w:rsidRPr="00000000">
              <w:rPr>
                <w:rtl w:val="0"/>
              </w:rPr>
              <w:t xml:space="preserve">Cumulative net-savings curves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80" w:lineRule="auto"/>
              <w:rPr/>
            </w:pPr>
            <w:r w:rsidDel="00000000" w:rsidR="00000000" w:rsidRPr="00000000">
              <w:rPr>
                <w:rtl w:val="0"/>
              </w:rPr>
              <w:t xml:space="preserve">Payback sensitivity heatmap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80" w:lineRule="auto"/>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80" w:lineRule="auto"/>
              <w:rPr/>
            </w:pPr>
            <w:r w:rsidDel="00000000" w:rsidR="00000000" w:rsidRPr="00000000">
              <w:rPr>
                <w:rtl w:val="0"/>
              </w:rPr>
              <w:t xml:space="preserve">Possible scenario decision tree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80" w:lineRule="auto"/>
              <w:rPr/>
            </w:pPr>
            <w:r w:rsidDel="00000000" w:rsidR="00000000" w:rsidRPr="00000000">
              <w:rPr>
                <w:rtl w:val="0"/>
              </w:rPr>
              <w:t xml:space="preserve">B.1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80" w:lineRule="auto"/>
              <w:rPr/>
            </w:pPr>
            <w:r w:rsidDel="00000000" w:rsidR="00000000" w:rsidRPr="00000000">
              <w:rPr>
                <w:rtl w:val="0"/>
              </w:rPr>
              <w:t xml:space="preserve">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80" w:lineRule="auto"/>
              <w:rPr/>
            </w:pPr>
            <w:r w:rsidDel="00000000" w:rsidR="00000000" w:rsidRPr="00000000">
              <w:rPr>
                <w:rtl w:val="0"/>
              </w:rPr>
            </w:r>
          </w:p>
        </w:tc>
      </w:tr>
    </w:tbl>
    <w:p w:rsidR="00000000" w:rsidDel="00000000" w:rsidP="00000000" w:rsidRDefault="00000000" w:rsidRPr="00000000" w14:paraId="000001DE">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E0">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E1">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E2">
      <w:pPr>
        <w:spacing w:after="240" w:before="240" w:lineRule="auto"/>
        <w:rPr/>
      </w:pPr>
      <w:r w:rsidDel="00000000" w:rsidR="00000000" w:rsidRPr="00000000">
        <w:rPr>
          <w:rtl w:val="0"/>
        </w:rPr>
        <w:t xml:space="preserve">Manual kitting is used to support this high-mix, low-volume environment by allowing operators to prepare different combinations of components for each order. However, the process depends heavily on workers correctly identifying, counting, and packing parts across a wide variety of components. This creates the risk of wrong parts, missing parts, and incorrect quantities.</w:t>
      </w:r>
    </w:p>
    <w:p w:rsidR="00000000" w:rsidDel="00000000" w:rsidP="00000000" w:rsidRDefault="00000000" w:rsidRPr="00000000" w14:paraId="000001E3">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E4">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E5">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E6">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E7">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E8">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E9">
      <w:pPr>
        <w:spacing w:after="240" w:before="240" w:lineRule="auto"/>
        <w:rPr>
          <w:color w:val="ff0000"/>
        </w:rPr>
      </w:pPr>
      <w:r w:rsidDel="00000000" w:rsidR="00000000" w:rsidRPr="00000000">
        <w:rPr>
          <w:color w:val="ff0000"/>
          <w:rtl w:val="0"/>
        </w:rPr>
        <w:t xml:space="preserve">[CONTENT NEEDED — no source material in current draft: the current draft does not explicitly state that the cell workstation was identified as the </w:t>
      </w:r>
      <w:r w:rsidDel="00000000" w:rsidR="00000000" w:rsidRPr="00000000">
        <w:rPr>
          <w:i w:val="1"/>
          <w:iCs w:val="1"/>
          <w:color w:val="ff0000"/>
          <w:rtl w:val="0"/>
        </w:rPr>
        <w:t xml:space="preserve">highest-leverage</w:t>
      </w:r>
      <w:r w:rsidDel="00000000" w:rsidR="00000000" w:rsidRPr="00000000">
        <w:rPr>
          <w:color w:val="ff0000"/>
          <w:rtl w:val="0"/>
        </w:rPr>
        <w:t xml:space="preserve"> point for reducing COPQ relative to other intervention points on the line (e.g., incoming inspection, end-of-line QC). The paragraphs above are built from what the source does establish — cross-plant variability and the workstation as the recurring unit — but do not claim a leverage/cost-benefit comparison against other candidate intervention points, since no such comparison exists in the draft.]</w:t>
      </w:r>
    </w:p>
    <w:p w:rsidR="00000000" w:rsidDel="00000000" w:rsidP="00000000" w:rsidRDefault="00000000" w:rsidRPr="00000000" w14:paraId="000001EA">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EB">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EC">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ED">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EE">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EF">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F0">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w:t>
      </w:r>
      <w:r w:rsidDel="00000000" w:rsidR="00000000" w:rsidRPr="00000000">
        <w:rPr>
          <w:b w:val="1"/>
          <w:bCs w:val="1"/>
          <w:rtl w:val="0"/>
        </w:rPr>
        <w:t xml:space="preserve">[][]</w:t>
      </w:r>
      <w:r w:rsidDel="00000000" w:rsidR="00000000" w:rsidRPr="00000000">
        <w:rPr>
          <w:rtl w:val="0"/>
        </w:rPr>
        <w:t xml:space="preserve"> Although these factors can be reduced, they cannot be eliminated completely. As a result, a certain level of defect risk will always remain in manual kitting operations. A detailed breakdown of the worker's actions and the multiple potential points of failure is provided in [Appendix A].</w:t>
      </w:r>
    </w:p>
    <w:p w:rsidR="00000000" w:rsidDel="00000000" w:rsidP="00000000" w:rsidRDefault="00000000" w:rsidRPr="00000000" w14:paraId="000001F1">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F2">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F3">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4">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5">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6">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7">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8">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9">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FA">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FB">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C">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D">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E">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FF">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0">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1">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2">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3">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4">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5">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6">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7">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8">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9">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A">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B">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C">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D">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E">
            <w:pPr>
              <w:spacing w:after="200" w:line="278.4" w:lineRule="auto"/>
              <w:rPr/>
            </w:pPr>
            <w:r w:rsidDel="00000000" w:rsidR="00000000" w:rsidRPr="00000000">
              <w:rPr>
                <w:rtl w:val="0"/>
              </w:rPr>
              <w:t xml:space="preserve">None </w:t>
            </w:r>
          </w:p>
          <w:p w:rsidR="00000000" w:rsidDel="00000000" w:rsidP="00000000" w:rsidRDefault="00000000" w:rsidRPr="00000000" w14:paraId="0000020F">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0">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1">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2">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3">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4">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5">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6">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7">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8">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9">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A">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B">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C">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D">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E">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21F">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220">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221">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Furthermore, scalability is an issue, where it is time-consuming and costly to tag every single item in the entirety of TE inventory.</w:t>
      </w:r>
    </w:p>
    <w:p w:rsidR="00000000" w:rsidDel="00000000" w:rsidP="00000000" w:rsidRDefault="00000000" w:rsidRPr="00000000" w14:paraId="00000222">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223">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224">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225">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226">
      <w:pPr>
        <w:spacing w:after="200" w:before="80" w:lineRule="auto"/>
        <w:jc w:val="center"/>
        <w:rPr/>
      </w:pPr>
      <w:commentRangeStart w:id="0"/>
      <w:r w:rsidDel="00000000" w:rsidR="00000000" w:rsidRPr="00000000">
        <w:rPr>
          <w:rtl w:val="0"/>
        </w:rPr>
        <w:t xml:space="preserve">Table 1.6.1: Stakeholder requirements summary</w:t>
      </w:r>
      <w:commentRangeEnd w:id="0"/>
      <w:r w:rsidDel="00000000" w:rsidR="00000000" w:rsidRPr="00000000">
        <w:commentReference w:id="0"/>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7">
            <w:pPr>
              <w:spacing w:after="200" w:lineRule="auto"/>
              <w:rPr/>
            </w:pPr>
            <w:r w:rsidDel="00000000" w:rsidR="00000000" w:rsidRPr="00000000">
              <w:rPr>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8">
            <w:pPr>
              <w:spacing w:after="200" w:lineRule="auto"/>
              <w:rPr/>
            </w:pPr>
            <w:r w:rsidDel="00000000" w:rsidR="00000000" w:rsidRPr="00000000">
              <w:rPr>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9">
            <w:pPr>
              <w:spacing w:after="200" w:lineRule="auto"/>
              <w:rPr/>
            </w:pPr>
            <w:r w:rsidDel="00000000" w:rsidR="00000000" w:rsidRPr="00000000">
              <w:rPr>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A">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B">
            <w:pPr>
              <w:spacing w:after="200" w:lineRule="auto"/>
              <w:rPr/>
            </w:pPr>
            <w:r w:rsidDel="00000000" w:rsidR="00000000" w:rsidRPr="00000000">
              <w:rPr>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C">
            <w:pPr>
              <w:spacing w:after="200" w:lineRule="auto"/>
              <w:rPr/>
            </w:pPr>
            <w:r w:rsidDel="00000000" w:rsidR="00000000" w:rsidRPr="00000000">
              <w:rPr>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D">
            <w:pPr>
              <w:spacing w:after="200" w:lineRule="auto"/>
              <w:rPr/>
            </w:pPr>
            <w:r w:rsidDel="00000000" w:rsidR="00000000" w:rsidRPr="00000000">
              <w:rPr>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E">
            <w:pPr>
              <w:spacing w:after="200" w:lineRule="auto"/>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2F">
            <w:pPr>
              <w:spacing w:after="200" w:lineRule="auto"/>
              <w:rPr/>
            </w:pPr>
            <w:r w:rsidDel="00000000" w:rsidR="00000000" w:rsidRPr="00000000">
              <w:rPr>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0">
            <w:pPr>
              <w:spacing w:after="200" w:lineRule="auto"/>
              <w:rPr/>
            </w:pPr>
            <w:r w:rsidDel="00000000" w:rsidR="00000000" w:rsidRPr="00000000">
              <w:rPr>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1">
            <w:pPr>
              <w:spacing w:after="200" w:lineRule="auto"/>
              <w:rPr/>
            </w:pPr>
            <w:r w:rsidDel="00000000" w:rsidR="00000000" w:rsidRPr="00000000">
              <w:rPr>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2">
            <w:pPr>
              <w:spacing w:after="200" w:lineRule="auto"/>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3">
            <w:pPr>
              <w:spacing w:after="200" w:lineRule="auto"/>
              <w:rPr/>
            </w:pPr>
            <w:r w:rsidDel="00000000" w:rsidR="00000000" w:rsidRPr="00000000">
              <w:rPr>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4">
            <w:pPr>
              <w:spacing w:after="200" w:lineRule="auto"/>
              <w:rPr/>
            </w:pPr>
            <w:r w:rsidDel="00000000" w:rsidR="00000000" w:rsidRPr="00000000">
              <w:rPr>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5">
            <w:pPr>
              <w:spacing w:after="200" w:lineRule="auto"/>
              <w:rPr/>
            </w:pPr>
            <w:r w:rsidDel="00000000" w:rsidR="00000000" w:rsidRPr="00000000">
              <w:rPr>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6">
            <w:pPr>
              <w:spacing w:after="200" w:lineRule="auto"/>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7">
            <w:pPr>
              <w:spacing w:after="200" w:lineRule="auto"/>
              <w:rPr/>
            </w:pPr>
            <w:r w:rsidDel="00000000" w:rsidR="00000000" w:rsidRPr="00000000">
              <w:rPr>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8">
            <w:pPr>
              <w:spacing w:after="200" w:lineRule="auto"/>
              <w:rPr/>
            </w:pPr>
            <w:r w:rsidDel="00000000" w:rsidR="00000000" w:rsidRPr="00000000">
              <w:rPr>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9">
            <w:pPr>
              <w:spacing w:after="200" w:lineRule="auto"/>
              <w:rPr/>
            </w:pPr>
            <w:r w:rsidDel="00000000" w:rsidR="00000000" w:rsidRPr="00000000">
              <w:rPr>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A">
            <w:pPr>
              <w:spacing w:after="200" w:lineRule="auto"/>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B">
            <w:pPr>
              <w:spacing w:after="200" w:lineRule="auto"/>
              <w:rPr/>
            </w:pPr>
            <w:r w:rsidDel="00000000" w:rsidR="00000000" w:rsidRPr="00000000">
              <w:rPr>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C">
            <w:pPr>
              <w:spacing w:after="200" w:lineRule="auto"/>
              <w:rPr/>
            </w:pPr>
            <w:r w:rsidDel="00000000" w:rsidR="00000000" w:rsidRPr="00000000">
              <w:rPr>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D">
            <w:pPr>
              <w:spacing w:after="200" w:lineRule="auto"/>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E">
            <w:pPr>
              <w:spacing w:after="200" w:lineRule="auto"/>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F">
            <w:pPr>
              <w:spacing w:after="200" w:lineRule="auto"/>
              <w:rPr/>
            </w:pPr>
            <w:r w:rsidDel="00000000" w:rsidR="00000000" w:rsidRPr="00000000">
              <w:rPr>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0">
            <w:pPr>
              <w:spacing w:after="200" w:lineRule="auto"/>
              <w:rPr/>
            </w:pPr>
            <w:r w:rsidDel="00000000" w:rsidR="00000000" w:rsidRPr="00000000">
              <w:rPr>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1">
            <w:pPr>
              <w:spacing w:after="200" w:lineRule="auto"/>
              <w:rPr/>
            </w:pPr>
            <w:r w:rsidDel="00000000" w:rsidR="00000000" w:rsidRPr="00000000">
              <w:rPr>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2">
            <w:pPr>
              <w:spacing w:after="200" w:lineRule="auto"/>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3">
            <w:pPr>
              <w:spacing w:after="200" w:lineRule="auto"/>
              <w:rPr/>
            </w:pPr>
            <w:r w:rsidDel="00000000" w:rsidR="00000000" w:rsidRPr="00000000">
              <w:rPr>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4">
            <w:pPr>
              <w:spacing w:after="200" w:lineRule="auto"/>
              <w:rPr/>
            </w:pPr>
            <w:r w:rsidDel="00000000" w:rsidR="00000000" w:rsidRPr="00000000">
              <w:rPr>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5">
            <w:pPr>
              <w:spacing w:after="200" w:lineRule="auto"/>
              <w:rPr/>
            </w:pPr>
            <w:r w:rsidDel="00000000" w:rsidR="00000000" w:rsidRPr="00000000">
              <w:rPr>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6">
            <w:pPr>
              <w:spacing w:after="200" w:lineRule="auto"/>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7">
            <w:pPr>
              <w:spacing w:after="200" w:lineRule="auto"/>
              <w:rPr/>
            </w:pPr>
            <w:r w:rsidDel="00000000" w:rsidR="00000000" w:rsidRPr="00000000">
              <w:rPr>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8">
            <w:pPr>
              <w:spacing w:after="200" w:lineRule="auto"/>
              <w:rPr/>
            </w:pPr>
            <w:r w:rsidDel="00000000" w:rsidR="00000000" w:rsidRPr="00000000">
              <w:rPr>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9">
            <w:pPr>
              <w:spacing w:after="200" w:lineRule="auto"/>
              <w:rPr/>
            </w:pPr>
            <w:r w:rsidDel="00000000" w:rsidR="00000000" w:rsidRPr="00000000">
              <w:rPr>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A">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24B">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24C">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24D">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24E">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24F">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725"/>
        <w:gridCol w:w="3750"/>
        <w:gridCol w:w="2745"/>
        <w:tblGridChange w:id="0">
          <w:tblGrid>
            <w:gridCol w:w="1125"/>
            <w:gridCol w:w="172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0">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1">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2">
            <w:pPr>
              <w:spacing w:after="200" w:line="240" w:lineRule="auto"/>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3">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4">
            <w:pPr>
              <w:spacing w:after="200" w:line="240" w:lineRule="auto"/>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5">
            <w:pPr>
              <w:spacing w:after="200" w:line="240" w:lineRule="auto"/>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6">
            <w:pPr>
              <w:spacing w:after="200" w:line="240" w:lineRule="auto"/>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7">
            <w:pPr>
              <w:spacing w:after="200" w:line="240" w:lineRule="auto"/>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8">
            <w:pPr>
              <w:spacing w:after="200" w:line="240" w:lineRule="auto"/>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9">
            <w:pPr>
              <w:spacing w:after="200" w:line="240" w:lineRule="auto"/>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A">
            <w:pPr>
              <w:spacing w:after="200" w:line="240" w:lineRule="auto"/>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B">
            <w:pPr>
              <w:spacing w:after="200" w:line="240" w:lineRule="auto"/>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C">
            <w:pPr>
              <w:spacing w:after="200" w:line="240" w:lineRule="auto"/>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D">
            <w:pPr>
              <w:spacing w:after="200" w:line="240" w:lineRule="auto"/>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E">
            <w:pPr>
              <w:spacing w:after="200" w:line="240" w:lineRule="auto"/>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F">
            <w:pPr>
              <w:spacing w:after="200" w:line="240" w:lineRule="auto"/>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0">
            <w:pPr>
              <w:spacing w:after="200" w:line="240" w:lineRule="auto"/>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1">
            <w:pPr>
              <w:spacing w:after="200" w:line="240" w:lineRule="auto"/>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2">
            <w:pPr>
              <w:spacing w:after="200" w:line="240" w:lineRule="auto"/>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3">
            <w:pPr>
              <w:spacing w:after="200" w:line="240" w:lineRule="auto"/>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4">
            <w:pPr>
              <w:spacing w:after="200" w:line="240" w:lineRule="auto"/>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5">
            <w:pPr>
              <w:spacing w:after="200" w:line="240" w:lineRule="auto"/>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6">
            <w:pPr>
              <w:spacing w:after="200" w:line="240" w:lineRule="auto"/>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7">
            <w:pPr>
              <w:spacing w:after="200" w:line="240" w:lineRule="auto"/>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8">
            <w:pPr>
              <w:spacing w:after="200" w:line="240" w:lineRule="auto"/>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9">
            <w:pPr>
              <w:spacing w:after="200" w:line="240" w:lineRule="auto"/>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A">
            <w:pPr>
              <w:spacing w:after="200" w:line="240" w:lineRule="auto"/>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B">
            <w:pPr>
              <w:spacing w:after="200" w:line="240" w:lineRule="auto"/>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C">
            <w:pPr>
              <w:spacing w:after="200" w:line="240" w:lineRule="auto"/>
              <w:rPr>
                <w:highlight w:val="yellow"/>
              </w:rPr>
            </w:pPr>
            <w:r w:rsidDel="00000000" w:rsidR="00000000" w:rsidRPr="00000000">
              <w:rPr>
                <w:highlight w:val="yellow"/>
                <w:rtl w:val="0"/>
              </w:rPr>
              <w:t xml:space="preserve">FR-07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D">
            <w:pPr>
              <w:spacing w:after="200" w:line="240" w:lineRule="auto"/>
              <w:rPr>
                <w:highlight w:val="yellow"/>
              </w:rPr>
            </w:pPr>
            <w:r w:rsidDel="00000000" w:rsidR="00000000" w:rsidRPr="00000000">
              <w:rPr>
                <w:highlight w:val="yellow"/>
                <w:rtl w:val="0"/>
              </w:rPr>
              <w:t xml:space="preserve">Order Input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E">
            <w:pPr>
              <w:spacing w:after="200" w:line="240" w:lineRule="auto"/>
              <w:rPr>
                <w:highlight w:val="yellow"/>
              </w:rPr>
            </w:pPr>
            <w:r w:rsidDel="00000000" w:rsidR="00000000" w:rsidRPr="00000000">
              <w:rPr>
                <w:highlight w:val="yellow"/>
                <w:rtl w:val="0"/>
              </w:rPr>
              <w:t xml:space="preserve">The system shall accept any BOM specifications — including component identities, bin assignments, and required quantities — as inputs to define the verification context for each kit.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F">
            <w:pPr>
              <w:spacing w:after="200" w:line="240" w:lineRule="auto"/>
              <w:rPr>
                <w:highlight w:val="yellow"/>
              </w:rPr>
            </w:pPr>
            <w:r w:rsidDel="00000000" w:rsidR="00000000" w:rsidRPr="00000000">
              <w:rPr>
                <w:highlight w:val="yellow"/>
                <w:rtl w:val="0"/>
              </w:rPr>
              <w:t xml:space="preserve">Verification must be order-specific; a part correct for one order may be incorrect for another.</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0">
            <w:pPr>
              <w:spacing w:after="200" w:line="240" w:lineRule="auto"/>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1">
            <w:pPr>
              <w:spacing w:after="200" w:line="240" w:lineRule="auto"/>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2">
            <w:pPr>
              <w:spacing w:after="200" w:line="240" w:lineRule="auto"/>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3">
            <w:pPr>
              <w:spacing w:after="200" w:line="240" w:lineRule="auto"/>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4">
            <w:pPr>
              <w:spacing w:after="200" w:line="240" w:lineRule="auto"/>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5">
            <w:pPr>
              <w:spacing w:after="0" w:line="240" w:lineRule="auto"/>
              <w:rPr/>
            </w:pPr>
            <w:r w:rsidDel="00000000" w:rsidR="00000000" w:rsidRPr="00000000">
              <w:rPr>
                <w:rtl w:val="0"/>
              </w:rPr>
              <w:t xml:space="preserve">Environ-</w:t>
            </w:r>
          </w:p>
          <w:p w:rsidR="00000000" w:rsidDel="00000000" w:rsidP="00000000" w:rsidRDefault="00000000" w:rsidRPr="00000000" w14:paraId="00000276">
            <w:pPr>
              <w:spacing w:after="0" w:line="240" w:lineRule="auto"/>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7">
            <w:pPr>
              <w:spacing w:after="200" w:line="240" w:lineRule="auto"/>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8">
            <w:pPr>
              <w:spacing w:after="200" w:line="240" w:lineRule="auto"/>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9">
            <w:pPr>
              <w:spacing w:after="200" w:line="240" w:lineRule="auto"/>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A">
            <w:pPr>
              <w:spacing w:after="200" w:line="240" w:lineRule="auto"/>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B">
            <w:pPr>
              <w:spacing w:after="200" w:line="240" w:lineRule="auto"/>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C">
            <w:pPr>
              <w:spacing w:after="200" w:line="240" w:lineRule="auto"/>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D">
            <w:pPr>
              <w:spacing w:after="200" w:line="240" w:lineRule="auto"/>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E">
            <w:pPr>
              <w:spacing w:after="200" w:line="240" w:lineRule="auto"/>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F">
            <w:pPr>
              <w:spacing w:after="200" w:line="240" w:lineRule="auto"/>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0">
            <w:pPr>
              <w:spacing w:after="200" w:line="240" w:lineRule="auto"/>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281">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282">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283">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4">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5">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6">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7">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8">
            <w:pPr>
              <w:spacing w:after="200" w:line="240" w:lineRule="auto"/>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9">
            <w:pPr>
              <w:spacing w:after="200" w:line="240" w:lineRule="auto"/>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A">
            <w:pPr>
              <w:spacing w:after="200" w:line="240" w:lineRule="auto"/>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B">
            <w:pPr>
              <w:spacing w:after="200" w:line="240" w:lineRule="auto"/>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C">
            <w:pPr>
              <w:spacing w:after="200" w:line="240" w:lineRule="auto"/>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D">
            <w:pPr>
              <w:spacing w:after="200" w:line="240"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E">
            <w:pPr>
              <w:spacing w:after="200" w:line="240" w:lineRule="auto"/>
              <w:rPr/>
            </w:pPr>
            <w:commentRangeStart w:id="1"/>
            <w:r w:rsidDel="00000000" w:rsidR="00000000" w:rsidRPr="00000000">
              <w:rPr>
                <w:rtl w:val="0"/>
              </w:rPr>
              <w:t xml:space="preserve">The total hardware cost per workstation must be low enough to ensure that the return on investment (ROI) is achieved before the solution becomes obsolete.</w:t>
            </w:r>
            <w:commentRangeEnd w:id="1"/>
            <w:r w:rsidDel="00000000" w:rsidR="00000000" w:rsidRPr="00000000">
              <w:commentReference w:id="1"/>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F">
            <w:pPr>
              <w:spacing w:after="200" w:line="240" w:lineRule="auto"/>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0">
            <w:pPr>
              <w:spacing w:after="200" w:line="240" w:lineRule="auto"/>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1">
            <w:pPr>
              <w:spacing w:after="200" w:line="240" w:lineRule="auto"/>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2">
            <w:pPr>
              <w:spacing w:after="200" w:line="240" w:lineRule="auto"/>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3">
            <w:pPr>
              <w:spacing w:after="200" w:line="240" w:lineRule="auto"/>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4">
            <w:pPr>
              <w:spacing w:after="200" w:line="240" w:lineRule="auto"/>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5">
            <w:pPr>
              <w:spacing w:after="200" w:line="240" w:lineRule="auto"/>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6">
            <w:pPr>
              <w:spacing w:after="200" w:line="240" w:lineRule="auto"/>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7">
            <w:pPr>
              <w:spacing w:after="200" w:line="240" w:lineRule="auto"/>
              <w:rPr/>
            </w:pPr>
            <w:r w:rsidDel="00000000" w:rsidR="00000000" w:rsidRPr="00000000">
              <w:rPr>
                <w:rtl w:val="0"/>
              </w:rPr>
              <w:t xml:space="preserve">This ensures compliance with TE Connectivity’s data sensitivity and production-data security requirements. </w:t>
            </w:r>
          </w:p>
        </w:tc>
      </w:tr>
    </w:tbl>
    <w:p w:rsidR="00000000" w:rsidDel="00000000" w:rsidP="00000000" w:rsidRDefault="00000000" w:rsidRPr="00000000" w14:paraId="00000298">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299">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29A">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29B">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29C">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29D">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29F">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2A0">
      <w:pPr>
        <w:spacing w:after="240" w:before="240" w:lineRule="auto"/>
        <w:rPr>
          <w:color w:val="ff0000"/>
        </w:rPr>
      </w:pPr>
      <w:r w:rsidDel="00000000" w:rsidR="00000000" w:rsidRPr="00000000">
        <w:rPr>
          <w:color w:val="ff0000"/>
          <w:rtl w:val="0"/>
        </w:rPr>
        <w:t xml:space="preserve">[CONTENT NEEDED — no source material in current draft: Section 2.1 in the source document consists only of a header with no accompanying body text. No other passage in the draft functions as a general, standalone concept overview suitable for direct reuse here without duplicating material already presented in the Executive Summary (Concept/Solution) and Section 1.9 (Value Proposition).]</w:t>
      </w:r>
    </w:p>
    <w:p w:rsidR="00000000" w:rsidDel="00000000" w:rsidP="00000000" w:rsidRDefault="00000000" w:rsidRPr="00000000" w14:paraId="000002A1">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2A2">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2A3">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2A4">
      <w:pPr>
        <w:spacing w:after="240" w:before="240" w:lineRule="auto"/>
        <w:rPr/>
      </w:pPr>
      <w:commentRangeStart w:id="2"/>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2"/>
      <w:r w:rsidDel="00000000" w:rsidR="00000000" w:rsidRPr="00000000">
        <w:commentReference w:id="2"/>
      </w:r>
      <w:r w:rsidDel="00000000" w:rsidR="00000000" w:rsidRPr="00000000">
        <w:rPr>
          <w:rtl w:val="0"/>
        </w:rPr>
        <w:br w:type="textWrapping"/>
      </w:r>
    </w:p>
    <w:p w:rsidR="00000000" w:rsidDel="00000000" w:rsidP="00000000" w:rsidRDefault="00000000" w:rsidRPr="00000000" w14:paraId="000002A5">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200" w:line="240" w:lineRule="auto"/>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200" w:line="240" w:lineRule="auto"/>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200" w:line="240" w:lineRule="auto"/>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200" w:line="240" w:lineRule="auto"/>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after="200" w:line="240" w:lineRule="auto"/>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after="200" w:line="240" w:lineRule="auto"/>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after="200" w:line="240" w:lineRule="auto"/>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after="200" w:line="240" w:lineRule="auto"/>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200" w:line="240" w:lineRule="auto"/>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200" w:line="240" w:lineRule="auto"/>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200" w:line="240" w:lineRule="auto"/>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200" w:line="240" w:lineRule="auto"/>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200" w:line="240" w:lineRule="auto"/>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200" w:line="240" w:lineRule="auto"/>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200" w:line="240" w:lineRule="auto"/>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200" w:line="240" w:lineRule="auto"/>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200" w:line="240" w:lineRule="auto"/>
              <w:rPr/>
            </w:pPr>
            <w:r w:rsidDel="00000000" w:rsidR="00000000" w:rsidRPr="00000000">
              <w:rPr>
                <w:rtl w:val="0"/>
              </w:rPr>
              <w:t xml:space="preserve">Clear state is not needed as we only catch and highlight errors. Code Cut should never be reached as Error State should flag before that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200" w:line="240" w:lineRule="auto"/>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200" w:line="240" w:lineRule="auto"/>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200" w:line="240" w:lineRule="auto"/>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200" w:line="240" w:lineRule="auto"/>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200" w:line="240" w:lineRule="auto"/>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200" w:line="240" w:lineRule="auto"/>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200" w:line="240" w:lineRule="auto"/>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200" w:line="240" w:lineRule="auto"/>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200" w:line="240" w:lineRule="auto"/>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200" w:line="240" w:lineRule="auto"/>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200" w:line="240" w:lineRule="auto"/>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200" w:line="240" w:lineRule="auto"/>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200" w:line="240" w:lineRule="auto"/>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200" w:line="240" w:lineRule="auto"/>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200" w:line="240" w:lineRule="auto"/>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200" w:line="240" w:lineRule="auto"/>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200" w:line="240" w:lineRule="auto"/>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200" w:line="240" w:lineRule="auto"/>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200" w:line="240" w:lineRule="auto"/>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200" w:line="240" w:lineRule="auto"/>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D7">
            <w:pPr>
              <w:widowControl w:val="0"/>
              <w:spacing w:after="200" w:line="240" w:lineRule="auto"/>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200" w:line="240" w:lineRule="auto"/>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200" w:line="240" w:lineRule="auto"/>
              <w:rPr/>
            </w:pPr>
            <w:r w:rsidDel="00000000" w:rsidR="00000000" w:rsidRPr="00000000">
              <w:rPr>
                <w:rtl w:val="0"/>
              </w:rPr>
              <w:t xml:space="preserve">Most Accurate and readily available models</w:t>
            </w:r>
          </w:p>
        </w:tc>
      </w:tr>
    </w:tbl>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DD">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DE">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200" w:line="240" w:lineRule="auto"/>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200" w:line="240" w:lineRule="auto"/>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200" w:line="240" w:lineRule="auto"/>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200" w:line="240" w:lineRule="auto"/>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200" w:line="240" w:lineRule="auto"/>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200" w:line="240" w:lineRule="auto"/>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after="200" w:line="240" w:lineRule="auto"/>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200" w:line="240" w:lineRule="auto"/>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spacing w:after="200" w:line="240" w:lineRule="auto"/>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spacing w:after="200" w:line="240" w:lineRule="auto"/>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spacing w:after="200" w:line="240" w:lineRule="auto"/>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200" w:line="240" w:lineRule="auto"/>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spacing w:after="200" w:line="240" w:lineRule="auto"/>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spacing w:after="200" w:line="240" w:lineRule="auto"/>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spacing w:after="200" w:line="240" w:lineRule="auto"/>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spacing w:after="200" w:line="240" w:lineRule="auto"/>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200" w:line="240" w:lineRule="auto"/>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200" w:line="240" w:lineRule="auto"/>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200" w:line="240" w:lineRule="auto"/>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200" w:line="240" w:lineRule="auto"/>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200" w:line="240" w:lineRule="auto"/>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200" w:line="240" w:lineRule="auto"/>
              <w:rPr/>
            </w:pPr>
            <w:r w:rsidDel="00000000" w:rsidR="00000000" w:rsidRPr="00000000">
              <w:rPr>
                <w:rtl w:val="0"/>
              </w:rPr>
            </w:r>
          </w:p>
        </w:tc>
      </w:tr>
    </w:tbl>
    <w:p w:rsidR="00000000" w:rsidDel="00000000" w:rsidP="00000000" w:rsidRDefault="00000000" w:rsidRPr="00000000" w14:paraId="00000303">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304">
      <w:pPr>
        <w:pStyle w:val="Heading2"/>
        <w:keepNext w:val="0"/>
        <w:keepLines w:val="0"/>
        <w:spacing w:after="80" w:lineRule="auto"/>
        <w:rPr>
          <w:sz w:val="34"/>
          <w:szCs w:val="34"/>
        </w:rPr>
      </w:pPr>
      <w:r>
        <w:t>Chapter 3: Prototype Development and Iteration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872"/>
        <w:gridCol w:w="1872"/>
        <w:gridCol w:w="1872"/>
        <w:gridCol w:w="1872"/>
        <w:gridCol w:w="1872"/>
      </w:tblGrid>
      <w:tr>
        <w:trPr>
          <w:tblHeader/>
        </w:trPr>
        <w:tc>
          <w:tcPr>
            <w:tcW w:type="dxa" w:w="1872"/>
            <w:shd w:val="clear" w:color="auto" w:fill="1F4E79"/>
          </w:tcPr>
          <w:p>
            <w:pPr>
              <w:spacing w:before="60" w:after="60"/>
            </w:pPr>
            <w:r>
              <w:rPr>
                <w:rFonts w:ascii="Calibri" w:hAnsi="Calibri"/>
                <w:b/>
                <w:color w:val="FFFFFF"/>
                <w:sz w:val="18"/>
              </w:rPr>
              <w:t>Metric</w:t>
            </w:r>
          </w:p>
        </w:tc>
        <w:tc>
          <w:tcPr>
            <w:tcW w:type="dxa" w:w="1872"/>
            <w:shd w:val="clear" w:color="auto" w:fill="1F4E79"/>
          </w:tcPr>
          <w:p>
            <w:pPr>
              <w:spacing w:before="60" w:after="60"/>
            </w:pPr>
            <w:r>
              <w:rPr>
                <w:rFonts w:ascii="Calibri" w:hAnsi="Calibri"/>
                <w:b/>
                <w:color w:val="FFFFFF"/>
                <w:sz w:val="18"/>
              </w:rPr>
              <w:t>CV Thread Alone</w:t>
            </w:r>
          </w:p>
        </w:tc>
        <w:tc>
          <w:tcPr>
            <w:tcW w:type="dxa" w:w="1872"/>
            <w:shd w:val="clear" w:color="auto" w:fill="1F4E79"/>
          </w:tcPr>
          <w:p>
            <w:pPr>
              <w:spacing w:before="60" w:after="60"/>
            </w:pPr>
            <w:r>
              <w:rPr>
                <w:rFonts w:ascii="Calibri" w:hAnsi="Calibri"/>
                <w:b/>
                <w:color w:val="FFFFFF"/>
                <w:sz w:val="18"/>
              </w:rPr>
              <w:t>CV Thread + HMI + Load Cell Polling (full load)</w:t>
            </w:r>
          </w:p>
        </w:tc>
        <w:tc>
          <w:tcPr>
            <w:tcW w:type="dxa" w:w="1872"/>
            <w:shd w:val="clear" w:color="auto" w:fill="1F4E79"/>
          </w:tcPr>
          <w:p>
            <w:pPr>
              <w:spacing w:before="60" w:after="60"/>
            </w:pPr>
            <w:r>
              <w:rPr>
                <w:rFonts w:ascii="Calibri" w:hAnsi="Calibri"/>
                <w:b/>
                <w:color w:val="FFFFFF"/>
                <w:sz w:val="18"/>
              </w:rPr>
              <w:t>Δ</w:t>
            </w:r>
          </w:p>
        </w:tc>
        <w:tc>
          <w:tcPr>
            <w:tcW w:type="dxa" w:w="1872"/>
            <w:shd w:val="clear" w:color="auto" w:fill="1F4E79"/>
          </w:tcPr>
          <w:p>
            <w:pPr>
              <w:spacing w:before="60" w:after="60"/>
            </w:pPr>
            <w:r>
              <w:rPr>
                <w:rFonts w:ascii="Calibri" w:hAnsi="Calibri"/>
                <w:b/>
                <w:color w:val="FFFFFF"/>
                <w:sz w:val="18"/>
              </w:rPr>
              <w:t>Notes</w:t>
            </w:r>
          </w:p>
        </w:tc>
      </w:tr>
      <w:tr>
        <w:tc>
          <w:tcPr>
            <w:tcW w:type="dxa" w:w="1872"/>
            <w:shd w:val="clear" w:color="auto" w:fill="F2F4F7"/>
          </w:tcPr>
          <w:p>
            <w:pPr>
              <w:spacing w:before="60" w:after="60"/>
            </w:pPr>
            <w:r>
              <w:rPr>
                <w:rFonts w:ascii="Calibri" w:hAnsi="Calibri"/>
                <w:b/>
                <w:sz w:val="18"/>
              </w:rPr>
              <w:t>CV thread FPS</w:t>
            </w:r>
          </w:p>
        </w:tc>
        <w:tc>
          <w:tcPr>
            <w:tcW w:type="dxa" w:w="1872"/>
            <w:shd w:val="clear" w:color="auto" w:fill="F2F4F7"/>
          </w:tcPr>
          <w:p>
            <w:pPr>
              <w:spacing w:before="60" w:after="60"/>
            </w:pPr>
            <w:r>
              <w:rPr>
                <w:rFonts w:ascii="Calibri" w:hAnsi="Calibri"/>
                <w:sz w:val="18"/>
              </w:rPr>
              <w:t>29.7 FPS</w:t>
            </w:r>
          </w:p>
        </w:tc>
        <w:tc>
          <w:tcPr>
            <w:tcW w:type="dxa" w:w="1872"/>
            <w:shd w:val="clear" w:color="auto" w:fill="F2F4F7"/>
          </w:tcPr>
          <w:p>
            <w:pPr>
              <w:spacing w:before="60" w:after="60"/>
            </w:pPr>
            <w:r>
              <w:rPr>
                <w:rFonts w:ascii="Calibri" w:hAnsi="Calibri"/>
                <w:sz w:val="18"/>
              </w:rPr>
              <w:t>29.6 FPS</w:t>
            </w:r>
          </w:p>
        </w:tc>
        <w:tc>
          <w:tcPr>
            <w:tcW w:type="dxa" w:w="1872"/>
            <w:shd w:val="clear" w:color="auto" w:fill="F2F4F7"/>
          </w:tcPr>
          <w:p>
            <w:pPr>
              <w:spacing w:before="60" w:after="60"/>
            </w:pPr>
            <w:r>
              <w:rPr>
                <w:rFonts w:ascii="Calibri" w:hAnsi="Calibri"/>
                <w:sz w:val="18"/>
              </w:rPr>
              <w:t>-0.1 FPS (-0.4%)</w:t>
            </w:r>
          </w:p>
        </w:tc>
        <w:tc>
          <w:tcPr>
            <w:tcW w:type="dxa" w:w="1872"/>
            <w:shd w:val="clear" w:color="auto" w:fill="F2F4F7"/>
          </w:tcPr>
          <w:p>
            <w:pPr>
              <w:spacing w:before="60" w:after="60"/>
            </w:pPr>
            <w:r>
              <w:rPr>
                <w:rFonts w:ascii="Calibri" w:hAnsi="Calibri"/>
                <w:sz w:val="18"/>
              </w:rPr>
              <w:t>CV processing rate stays identical under full load.</w:t>
            </w:r>
          </w:p>
        </w:tc>
      </w:tr>
      <w:tr>
        <w:tc>
          <w:tcPr>
            <w:tcW w:type="dxa" w:w="1872"/>
            <w:shd w:val="clear" w:color="auto" w:fill="FFFFFF"/>
          </w:tcPr>
          <w:p>
            <w:pPr>
              <w:spacing w:before="60" w:after="60"/>
            </w:pPr>
            <w:r>
              <w:rPr>
                <w:rFonts w:ascii="Calibri" w:hAnsi="Calibri"/>
                <w:b/>
                <w:sz w:val="18"/>
              </w:rPr>
              <w:t>End-to-end alert latency (mean, ms)</w:t>
            </w:r>
          </w:p>
        </w:tc>
        <w:tc>
          <w:tcPr>
            <w:tcW w:type="dxa" w:w="1872"/>
            <w:shd w:val="clear" w:color="auto" w:fill="FFFFFF"/>
          </w:tcPr>
          <w:p>
            <w:pPr>
              <w:spacing w:before="60" w:after="60"/>
            </w:pPr>
            <w:r>
              <w:rPr>
                <w:rFonts w:ascii="Calibri" w:hAnsi="Calibri"/>
                <w:sz w:val="18"/>
              </w:rPr>
              <w:t>13.87 ms</w:t>
            </w:r>
          </w:p>
        </w:tc>
        <w:tc>
          <w:tcPr>
            <w:tcW w:type="dxa" w:w="1872"/>
            <w:shd w:val="clear" w:color="auto" w:fill="FFFFFF"/>
          </w:tcPr>
          <w:p>
            <w:pPr>
              <w:spacing w:before="60" w:after="60"/>
            </w:pPr>
            <w:r>
              <w:rPr>
                <w:rFonts w:ascii="Calibri" w:hAnsi="Calibri"/>
                <w:sz w:val="18"/>
              </w:rPr>
              <w:t>12.75 ms</w:t>
            </w:r>
          </w:p>
        </w:tc>
        <w:tc>
          <w:tcPr>
            <w:tcW w:type="dxa" w:w="1872"/>
            <w:shd w:val="clear" w:color="auto" w:fill="FFFFFF"/>
          </w:tcPr>
          <w:p>
            <w:pPr>
              <w:spacing w:before="60" w:after="60"/>
            </w:pPr>
            <w:r>
              <w:rPr>
                <w:rFonts w:ascii="Calibri" w:hAnsi="Calibri"/>
                <w:sz w:val="18"/>
              </w:rPr>
              <w:t>-1.12 ms</w:t>
            </w:r>
          </w:p>
        </w:tc>
        <w:tc>
          <w:tcPr>
            <w:tcW w:type="dxa" w:w="1872"/>
            <w:shd w:val="clear" w:color="auto" w:fill="FFFFFF"/>
          </w:tcPr>
          <w:p>
            <w:pPr>
              <w:spacing w:before="60" w:after="60"/>
            </w:pPr>
            <w:r>
              <w:rPr>
                <w:rFonts w:ascii="Calibri" w:hAnsi="Calibri"/>
                <w:sz w:val="18"/>
              </w:rPr>
              <w:t>Includes shared memory sync + HTTP serialization.</w:t>
            </w:r>
          </w:p>
        </w:tc>
      </w:tr>
      <w:tr>
        <w:tc>
          <w:tcPr>
            <w:tcW w:type="dxa" w:w="1872"/>
            <w:shd w:val="clear" w:color="auto" w:fill="F2F4F7"/>
          </w:tcPr>
          <w:p>
            <w:pPr>
              <w:spacing w:before="60" w:after="60"/>
            </w:pPr>
            <w:r>
              <w:rPr>
                <w:rFonts w:ascii="Calibri" w:hAnsi="Calibri"/>
                <w:b/>
                <w:sz w:val="18"/>
              </w:rPr>
              <w:t>End-to-end alert latency (max, ms)</w:t>
            </w:r>
          </w:p>
        </w:tc>
        <w:tc>
          <w:tcPr>
            <w:tcW w:type="dxa" w:w="1872"/>
            <w:shd w:val="clear" w:color="auto" w:fill="F2F4F7"/>
          </w:tcPr>
          <w:p>
            <w:pPr>
              <w:spacing w:before="60" w:after="60"/>
            </w:pPr>
            <w:r>
              <w:rPr>
                <w:rFonts w:ascii="Calibri" w:hAnsi="Calibri"/>
                <w:sz w:val="18"/>
              </w:rPr>
              <w:t>29.18 ms</w:t>
            </w:r>
          </w:p>
        </w:tc>
        <w:tc>
          <w:tcPr>
            <w:tcW w:type="dxa" w:w="1872"/>
            <w:shd w:val="clear" w:color="auto" w:fill="F2F4F7"/>
          </w:tcPr>
          <w:p>
            <w:pPr>
              <w:spacing w:before="60" w:after="60"/>
            </w:pPr>
            <w:r>
              <w:rPr>
                <w:rFonts w:ascii="Calibri" w:hAnsi="Calibri"/>
                <w:sz w:val="18"/>
              </w:rPr>
              <w:t>14.82 ms</w:t>
            </w:r>
          </w:p>
        </w:tc>
        <w:tc>
          <w:tcPr>
            <w:tcW w:type="dxa" w:w="1872"/>
            <w:shd w:val="clear" w:color="auto" w:fill="F2F4F7"/>
          </w:tcPr>
          <w:p>
            <w:pPr>
              <w:spacing w:before="60" w:after="60"/>
            </w:pPr>
            <w:r>
              <w:rPr>
                <w:rFonts w:ascii="Calibri" w:hAnsi="Calibri"/>
                <w:sz w:val="18"/>
              </w:rPr>
              <w:t>-14.36 ms</w:t>
            </w:r>
          </w:p>
        </w:tc>
        <w:tc>
          <w:tcPr>
            <w:tcW w:type="dxa" w:w="1872"/>
            <w:shd w:val="clear" w:color="auto" w:fill="F2F4F7"/>
          </w:tcPr>
          <w:p>
            <w:pPr>
              <w:spacing w:before="60" w:after="60"/>
            </w:pPr>
            <w:r>
              <w:rPr>
                <w:rFonts w:ascii="Calibri" w:hAnsi="Calibri"/>
                <w:sz w:val="18"/>
              </w:rPr>
              <w:t>Peak HTTP network query overhead.</w:t>
            </w:r>
          </w:p>
        </w:tc>
      </w:tr>
      <w:tr>
        <w:tc>
          <w:tcPr>
            <w:tcW w:type="dxa" w:w="1872"/>
            <w:shd w:val="clear" w:color="auto" w:fill="FFFFFF"/>
          </w:tcPr>
          <w:p>
            <w:pPr>
              <w:spacing w:before="60" w:after="60"/>
            </w:pPr>
            <w:r>
              <w:rPr>
                <w:rFonts w:ascii="Calibri" w:hAnsi="Calibri"/>
                <w:b/>
                <w:sz w:val="18"/>
              </w:rPr>
              <w:t>HMI refresh responsiveness</w:t>
            </w:r>
          </w:p>
        </w:tc>
        <w:tc>
          <w:tcPr>
            <w:tcW w:type="dxa" w:w="1872"/>
            <w:shd w:val="clear" w:color="auto" w:fill="FFFFFF"/>
          </w:tcPr>
          <w:p>
            <w:pPr>
              <w:spacing w:before="60" w:after="60"/>
            </w:pPr>
            <w:r>
              <w:rPr>
                <w:rFonts w:ascii="Calibri" w:hAnsi="Calibri"/>
                <w:sz w:val="18"/>
              </w:rPr>
              <w:t>N/A (HMI disabled)</w:t>
            </w:r>
          </w:p>
        </w:tc>
        <w:tc>
          <w:tcPr>
            <w:tcW w:type="dxa" w:w="1872"/>
            <w:shd w:val="clear" w:color="auto" w:fill="FFFFFF"/>
          </w:tcPr>
          <w:p>
            <w:pPr>
              <w:spacing w:before="60" w:after="60"/>
            </w:pPr>
            <w:r>
              <w:rPr>
                <w:rFonts w:ascii="Calibri" w:hAnsi="Calibri"/>
                <w:sz w:val="18"/>
              </w:rPr>
              <w:t>2.11 ms mean (3.4 ms max)</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Measures FastAPI responsiveness under full concurrent request load.</w:t>
            </w:r>
          </w:p>
        </w:tc>
      </w:tr>
      <w:tr>
        <w:tc>
          <w:tcPr>
            <w:tcW w:type="dxa" w:w="1872"/>
            <w:shd w:val="clear" w:color="auto" w:fill="F2F4F7"/>
          </w:tcPr>
          <w:p>
            <w:pPr>
              <w:spacing w:before="60" w:after="60"/>
            </w:pPr>
            <w:r>
              <w:rPr>
                <w:rFonts w:ascii="Calibri" w:hAnsi="Calibri"/>
                <w:b/>
                <w:sz w:val="18"/>
              </w:rPr>
              <w:t>CPU utilization (% / cores used)</w:t>
            </w:r>
          </w:p>
        </w:tc>
        <w:tc>
          <w:tcPr>
            <w:tcW w:type="dxa" w:w="1872"/>
            <w:shd w:val="clear" w:color="auto" w:fill="F2F4F7"/>
          </w:tcPr>
          <w:p>
            <w:pPr>
              <w:spacing w:before="60" w:after="60"/>
            </w:pPr>
            <w:r>
              <w:rPr>
                <w:rFonts w:ascii="Calibri" w:hAnsi="Calibri"/>
                <w:sz w:val="18"/>
              </w:rPr>
              <w:t>0.9% / 0.01 cores</w:t>
            </w:r>
          </w:p>
        </w:tc>
        <w:tc>
          <w:tcPr>
            <w:tcW w:type="dxa" w:w="1872"/>
            <w:shd w:val="clear" w:color="auto" w:fill="F2F4F7"/>
          </w:tcPr>
          <w:p>
            <w:pPr>
              <w:spacing w:before="60" w:after="60"/>
            </w:pPr>
            <w:r>
              <w:rPr>
                <w:rFonts w:ascii="Calibri" w:hAnsi="Calibri"/>
                <w:sz w:val="18"/>
              </w:rPr>
              <w:t>6.2% / 0.06 cores</w:t>
            </w:r>
          </w:p>
        </w:tc>
        <w:tc>
          <w:tcPr>
            <w:tcW w:type="dxa" w:w="1872"/>
            <w:shd w:val="clear" w:color="auto" w:fill="F2F4F7"/>
          </w:tcPr>
          <w:p>
            <w:pPr>
              <w:spacing w:before="60" w:after="60"/>
            </w:pPr>
            <w:r>
              <w:rPr>
                <w:rFonts w:ascii="Calibri" w:hAnsi="Calibri"/>
                <w:sz w:val="18"/>
              </w:rPr>
              <w:t>N/A</w:t>
            </w:r>
          </w:p>
        </w:tc>
        <w:tc>
          <w:tcPr>
            <w:tcW w:type="dxa" w:w="1872"/>
            <w:shd w:val="clear" w:color="auto" w:fill="F2F4F7"/>
          </w:tcPr>
          <w:p>
            <w:pPr>
              <w:spacing w:before="60" w:after="60"/>
            </w:pPr>
            <w:r>
              <w:rPr>
                <w:rFonts w:ascii="Calibri" w:hAnsi="Calibri"/>
                <w:sz w:val="18"/>
              </w:rPr>
              <w:t>Demonstrates multi-threaded core distribution.</w:t>
            </w:r>
          </w:p>
        </w:tc>
      </w:tr>
      <w:tr>
        <w:tc>
          <w:tcPr>
            <w:tcW w:type="dxa" w:w="1872"/>
            <w:shd w:val="clear" w:color="auto" w:fill="FFFFFF"/>
          </w:tcPr>
          <w:p>
            <w:pPr>
              <w:spacing w:before="60" w:after="60"/>
            </w:pPr>
            <w:r>
              <w:rPr>
                <w:rFonts w:ascii="Calibri" w:hAnsi="Calibri"/>
                <w:b/>
                <w:sz w:val="18"/>
              </w:rPr>
              <w:t>Load-cell polling rate (Hz)</w:t>
            </w:r>
          </w:p>
        </w:tc>
        <w:tc>
          <w:tcPr>
            <w:tcW w:type="dxa" w:w="1872"/>
            <w:shd w:val="clear" w:color="auto" w:fill="FFFFFF"/>
          </w:tcPr>
          <w:p>
            <w:pPr>
              <w:spacing w:before="60" w:after="60"/>
            </w:pPr>
            <w:r>
              <w:rPr>
                <w:rFonts w:ascii="Calibri" w:hAnsi="Calibri"/>
                <w:sz w:val="18"/>
              </w:rPr>
              <w:t>N/A (Disabled)</w:t>
            </w:r>
          </w:p>
        </w:tc>
        <w:tc>
          <w:tcPr>
            <w:tcW w:type="dxa" w:w="1872"/>
            <w:shd w:val="clear" w:color="auto" w:fill="FFFFFF"/>
          </w:tcPr>
          <w:p>
            <w:pPr>
              <w:spacing w:before="60" w:after="60"/>
            </w:pPr>
            <w:r>
              <w:rPr>
                <w:rFonts w:ascii="Calibri" w:hAnsi="Calibri"/>
                <w:sz w:val="18"/>
              </w:rPr>
              <w:t>11.3 Hz</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Confirms load cell background serial ingestion rate.</w:t>
            </w:r>
          </w:p>
        </w:tc>
      </w:tr>
    </w:tbl>
    <w:p>
      <w:pPr/>
      <w:r>
        <w:t>Flowing directly from the System Architecture defined in Chapter 2, this chapter details the iterative prototyping process for each of the AEGIS system's core subsystems. The development methodology followed a rigorous problem-mitigation cycle: establishing the baseline requirement, evaluating the initial prototype iteration, and implementing mitigations until all subsystem requirements were fully satisfied. Once all subsystems were validated in isolation, they were unified during system integration.</w:t>
      </w:r>
    </w:p>
    <w:p>
      <w:pPr>
        <w:pStyle w:val="Heading2"/>
      </w:pPr>
      <w:r>
        <w:t>3.1 Load Cell and Physical Frame Subsystem</w:t>
      </w:r>
    </w:p>
    <w:p>
      <w:pPr/>
      <w:r>
        <w:t xml:space="preserve">**Requirement:** </w:t>
        <w:br/>
        <w:t>The physical workstation needed to emulate TE Connectivity's manual kitting lines while providing highly stable, high-resolution weight measurements. The primary requirement was to ensure a zero-band noise floor and minimum detectable mass capability (e.g., 0.5 g for small bins) to accurately verify component picks, regardless of where the item was placed within the bin.</w:t>
      </w:r>
    </w:p>
    <w:p>
      <w:pPr/>
      <w:r>
        <w:t>**Iteration 1: Single Cantilever Load Cell**</w:t>
        <w:br/>
        <w:t xml:space="preserve">The initial hardware platform design comprised a single cantilever load cell mounted centrally beneath a flat acrylic resting plate for each bin position. </w:t>
        <w:br/>
        <w:t>*Result:* This iteration failed to meet mechanical and metrology requirements. Initial bench evaluation revealed severe off-centre tipping instability. When larger components were retrieved, the bin's centre of gravity (COG) shifted away from the central axis, causing the acrylic platform to tilt and physically contact neighboring bin frames. Furthermore, this off-centre loading introduced substantial measurement error due to moment arm sensitivity, causing baseline zero-point shifts exceeding ±15.0 g.</w:t>
      </w:r>
    </w:p>
    <w:p>
      <w:pPr/>
      <w:r>
        <w:t>**Mitigation and Iteration 2: Three-Point Summed Triangle**</w:t>
        <w:br/>
        <w:t>To overcome the tipping instability without expanding the physical footprint, the design was mitigated by implementing a three-point summed load cell triangle configuration for all medium and large bin platforms. Three sensors were arranged in an equilateral triangle, guaranteeing the bin's COG remained within a statically determined support plane.</w:t>
        <w:br/>
        <w:t>*Result:* This iteration was successful. Mechanical rocking and frame contact were completely eliminated. The three load cell bridges were wired in parallel into a single HX711 ADC, transmitting a unified weight signal. Metrology benchmarking confirmed that the new design maintained a zero-band noise floor of 0.223 g on the 5 kg platform, fully meeting the stability and resolution requirements.</w:t>
      </w:r>
    </w:p>
    <w:p>
      <w:pPr>
        <w:pStyle w:val="Heading2"/>
      </w:pPr>
      <w:r>
        <w:t>3.2 Computer Vision Subsystem</w:t>
      </w:r>
    </w:p>
    <w:p>
      <w:pPr/>
      <w:r>
        <w:t>**Requirement:**</w:t>
        <w:br/>
        <w:t>The computer vision engine required robust, real-time geofencing of bin boundaries regardless of physical bin contents or environmental lighting, alongside high-speed hand landmark tracking to determine spatial interactions.</w:t>
      </w:r>
    </w:p>
    <w:p>
      <w:pPr/>
      <w:r>
        <w:t>**Iteration 1: Initial YOLOv8 and Basic Tracking**</w:t>
        <w:br/>
        <w:t xml:space="preserve">The first iteration utilized a baseline YOLOv8-OBB model trained primarily on empty bins, paired with a synchronous MediaPipe hand tracking loop. </w:t>
        <w:br/>
        <w:t>*Result:* The initial boundary detection failed under real-world conditions. When bins were partially or fully filled with diverse components (e.g., reflective brackets, long copper rods), the model lost the ability to detect the bin rims accurately.</w:t>
      </w:r>
    </w:p>
    <w:p>
      <w:pPr/>
      <w:r>
        <w:t>**Mitigation and Iteration 2: Augmentation and Decoupled Tracking**</w:t>
        <w:br/>
        <w:t xml:space="preserve">To mitigate the detection failures, a layer-by-layer permutation protocol was executed. A new dataset was augmented across full-spectrum fill levels (0% to 100% capacity) and diverse item categories. </w:t>
        <w:br/>
        <w:t>*Result:* The second iteration met all requirements. The retrained YOLOv8-OBB model achieved a Precision of 0.999 and mAP@50 of 0.995. Furthermore, an environmental illuminance sweep proved the model maintained 100% detection accuracy from 0 lux (darkness) up to 506 lux.</w:t>
      </w:r>
    </w:p>
    <w:p>
      <w:pPr>
        <w:pStyle w:val="Heading2"/>
      </w:pPr>
      <w:r>
        <w:t>3.3 Software and HMI Subsystem</w:t>
      </w:r>
    </w:p>
    <w:p>
      <w:pPr/>
      <w:r>
        <w:t>**Requirement:**</w:t>
        <w:br/>
        <w:t>The software architecture needed to provide a responsive, glanceable Human-Machine Interface (HMI) for the operator without being bottlenecked by the heavy computational loads of the computer vision and serial sensor polling threads.</w:t>
      </w:r>
    </w:p>
    <w:p>
      <w:pPr/>
      <w:r>
        <w:t>**Iteration 1: Coupled Processing Loop**</w:t>
        <w:br/>
        <w:t>The initial software draft utilized a tightly coupled, synchronous processing loop where camera frame ingestion, model inference, serial polling, and UI rendering occurred sequentially.</w:t>
        <w:br/>
        <w:t>*Result:* This iteration failed to meet real-time requirements. Delays in serial timeouts or heavy CV inference caused the entire application loop to stall, resulting in severe HMI stuttering and missed sensor readings.</w:t>
      </w:r>
    </w:p>
    <w:p>
      <w:pPr/>
      <w:r>
        <w:t>**Mitigation and Iteration 2: Thread-Safe PipelineState Architecture**</w:t>
        <w:br/>
        <w:t>To resolve the bottleneck, the software architecture was completely refactored. A decoupled, asynchronous architecture was implemented using a thread-safe `PipelineState` shared memory cache. The CV engine, Load Cell polling, and FastAPI HMI server were separated into independent parallel threads that only communicate via this shared state.</w:t>
        <w:br/>
        <w:t>*Result:* This iteration was successful. The HMI now polls the backend REST API effortlessly at 10 Hz without any stutter, while the CV thread independently maintains 30 FPS. All software requirements were met.</w:t>
      </w:r>
    </w:p>
    <w:p>
      <w:pPr>
        <w:pStyle w:val="Heading2"/>
      </w:pPr>
      <w:r>
        <w:t>3.4 System Integration</w:t>
      </w:r>
    </w:p>
    <w:p>
      <w:pPr/>
      <w:r>
        <w:t>Once the physical frame, load cell arrays, computer vision models, and decoupled software architecture successfully met their individual subsystem requirements through iterative prototyping, the project moved to the system integration phase.</w:t>
      </w:r>
    </w:p>
    <w:p>
      <w:pPr/>
      <w:r>
        <w:t>Because the architecture was inherently modular and decoupled (communicating purely via the `PipelineState` shared memory), the physical plugging together of the subsystems required **only a single iteration**.</w:t>
      </w:r>
    </w:p>
    <w:p>
      <w:pPr/>
      <w:r>
        <w:t>In one pass, the ESP32 sensor hubs were connected to the Jetson AGX Orin, the camera feed was routed to the MediaPipe/YOLO engines, and the HMI was spun up. The integrated system immediately met all end-to-end latency and functional requirements without requiring any further architectural mitigation, validating the rigorous subsystem-level iterative prototyping approach.</w:t>
      </w:r>
    </w:p>
    <w:p w:rsidR="00000000" w:rsidDel="00000000" w:rsidP="00000000" w:rsidRDefault="00000000" w:rsidRPr="00000000" w14:paraId="0000037E">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37F">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380">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381">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382">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2"/>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spacing w:after="200" w:line="36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spacing w:after="200" w:line="360" w:lineRule="auto"/>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spacing w:after="200" w:line="360" w:lineRule="auto"/>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spacing w:after="200" w:line="36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spacing w:after="200" w:line="360" w:lineRule="auto"/>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spacing w:after="200" w:line="360" w:lineRule="auto"/>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spacing w:after="200" w:line="360" w:lineRule="auto"/>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spacing w:after="200" w:line="360" w:lineRule="auto"/>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spacing w:after="200" w:line="360" w:lineRule="auto"/>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38F">
      <w:pPr>
        <w:spacing w:after="200" w:line="360" w:lineRule="auto"/>
        <w:rPr>
          <w:color w:val="9900ff"/>
        </w:rPr>
      </w:pPr>
      <w:r w:rsidDel="00000000" w:rsidR="00000000" w:rsidRPr="00000000">
        <w:rPr>
          <w:rtl w:val="0"/>
        </w:rPr>
      </w:r>
    </w:p>
    <w:p w:rsidR="00000000" w:rsidDel="00000000" w:rsidP="00000000" w:rsidRDefault="00000000" w:rsidRPr="00000000" w14:paraId="00000390">
      <w:pPr>
        <w:spacing w:after="240" w:before="240" w:lineRule="auto"/>
        <w:jc w:val="center"/>
        <w:rPr/>
      </w:pPr>
      <w:r w:rsidDel="00000000" w:rsidR="00000000" w:rsidRPr="00000000">
        <w:rPr/>
        <w:drawing>
          <wp:inline distB="114300" distT="114300" distL="114300" distR="114300">
            <wp:extent cx="5943600" cy="7241286"/>
            <wp:effectExtent b="0" l="0" r="0" t="0"/>
            <wp:docPr id="9"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943600" cy="724128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391">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392">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393">
      <w:pPr>
        <w:spacing w:after="240" w:before="240" w:lineRule="auto"/>
        <w:rPr/>
      </w:pPr>
      <w:r w:rsidDel="00000000" w:rsidR="00000000" w:rsidRPr="00000000">
        <w:rPr>
          <w:color w:val="9900ff"/>
          <w:rtl w:val="0"/>
        </w:rPr>
        <w:t xml:space="preserve">[FIGURE PLACEHOLDER — already exists in current draft as Figure 4.4, "(a) no hallucination for all blue bins (b) hallucinated bounding box for mixed-colours"; carry over as-is]</w:t>
        <w:br w:type="textWrapping"/>
      </w:r>
      <w:r w:rsidDel="00000000" w:rsidR="00000000" w:rsidRPr="00000000">
        <w:rPr>
          <w:rtl w:val="0"/>
        </w:rPr>
        <w:t xml:space="preserve"> Figure 4.1.1.2: (a) No hallucination for all-blue bins. (b) Hallucinated bounding box for mixed colours.</w:t>
      </w:r>
    </w:p>
    <w:p w:rsidR="00000000" w:rsidDel="00000000" w:rsidP="00000000" w:rsidRDefault="00000000" w:rsidRPr="00000000" w14:paraId="00000394">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395">
      <w:pPr>
        <w:spacing w:after="240" w:before="240" w:lineRule="auto"/>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p>
    <w:p w:rsidR="00000000" w:rsidDel="00000000" w:rsidP="00000000" w:rsidRDefault="00000000" w:rsidRPr="00000000" w14:paraId="00000396">
      <w:pPr>
        <w:spacing w:after="240" w:before="240" w:lineRule="auto"/>
        <w:rPr/>
      </w:pPr>
      <w:r w:rsidDel="00000000" w:rsidR="00000000" w:rsidRPr="00000000">
        <w:rPr>
          <w:color w:val="9900ff"/>
          <w:rtl w:val="0"/>
        </w:rPr>
        <w:t xml:space="preserve">[FIGURE PLACEHOLDER — already exists in current draft as Figure 4.5, "Group B sample detections across item categories and fill levels"; carry over as-is]</w:t>
        <w:br w:type="textWrapping"/>
      </w:r>
      <w:r w:rsidDel="00000000" w:rsidR="00000000" w:rsidRPr="00000000">
        <w:rPr>
          <w:rtl w:val="0"/>
        </w:rPr>
        <w:t xml:space="preserve"> Figure 4.1.1.3: Group B sample detections across item categories and fill levels.</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398">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399">
      <w:pPr>
        <w:spacing w:after="240" w:before="240" w:lineRule="auto"/>
        <w:rPr>
          <w:color w:val="9900ff"/>
        </w:rPr>
      </w:pPr>
      <w:r w:rsidDel="00000000" w:rsidR="00000000" w:rsidRPr="00000000">
        <w:rPr>
          <w:rtl w:val="0"/>
        </w:rPr>
        <w:t xml:space="preserve">Table 4.1.1.2: YOLOv8-OBB validation metrics (Setup V3) — Precision, Recall, mAP50, mAP50-95, and Epochs.</w:t>
        <w:br w:type="textWrapping"/>
      </w:r>
      <w:r w:rsidDel="00000000" w:rsidR="00000000" w:rsidRPr="00000000">
        <w:rPr>
          <w:color w:val="9900ff"/>
          <w:rtl w:val="0"/>
        </w:rPr>
        <w:t xml:space="preserve"> [TABLE PLACEHOLDER — already exists in current draft as Table 4.2, "YOLOv8-OBB validation metrics (Setup V3)"; carry over verbatim, all five metric rows]</w:t>
      </w:r>
    </w:p>
    <w:p w:rsidR="00000000" w:rsidDel="00000000" w:rsidP="00000000" w:rsidRDefault="00000000" w:rsidRPr="00000000" w14:paraId="0000039A">
      <w:pPr>
        <w:spacing w:after="240" w:before="240" w:lineRule="auto"/>
        <w:rPr/>
      </w:pPr>
      <w:r w:rsidDel="00000000" w:rsidR="00000000" w:rsidRPr="00000000">
        <w:rPr>
          <w:color w:val="9900ff"/>
          <w:rtl w:val="0"/>
        </w:rPr>
        <w:t xml:space="preserve">[FIGURE PLACEHOLDER — already exists in current draft as Figure 4.6, "Training curves for Setup V3, showing loss convergence and mAP over epochs"; carry over as-is]</w:t>
        <w:br w:type="textWrapping"/>
      </w:r>
      <w:r w:rsidDel="00000000" w:rsidR="00000000" w:rsidRPr="00000000">
        <w:rPr>
          <w:rtl w:val="0"/>
        </w:rPr>
        <w:t xml:space="preserve"> Figure 4.1.1.4: Training curves for Setup V3, showing loss convergence and mAP over epochs.</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9C">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9D">
      <w:pPr>
        <w:spacing w:after="240" w:before="240" w:lineRule="auto"/>
        <w:rPr/>
      </w:pPr>
      <w:r w:rsidDel="00000000" w:rsidR="00000000" w:rsidRPr="00000000">
        <w:rPr>
          <w:color w:val="9900ff"/>
          <w:rtl w:val="0"/>
        </w:rPr>
        <w:t xml:space="preserve">[FIGURE PLACEHOLDER — already exists in current draft as Figure 4.7, "Lighting characterisation results"; shows (a) lux readings across 9 bins at 8 levels, (b) confidence versus illuminance scatter plot with regression lines, (c) sample detections at approximately 0 lux and 506 lux; carry over as-is]</w:t>
        <w:br w:type="textWrapping"/>
      </w:r>
      <w:r w:rsidDel="00000000" w:rsidR="00000000" w:rsidRPr="00000000">
        <w:rPr>
          <w:rtl w:val="0"/>
        </w:rPr>
        <w:t xml:space="preserve"> Figure 4.1.1.5: Lighting characterisation results. (a) Lux readings across 9 bins at 8 levels. (b) Confidence versus illuminance scatter plot with regression lines. (c) Sample detections at approximately 0 lux and 506 lux.</w:t>
      </w:r>
    </w:p>
    <w:p w:rsidR="00000000" w:rsidDel="00000000" w:rsidP="00000000" w:rsidRDefault="00000000" w:rsidRPr="00000000" w14:paraId="0000039E">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9F">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A0">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A1">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A2">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A3">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A4">
      <w:pPr>
        <w:spacing w:after="240" w:before="240" w:lineRule="auto"/>
        <w:rPr/>
      </w:pPr>
      <w:r w:rsidDel="00000000" w:rsidR="00000000" w:rsidRPr="00000000">
        <w:rPr>
          <w:color w:val="9900ff"/>
          <w:rtl w:val="0"/>
        </w:rPr>
        <w:t xml:space="preserve">[FIGURE PLACEHOLDER — already exists in current draft as Figure 4.8, "Load-cell qualification bench setup"; shows (a) graded reference-mass kit of individually weighed sand bags, each labelled with actual mass, (b) full test bench: ESP32 + HX711, reference scale, red load-cell platform under test, and logging laptop; carry over as-is]</w:t>
      </w:r>
      <w:r w:rsidDel="00000000" w:rsidR="00000000" w:rsidRPr="00000000">
        <w:rPr>
          <w:rtl w:val="0"/>
        </w:rPr>
        <w:br w:type="textWrapping"/>
        <w:t xml:space="preserve"> Figure 4.2.1.1: Load-cell qualification bench setup. (a) Graded reference-mass kit: individually weighed sand bags, each labelled with actual (not nominal) mass. (b) Full test bench: ESP32 + HX711, reference scale, red load-cell platform under test, and logging laptop.</w:t>
      </w:r>
    </w:p>
    <w:p w:rsidR="00000000" w:rsidDel="00000000" w:rsidP="00000000" w:rsidRDefault="00000000" w:rsidRPr="00000000" w14:paraId="000003A5">
      <w:pPr>
        <w:spacing w:after="240" w:before="240" w:lineRule="auto"/>
        <w:rPr>
          <w:color w:val="9900ff"/>
        </w:rPr>
      </w:pPr>
      <w:r w:rsidDel="00000000" w:rsidR="00000000" w:rsidRPr="00000000">
        <w:rPr>
          <w:rtl w:val="0"/>
        </w:rPr>
        <w:t xml:space="preserve">Table 4.2.1.1: Platforms under test — configuration, cell count, wiring, platform geometry, rated capacity, and max test load for the 1 kg, 5 kg, and 10 kg platforms.</w:t>
        <w:br w:type="textWrapping"/>
        <w:t xml:space="preserve"> </w:t>
      </w:r>
      <w:r w:rsidDel="00000000" w:rsidR="00000000" w:rsidRPr="00000000">
        <w:rPr>
          <w:color w:val="9900ff"/>
          <w:rtl w:val="0"/>
        </w:rPr>
        <w:t xml:space="preserve">[TABLE PLACEHOLDER — already exists in current draft as Table 4.3, "Platforms under test"; carry over verbatim, all three configuration rows]</w:t>
      </w:r>
    </w:p>
    <w:p w:rsidR="00000000" w:rsidDel="00000000" w:rsidP="00000000" w:rsidRDefault="00000000" w:rsidRPr="00000000" w14:paraId="000003A6">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A8">
      <w:pPr>
        <w:spacing w:after="240" w:before="240" w:lineRule="auto"/>
        <w:rPr>
          <w:color w:val="9900ff"/>
        </w:rPr>
      </w:pPr>
      <w:r w:rsidDel="00000000" w:rsidR="00000000" w:rsidRPr="00000000">
        <w:rPr>
          <w:rtl w:val="0"/>
        </w:rPr>
        <w:t xml:space="preserve">Table 4.2.1.2: Supplier-stated YZC-133 performance parameters — nonlinearity, hysteresis, repeatability, creep, and zero/temperature drift.</w:t>
        <w:br w:type="textWrapping"/>
      </w:r>
      <w:r w:rsidDel="00000000" w:rsidR="00000000" w:rsidRPr="00000000">
        <w:rPr>
          <w:color w:val="9900ff"/>
          <w:rtl w:val="0"/>
        </w:rPr>
        <w:t xml:space="preserve"> [TABLE PLACEHOLDER — already exists in current draft as the unlabelled parameter table under old Section 4.2.2.1; carry over verbatim, all five parameter rows]</w:t>
      </w:r>
    </w:p>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AB">
      <w:pPr>
        <w:spacing w:after="240" w:before="240" w:lineRule="auto"/>
        <w:rPr>
          <w:color w:val="9900ff"/>
        </w:rPr>
      </w:pPr>
      <w:r w:rsidDel="00000000" w:rsidR="00000000" w:rsidRPr="00000000">
        <w:rPr>
          <w:rtl w:val="0"/>
        </w:rPr>
        <w:t xml:space="preserve">Table 4.2.1.3: Test protocol summary — tier (Capability/Stability/Integration), test ID (A1–A7), measure, and protocol for each qualification test.</w:t>
        <w:br w:type="textWrapping"/>
      </w:r>
      <w:r w:rsidDel="00000000" w:rsidR="00000000" w:rsidRPr="00000000">
        <w:rPr>
          <w:color w:val="9900ff"/>
          <w:rtl w:val="0"/>
        </w:rPr>
        <w:t xml:space="preserve"> [TABLE PLACEHOLDER — already exists in current draft as Table 4.4, "Test protocol summary"; carry over verbatim, all seven test rows]</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AD">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AF">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B0">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B1">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B2">
      <w:pPr>
        <w:spacing w:after="240" w:before="240" w:lineRule="auto"/>
        <w:rPr>
          <w:color w:val="9900ff"/>
        </w:rPr>
      </w:pPr>
      <w:r w:rsidDel="00000000" w:rsidR="00000000" w:rsidRPr="00000000">
        <w:rPr>
          <w:rtl w:val="0"/>
        </w:rPr>
        <w:t xml:space="preserve">Table 4.2.1.4: Repeatability standard deviation by platform and load level (50%, 75%, 100% of rated capacity), against scaled per-cell targets.</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A2 repeatability table under old Section 4.2.2.2; carry over verbatim, including the corrected 5 kg/75% value (3.751.151 g → confirmed 3751.151 g, per the source's own correction note)]</w:t>
      </w:r>
    </w:p>
    <w:p w:rsidR="00000000" w:rsidDel="00000000" w:rsidP="00000000" w:rsidRDefault="00000000" w:rsidRPr="00000000" w14:paraId="000003B3">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B4">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B5">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B6">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B7">
      <w:pPr>
        <w:spacing w:after="240" w:before="240" w:lineRule="auto"/>
        <w:rPr>
          <w:color w:val="9900ff"/>
        </w:rPr>
      </w:pPr>
      <w:r w:rsidDel="00000000" w:rsidR="00000000" w:rsidRPr="00000000">
        <w:rPr>
          <w:rtl w:val="0"/>
        </w:rPr>
        <w:t xml:space="preserve">Table 4.2.1.5: Warm-up drift by platform at t=0, 10, 20, and 30 minutes, mid-load reference.</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A4 warm-up drift table under old Section 4.2.2.2; carry over verbatim, including the corrected 10 kg t=10min value (source listed +0.90 g drift, inconsistent with the reading itself; confirmed reading of 5009.76 g, giving −0.10 g drift)]</w:t>
      </w:r>
    </w:p>
    <w:p w:rsidR="00000000" w:rsidDel="00000000" w:rsidP="00000000" w:rsidRDefault="00000000" w:rsidRPr="00000000" w14:paraId="000003B8">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BA">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BB">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BC">
      <w:pPr>
        <w:spacing w:after="240" w:before="240" w:lineRule="auto"/>
        <w:rPr>
          <w:color w:val="9900ff"/>
        </w:rPr>
      </w:pPr>
      <w:r w:rsidDel="00000000" w:rsidR="00000000" w:rsidRPr="00000000">
        <w:rPr>
          <w:rtl w:val="0"/>
        </w:rPr>
        <w:t xml:space="preserve">Table 4.2.1.6: Off-centre placement sensitivity by platform — fixed mass, max deviation, and deviation as percentage of mass.</w:t>
        <w:br w:type="textWrapping"/>
      </w:r>
      <w:r w:rsidDel="00000000" w:rsidR="00000000" w:rsidRPr="00000000">
        <w:rPr>
          <w:color w:val="9900ff"/>
          <w:rtl w:val="0"/>
        </w:rPr>
        <w:t xml:space="preserve"> [TABLE PLACEHOLDER — already exists in current draft as the unlabelled A6 table under old Section 4.2.2.2; carry over verbatim, all three platform rows]</w:t>
      </w:r>
    </w:p>
    <w:p w:rsidR="00000000" w:rsidDel="00000000" w:rsidP="00000000" w:rsidRDefault="00000000" w:rsidRPr="00000000" w14:paraId="000003BD">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BE">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C0">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C1">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C2">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C3">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C4">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C5">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C6">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developer-phase (pre-user-testing) evaluation of the frontend HMI distinct from the design-time iteration narrative already presented in Section 3.3.2.2. The HMI evaluation evidence that does exist in the source — the nine-dimension Likert-scale operator ratings (R1–R9), the six usability gaps (G1–G6) identified from operator feedback, and the TE Connectivity stakeholder's qualitative commentary on the UI — is all user-facing testing data collected during the formal user study, and is assigned under the chapter mapping to Chapter 5 (Sections 5.3/5.4), not to this developer-testing subsection. No separate internal/developer-side test protocol for the HMI (e.g. a controlled walkthrough or verification against the alert-latency and correctness criteria in D-05/D-06 prior to user testing) is documented in the source.]</w:t>
      </w:r>
    </w:p>
    <w:p w:rsidR="00000000" w:rsidDel="00000000" w:rsidP="00000000" w:rsidRDefault="00000000" w:rsidRPr="00000000" w14:paraId="000003C7">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C8">
      <w:pPr>
        <w:spacing w:after="240" w:before="240" w:lineRule="auto"/>
        <w:rPr>
          <w:color w:val="ff0000"/>
        </w:rPr>
      </w:pPr>
      <w:r w:rsidDel="00000000" w:rsidR="00000000" w:rsidRPr="00000000">
        <w:rPr>
          <w:color w:val="ff0000"/>
          <w:rtl w:val="0"/>
        </w:rPr>
        <w:t xml:space="preserve">[CONTENT NEEDED — no source material in current draft: without developer-phase test results in Section 4.3.1 to draw on, a requirements validation for the frontend HMI at this stage would have to rely on the same user-testing evidence assigned to Chapter 5, which would duplicate rather than reorganise that content. The formal validation of D-06 (Corrective Guidance) and D-05 (Real-Time Alerting) as they pertain to the HMI is addressed in Chapter 5's requirements validation matrix (old Table 5.5), which does report D-06 as Met on the basis of the HMI iteration in Section 5.2/3.3.2.2.]</w:t>
      </w:r>
    </w:p>
    <w:p w:rsidR="00000000" w:rsidDel="00000000" w:rsidP="00000000" w:rsidRDefault="00000000" w:rsidRPr="00000000" w14:paraId="000003C9">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CA">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CB">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CC">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CD">
      <w:pPr>
        <w:spacing w:after="240" w:before="240" w:lineRule="auto"/>
        <w:rPr>
          <w:color w:val="9900ff"/>
        </w:rPr>
      </w:pPr>
      <w:r w:rsidDel="00000000" w:rsidR="00000000" w:rsidRPr="00000000">
        <w:rPr>
          <w:rtl w:val="0"/>
        </w:rPr>
        <w:t xml:space="preserve">Table 4.4.1.1: Unit test coverage summary (134/134 passing) — statements and coverage percentage by module (placement.py, bin_assignment.py, occlusion_hold.py, grid_allocator.py, grid_calibrator.py, grid_session.py, inventory.py, cycle.py, overall project).</w:t>
        <w:br w:type="textWrapping"/>
      </w:r>
      <w:r w:rsidDel="00000000" w:rsidR="00000000" w:rsidRPr="00000000">
        <w:rPr>
          <w:color w:val="9900ff"/>
          <w:rtl w:val="0"/>
        </w:rPr>
        <w:t xml:space="preserve"> [TABLE PLACEHOLDER — already exists in current draft as Table 4.6, "Unit test coverage summary (134/134 passing)"; carry over verbatim, all module rows plus the overall project row]</w:t>
      </w:r>
    </w:p>
    <w:p w:rsidR="00000000" w:rsidDel="00000000" w:rsidP="00000000" w:rsidRDefault="00000000" w:rsidRPr="00000000" w14:paraId="000003CE">
      <w:pPr>
        <w:spacing w:after="240" w:before="240" w:lineRule="auto"/>
        <w:rPr/>
      </w:pPr>
      <w:r w:rsidDel="00000000" w:rsidR="00000000" w:rsidRPr="00000000">
        <w:rPr>
          <w:color w:val="9900ff"/>
          <w:rtl w:val="0"/>
        </w:rPr>
        <w:t xml:space="preserve">[FIGURE PLACEHOLDER — referenced in current draft as Figure 4.11 but not directly reproduced in the extracted text; based on the surrounding coverage table, this figure likely visualises per-module coverage percentages (e.g. as a bar chart). Needs to be located in or re-derived from the original report file.]</w:t>
        <w:br w:type="textWrapping"/>
      </w:r>
      <w:r w:rsidDel="00000000" w:rsidR="00000000" w:rsidRPr="00000000">
        <w:rPr>
          <w:rtl w:val="0"/>
        </w:rPr>
        <w:t xml:space="preserve"> Figure 4.4.1.1: Unit test coverage by module.</w:t>
      </w:r>
    </w:p>
    <w:p w:rsidR="00000000" w:rsidDel="00000000" w:rsidP="00000000" w:rsidRDefault="00000000" w:rsidRPr="00000000" w14:paraId="000003CF">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D0">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D1">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D2">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D3">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D4">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D5">
      <w:pPr>
        <w:spacing w:after="240" w:before="240" w:lineRule="auto"/>
        <w:rPr>
          <w:color w:val="ff0000"/>
        </w:rPr>
      </w:pPr>
      <w:r w:rsidDel="00000000" w:rsidR="00000000" w:rsidRPr="00000000">
        <w:rPr>
          <w:color w:val="ff0000"/>
          <w:rtl w:val="0"/>
        </w:rPr>
        <w:t xml:space="preserve">[CONTENT NEEDED — no source material in current draft: the current draft's system integration content (old Section 4.1) consists of the architectural description and iteration narrative already reorganised into Section 3.4.2 (pipeline orchestrator, PipelineState object, real-time processing loop, Figures 4.1.1/4.1.2) — it describes </w:t>
      </w:r>
      <w:r w:rsidDel="00000000" w:rsidR="00000000" w:rsidRPr="00000000">
        <w:rPr>
          <w:i w:val="1"/>
          <w:iCs w:val="1"/>
          <w:color w:val="ff0000"/>
          <w:rtl w:val="0"/>
        </w:rPr>
        <w:t xml:space="preserve">what was built</w:t>
      </w:r>
      <w:r w:rsidDel="00000000" w:rsidR="00000000" w:rsidRPr="00000000">
        <w:rPr>
          <w:color w:val="ff0000"/>
          <w:rtl w:val="0"/>
        </w:rPr>
        <w:t xml:space="preserve"> and </w:t>
      </w:r>
      <w:r w:rsidDel="00000000" w:rsidR="00000000" w:rsidRPr="00000000">
        <w:rPr>
          <w:i w:val="1"/>
          <w:iCs w:val="1"/>
          <w:color w:val="ff0000"/>
          <w:rtl w:val="0"/>
        </w:rPr>
        <w:t xml:space="preserve">how it was wired together</w:t>
      </w:r>
      <w:r w:rsidDel="00000000" w:rsidR="00000000" w:rsidRPr="00000000">
        <w:rPr>
          <w:color w:val="ff0000"/>
          <w:rtl w:val="0"/>
        </w:rPr>
        <w:t xml:space="preserve">, but does not report a distinct integration test protocol, pass/fail criteria, or quantitative/qualitative test outcomes (e.g. end-to-end latency measurements, sensor-fusion accuracy under combined load, or a defect log from integration testing) separate from the per-subsystem developer tests already covered in Sections 4.1, 4.2, and 4.4 above. The only end-to-end evaluative evidence in the source that treats the system as a whole is the six-operator usability study and the TE Connectivity stakeholder validation session, both of which are user-facing testing assigned to Chapter 5, not developer-phase system-integration testing.]</w:t>
      </w:r>
    </w:p>
    <w:p w:rsidR="00000000" w:rsidDel="00000000" w:rsidP="00000000" w:rsidRDefault="00000000" w:rsidRPr="00000000" w14:paraId="000003D6">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3D7">
      <w:pPr>
        <w:spacing w:after="240" w:before="240" w:lineRule="auto"/>
        <w:rPr>
          <w:color w:val="ff0000"/>
        </w:rPr>
      </w:pPr>
      <w:r w:rsidDel="00000000" w:rsidR="00000000" w:rsidRPr="00000000">
        <w:rPr>
          <w:color w:val="ff0000"/>
          <w:rtl w:val="0"/>
        </w:rPr>
        <w:t xml:space="preserve">[CONTENT NEEDED — no source material in current draft: without a distinct integration test protocol and results in Section 4.5.1, a requirements validation specific to system-level integration (as opposed to the per-subsystem validations already given in Sections 4.1.2, 4.2.2, and 4.4.2) is not separable from the source material. The closest relevant evidence — D-10 (Scalability), validated in the old draft's requirements matrix on the basis that the pipeline utilises approximately one of twelve available CPU cores under full load with a thread-safe architecture — is carried forward to Chapter 5's requirements validation matrix (Section 5.4 in the new structure) rather than reconstructed here, since no separate developer-phase system-integration test substantiates it independently of that matrix entry.]</w:t>
      </w:r>
    </w:p>
    <w:p w:rsidR="00000000" w:rsidDel="00000000" w:rsidP="00000000" w:rsidRDefault="00000000" w:rsidRPr="00000000" w14:paraId="000003D8">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3D9">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3DA">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w:t>
      </w:r>
    </w:p>
    <w:p w:rsidR="00000000" w:rsidDel="00000000" w:rsidP="00000000" w:rsidRDefault="00000000" w:rsidRPr="00000000" w14:paraId="000003DB">
      <w:pPr>
        <w:spacing w:after="240" w:before="240" w:lineRule="auto"/>
        <w:rPr>
          <w:color w:val="9900ff"/>
        </w:rPr>
      </w:pPr>
      <w:r w:rsidDel="00000000" w:rsidR="00000000" w:rsidRPr="00000000">
        <w:rPr>
          <w:rtl w:val="0"/>
        </w:rPr>
        <w:t xml:space="preserve">Table 5.1.1: Participant schedule and counterbalancing — operator, date, group, and BOM order for the six participants.</w:t>
        <w:br w:type="textWrapping"/>
      </w:r>
      <w:r w:rsidDel="00000000" w:rsidR="00000000" w:rsidRPr="00000000">
        <w:rPr>
          <w:color w:val="9900ff"/>
          <w:rtl w:val="0"/>
        </w:rPr>
        <w:t xml:space="preserve"> [TABLE PLACEHOLDER — already exists in current draft as Table 5.1, "Participant schedule and counterbalancing"; carry over verbatim, all six operator rows]</w:t>
      </w:r>
    </w:p>
    <w:p w:rsidR="00000000" w:rsidDel="00000000" w:rsidP="00000000" w:rsidRDefault="00000000" w:rsidRPr="00000000" w14:paraId="000003DC">
      <w:pPr>
        <w:spacing w:after="240" w:before="240" w:lineRule="auto"/>
        <w:rPr>
          <w:color w:val="9900ff"/>
        </w:rPr>
      </w:pPr>
      <w:r w:rsidDel="00000000" w:rsidR="00000000" w:rsidRPr="00000000">
        <w:rPr>
          <w:color w:val="9900ff"/>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3DD">
      <w:pPr>
        <w:spacing w:after="240" w:before="240" w:lineRule="auto"/>
        <w:rPr/>
      </w:pPr>
      <w:r w:rsidDel="00000000" w:rsidR="00000000" w:rsidRPr="00000000">
        <w:rPr>
          <w:color w:val="9900ff"/>
          <w:rtl w:val="0"/>
        </w:rPr>
        <w:t xml:space="preserve">[FIGURE PLACEHOLDER — already exists in current draft as Figure 5.1, "Usability study setup"; shows (a) an operator interacting with the AEGIS system during a kitting task, (b) the paper-based non-AEGIS condition; carry over as-is]</w:t>
        <w:br w:type="textWrapping"/>
      </w:r>
      <w:r w:rsidDel="00000000" w:rsidR="00000000" w:rsidRPr="00000000">
        <w:rPr>
          <w:rtl w:val="0"/>
        </w:rPr>
        <w:t xml:space="preserve"> Figure 5.1.1: Usability study setup. (a) Operator interacting with the AEGIS system during a kitting task. (b) Paper-based non-AEGIS condition.</w:t>
      </w:r>
    </w:p>
    <w:p w:rsidR="00000000" w:rsidDel="00000000" w:rsidP="00000000" w:rsidRDefault="00000000" w:rsidRPr="00000000" w14:paraId="000003DE">
      <w:pPr>
        <w:spacing w:after="240" w:before="240" w:lineRule="auto"/>
        <w:rPr/>
      </w:pPr>
      <w:r w:rsidDel="00000000" w:rsidR="00000000" w:rsidRPr="00000000">
        <w:rPr>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3DF">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3E0">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3E1">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3E3">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3E4">
      <w:pPr>
        <w:spacing w:after="240" w:before="240" w:lineRule="auto"/>
        <w:rPr>
          <w:color w:val="9900ff"/>
        </w:rPr>
      </w:pPr>
      <w:r w:rsidDel="00000000" w:rsidR="00000000" w:rsidRPr="00000000">
        <w:rPr>
          <w:rtl w:val="0"/>
        </w:rPr>
        <w:t xml:space="preserve">Table 5.2.1.1: Total cycle time per operator, AEGIS vs. non-AEGIS (seconds), with Δ and % change, including mean and median.</w:t>
        <w:br w:type="textWrapping"/>
      </w:r>
      <w:r w:rsidDel="00000000" w:rsidR="00000000" w:rsidRPr="00000000">
        <w:rPr>
          <w:color w:val="9900ff"/>
          <w:rtl w:val="0"/>
        </w:rPr>
        <w:t xml:space="preserve"> [TABLE PLACEHOLDER — already exists in current draft as Table 5.1.3-1 ("System" and "Control" columns); carry over the underlying data verbatim, relabelling the "System" column header as "AEGIS" and the "Control" column header as "Non-AEGIS"; all eight operator rows plus mean/median summary rows and the footnote on mean-of-percentages vs. percentage-of-means]</w:t>
      </w:r>
    </w:p>
    <w:p w:rsidR="00000000" w:rsidDel="00000000" w:rsidP="00000000" w:rsidRDefault="00000000" w:rsidRPr="00000000" w14:paraId="000003E5">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3E6">
      <w:pPr>
        <w:spacing w:after="240" w:before="240" w:lineRule="auto"/>
        <w:rPr/>
      </w:pPr>
      <w:r w:rsidDel="00000000" w:rsidR="00000000" w:rsidRPr="00000000">
        <w:rPr>
          <w:color w:val="9900ff"/>
          <w:rtl w:val="0"/>
        </w:rPr>
        <w:t xml:space="preserve">[FIGURE PLACEHOLDER — already exists in current draft as Figure 5.1.3-1, "paired System-vs-Control cycle time chart (all 8 operators)"; relabel axis/legend as AEGIS vs. Non-AEGIS; carry over underlying data as-is]</w:t>
        <w:br w:type="textWrapping"/>
      </w:r>
      <w:r w:rsidDel="00000000" w:rsidR="00000000" w:rsidRPr="00000000">
        <w:rPr>
          <w:rtl w:val="0"/>
        </w:rPr>
        <w:t xml:space="preserve"> Figure 5.2.1.1: Paired AEGIS-vs-non-AEGIS cycle time chart (all 8 operators).</w:t>
      </w:r>
    </w:p>
    <w:p w:rsidR="00000000" w:rsidDel="00000000" w:rsidP="00000000" w:rsidRDefault="00000000" w:rsidRPr="00000000" w14:paraId="000003E7">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3E8">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3E9">
      <w:pPr>
        <w:spacing w:after="240" w:before="240" w:lineRule="auto"/>
        <w:rPr>
          <w:color w:val="9900ff"/>
        </w:rPr>
      </w:pPr>
      <w:r w:rsidDel="00000000" w:rsidR="00000000" w:rsidRPr="00000000">
        <w:rPr>
          <w:rtl w:val="0"/>
        </w:rPr>
        <w:t xml:space="preserve">Table 5.2.1.2: Mean cycle time by BOM and condition (n = 6), including total picks, non-AEGIS/AEGIS mean CT, Δ, % overhead, and CT/pick for both conditions.</w:t>
        <w:br w:type="textWrapping"/>
      </w:r>
      <w:r w:rsidDel="00000000" w:rsidR="00000000" w:rsidRPr="00000000">
        <w:rPr>
          <w:color w:val="9900ff"/>
          <w:rtl w:val="0"/>
        </w:rPr>
        <w:t xml:space="preserve"> [TABLE PLACEHOLDER — already exists in current draft as Table 5.1.3-2; relabel "Control" and "System" columns as "Non-AEGIS" and "AEGIS"; carry over data verbatim, all three BOM rows]</w:t>
      </w:r>
    </w:p>
    <w:p w:rsidR="00000000" w:rsidDel="00000000" w:rsidP="00000000" w:rsidRDefault="00000000" w:rsidRPr="00000000" w14:paraId="000003EA">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3EB">
      <w:pPr>
        <w:spacing w:after="240" w:before="240" w:lineRule="auto"/>
        <w:rPr/>
      </w:pPr>
      <w:r w:rsidDel="00000000" w:rsidR="00000000" w:rsidRPr="00000000">
        <w:rPr>
          <w:color w:val="9900ff"/>
          <w:rtl w:val="0"/>
        </w:rPr>
        <w:t xml:space="preserve">[FIGURE PLACEHOLDER — already exists in current draft as Figure 5.1.3-2, "mean cycle time by BOM, Control vs. System"; relabel legend as Non-AEGIS vs. AEGIS; carry over data as-is]</w:t>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3EC">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3ED">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3EE">
      <w:pPr>
        <w:spacing w:after="240" w:before="240" w:lineRule="auto"/>
        <w:rPr>
          <w:color w:val="9900ff"/>
        </w:rPr>
      </w:pPr>
      <w:r w:rsidDel="00000000" w:rsidR="00000000" w:rsidRPr="00000000">
        <w:rPr>
          <w:rtl w:val="0"/>
        </w:rPr>
        <w:t xml:space="preserve">Table 5.2.1.3: Total picks, total mass, mass/pick, and mean cycle time by BOM (n = 6), including CT/kg for both conditions.</w:t>
        <w:br w:type="textWrapping"/>
      </w:r>
      <w:r w:rsidDel="00000000" w:rsidR="00000000" w:rsidRPr="00000000">
        <w:rPr>
          <w:color w:val="9900ff"/>
          <w:rtl w:val="0"/>
        </w:rPr>
        <w:t xml:space="preserve"> [TABLE PLACEHOLDER — already exists in current draft as Table 5.1.3-3; relabel "Control" and "System" columns as "Non-AEGIS" and "AEGIS"; carry over data verbatim, all three BOM rows]</w:t>
      </w:r>
    </w:p>
    <w:p w:rsidR="00000000" w:rsidDel="00000000" w:rsidP="00000000" w:rsidRDefault="00000000" w:rsidRPr="00000000" w14:paraId="000003EF">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3F0">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3F1">
      <w:pPr>
        <w:spacing w:after="240" w:before="240" w:lineRule="auto"/>
        <w:rPr/>
      </w:pPr>
      <w:r w:rsidDel="00000000" w:rsidR="00000000" w:rsidRPr="00000000">
        <w:rPr>
          <w:color w:val="9900ff"/>
          <w:rtl w:val="0"/>
        </w:rPr>
        <w:t xml:space="preserve">[FIGURE PLACEHOLDER — already exists in current draft as Figure 5.1.3-3, "Cycle time vs. total mass handled by operator"; relabel legend as Non-AEGIS vs. AEGIS; carry over data as-is]</w:t>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3F2">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3F3">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3F4">
      <w:pPr>
        <w:spacing w:after="240" w:before="240" w:lineRule="auto"/>
        <w:rPr>
          <w:color w:val="9900ff"/>
        </w:rPr>
      </w:pPr>
      <w:r w:rsidDel="00000000" w:rsidR="00000000" w:rsidRPr="00000000">
        <w:rPr>
          <w:rtl w:val="0"/>
        </w:rPr>
        <w:t xml:space="preserve">Table 5.2.1.4: Set-level mass, size mix, and cycle time per pick (n = 6), across all ten sets, listing pick count, total mass, mass/pick, non-Small share, and non-AEGIS/AEGIS CT/pick.</w:t>
        <w:br w:type="textWrapping"/>
      </w:r>
      <w:r w:rsidDel="00000000" w:rsidR="00000000" w:rsidRPr="00000000">
        <w:rPr>
          <w:color w:val="9900ff"/>
          <w:rtl w:val="0"/>
        </w:rPr>
        <w:t xml:space="preserve"> [TABLE PLACEHOLDER — already exists in current draft as Table 5.1.3-4; relabel "Control" and "System" columns as "Non-AEGIS" and "AEGIS"; carry over data verbatim, all ten set rows]</w:t>
      </w:r>
    </w:p>
    <w:p w:rsidR="00000000" w:rsidDel="00000000" w:rsidP="00000000" w:rsidRDefault="00000000" w:rsidRPr="00000000" w14:paraId="000003F5">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3F6">
      <w:pPr>
        <w:spacing w:after="240" w:before="240" w:lineRule="auto"/>
        <w:rPr/>
      </w:pPr>
      <w:r w:rsidDel="00000000" w:rsidR="00000000" w:rsidRPr="00000000">
        <w:rPr>
          <w:color w:val="9900ff"/>
          <w:rtl w:val="0"/>
        </w:rPr>
        <w:t xml:space="preserve">[FIGURE PLACEHOLDER — already exists in current draft as Figure 5.1.3-4, "Cycle time per pick vs. mass per pick, by set"; relabel legend as Non-AEGIS vs. AEGIS; carry over data as-is]</w:t>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3F7">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3F8">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3F9">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3FA">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3FB">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3FC">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3FD">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3FE">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3FF">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400">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401">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402">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403">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404">
      <w:pPr>
        <w:spacing w:after="240" w:before="240" w:lineRule="auto"/>
        <w:rPr>
          <w:color w:val="9900ff"/>
        </w:rPr>
      </w:pPr>
      <w:r w:rsidDel="00000000" w:rsidR="00000000" w:rsidRPr="00000000">
        <w:rPr>
          <w:rtl w:val="0"/>
        </w:rPr>
        <w:t xml:space="preserve">Table 5.3.1.1: Operator ratings (1 = poor/strongly disagree, 5 = excellent/strongly agree), across nine rating dimensions (R1–R9), with mean, range, and n for each.</w:t>
        <w:br w:type="textWrapping"/>
      </w:r>
      <w:r w:rsidDel="00000000" w:rsidR="00000000" w:rsidRPr="00000000">
        <w:rPr>
          <w:color w:val="9900ff"/>
          <w:rtl w:val="0"/>
        </w:rPr>
        <w:t xml:space="preserve"> [TABLE PLACEHOLDER — already exists in current draft as Table 5.2, "Operator ratings"; carry over verbatim, all nine dimension rows, including the footnote noting R7 was not scored for one operator who did not trigger any errors during live runs (n = 5)]</w:t>
      </w:r>
    </w:p>
    <w:p w:rsidR="00000000" w:rsidDel="00000000" w:rsidP="00000000" w:rsidRDefault="00000000" w:rsidRPr="00000000" w14:paraId="00000405">
      <w:pPr>
        <w:spacing w:after="240" w:before="240" w:lineRule="auto"/>
        <w:rPr/>
      </w:pPr>
      <w:r w:rsidDel="00000000" w:rsidR="00000000" w:rsidRPr="00000000">
        <w:rPr>
          <w:color w:val="9900ff"/>
          <w:rtl w:val="0"/>
        </w:rPr>
        <w:t xml:space="preserve">[FIGURE PLACEHOLDER — already exists in current draft as Figure 5.2, "Rating distribution across the nine dimensions, showing means and individual data points"; carry over as-is]</w:t>
        <w:br w:type="textWrapping"/>
      </w:r>
      <w:r w:rsidDel="00000000" w:rsidR="00000000" w:rsidRPr="00000000">
        <w:rPr>
          <w:rtl w:val="0"/>
        </w:rPr>
        <w:t xml:space="preserve"> Figure 5.3.1.1: Rating distribution across the nine dimensions, showing means and individual data points.</w:t>
      </w:r>
    </w:p>
    <w:p w:rsidR="00000000" w:rsidDel="00000000" w:rsidP="00000000" w:rsidRDefault="00000000" w:rsidRPr="00000000" w14:paraId="00000406">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407">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408">
      <w:pPr>
        <w:spacing w:after="240" w:before="240" w:lineRule="auto"/>
        <w:rPr>
          <w:color w:val="9900ff"/>
        </w:rPr>
      </w:pPr>
      <w:r w:rsidDel="00000000" w:rsidR="00000000" w:rsidRPr="00000000">
        <w:rPr>
          <w:rtl w:val="0"/>
        </w:rPr>
        <w:t xml:space="preserve">Table 5.3.1.2: Usability gaps identified from operator feedback (G1–G6), listing issue, frequency, and a representative quote for each.</w:t>
        <w:br w:type="textWrapping"/>
      </w:r>
      <w:r w:rsidDel="00000000" w:rsidR="00000000" w:rsidRPr="00000000">
        <w:rPr>
          <w:color w:val="9900ff"/>
          <w:rtl w:val="0"/>
        </w:rPr>
        <w:t xml:space="preserve"> [TABLE PLACEHOLDER — already exists in current draft as Table 5.3, "Usability gaps identified from operator feedback"; carry over verbatim, all six gap rows]</w:t>
      </w:r>
    </w:p>
    <w:p w:rsidR="00000000" w:rsidDel="00000000" w:rsidP="00000000" w:rsidRDefault="00000000" w:rsidRPr="00000000" w14:paraId="0000040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40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40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40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40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40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40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41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411">
      <w:pPr>
        <w:spacing w:after="240" w:before="240" w:lineRule="auto"/>
        <w:rPr/>
      </w:pPr>
      <w:r w:rsidDel="00000000" w:rsidR="00000000" w:rsidRPr="00000000">
        <w:rPr>
          <w:color w:val="9900ff"/>
          <w:rtl w:val="0"/>
        </w:rPr>
        <w:t xml:space="preserve">[FIGURE PLACEHOLDER — already exists in current draft as Figure 5.4, "TE Connectivity stakeholder testing the AEGIS prototype during the final validation session"; carry over as-is]</w:t>
        <w:br w:type="textWrapping"/>
      </w:r>
      <w:r w:rsidDel="00000000" w:rsidR="00000000" w:rsidRPr="00000000">
        <w:rPr>
          <w:rtl w:val="0"/>
        </w:rPr>
        <w:t xml:space="preserve"> Figure 5.4.1.1: TE Connectivity stakeholder testing the AEGIS prototype during the final validation session.</w:t>
      </w:r>
    </w:p>
    <w:p w:rsidR="00000000" w:rsidDel="00000000" w:rsidP="00000000" w:rsidRDefault="00000000" w:rsidRPr="00000000" w14:paraId="00000412">
      <w:pPr>
        <w:spacing w:after="240" w:before="240" w:lineRule="auto"/>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drastically reducing the troubleshooting and labour time compared to their current end-of-line weighing measures.</w:t>
      </w:r>
    </w:p>
    <w:p w:rsidR="00000000" w:rsidDel="00000000" w:rsidP="00000000" w:rsidRDefault="00000000" w:rsidRPr="00000000" w14:paraId="0000041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41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An industry-standard mitigation — branching out tedious, light-item kitting into a separate process line — was discussed and deemed a viable solution.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415">
      <w:pPr>
        <w:spacing w:after="240" w:before="240" w:lineRule="auto"/>
        <w:rPr>
          <w:color w:val="9900ff"/>
        </w:rPr>
      </w:pPr>
      <w:r w:rsidDel="00000000" w:rsidR="00000000" w:rsidRPr="00000000">
        <w:rPr>
          <w:rtl w:val="0"/>
        </w:rPr>
        <w:t xml:space="preserve">Table 5.4.1.1: Summary of stakeholder feedback and recommended actions, across four categories (System Readiness, Error Prevention, Limitations, Future Scope).</w:t>
        <w:br w:type="textWrapping"/>
      </w:r>
      <w:r w:rsidDel="00000000" w:rsidR="00000000" w:rsidRPr="00000000">
        <w:rPr>
          <w:color w:val="9900ff"/>
          <w:rtl w:val="0"/>
        </w:rPr>
        <w:t xml:space="preserve"> [TABLE PLACEHOLDER — already exists in current draft as Table 5.6, "Summary of stakeholder feedback and recommended actions"; carry over verbatim, all four category rows]</w:t>
      </w:r>
    </w:p>
    <w:p w:rsidR="00000000" w:rsidDel="00000000" w:rsidP="00000000" w:rsidRDefault="00000000" w:rsidRPr="00000000" w14:paraId="00000416">
      <w:pPr>
        <w:spacing w:after="240" w:before="240" w:lineRule="auto"/>
        <w:rPr/>
      </w:pPr>
      <w:r w:rsidDel="00000000" w:rsidR="00000000" w:rsidRPr="00000000">
        <w:rPr>
          <w:rtl w:val="0"/>
        </w:rPr>
        <w:t xml:space="preserve">The full interview transcript from which this feedback was drawn is provided in Appendix C.</w:t>
      </w:r>
    </w:p>
    <w:p w:rsidR="00000000" w:rsidDel="00000000" w:rsidP="00000000" w:rsidRDefault="00000000" w:rsidRPr="00000000" w14:paraId="00000417">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418">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419">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41A">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41B">
      <w:pPr>
        <w:spacing w:after="240" w:before="240" w:lineRule="auto"/>
        <w:rPr>
          <w:color w:val="9900ff"/>
        </w:rPr>
      </w:pPr>
      <w:r w:rsidDel="00000000" w:rsidR="00000000" w:rsidRPr="00000000">
        <w:rPr>
          <w:rtl w:val="0"/>
        </w:rPr>
        <w:t xml:space="preserve">Table 5.4.2.1: Requirements validation matrix — status (Met/Partial) and verification evidence for D-01 through D-10.</w:t>
        <w:br w:type="textWrapping"/>
      </w:r>
      <w:r w:rsidDel="00000000" w:rsidR="00000000" w:rsidRPr="00000000">
        <w:rPr>
          <w:color w:val="9900ff"/>
          <w:rtl w:val="0"/>
        </w:rPr>
        <w:t xml:space="preserve"> [TABLE PLACEHOLDER — already exists in current draft as Table 5.5, "Requirements validation matrix"; carry over verbatim, all eleven requirement rows, preserving original Met/Partial statuses and verification evidence text]</w:t>
      </w:r>
    </w:p>
    <w:p w:rsidR="00000000" w:rsidDel="00000000" w:rsidP="00000000" w:rsidRDefault="00000000" w:rsidRPr="00000000" w14:paraId="0000041C">
      <w:pPr>
        <w:pStyle w:val="Heading2"/>
        <w:keepNext w:val="0"/>
        <w:keepLines w:val="0"/>
        <w:spacing w:after="80" w:lineRule="auto"/>
        <w:rPr>
          <w:sz w:val="34"/>
          <w:szCs w:val="34"/>
        </w:rPr>
      </w:pPr>
      <w:bookmarkStart w:colFirst="0" w:colLast="0" w:name="_pb4w3gusfbrt" w:id="92"/>
      <w:bookmarkEnd w:id="92"/>
      <w:r w:rsidDel="00000000" w:rsidR="00000000" w:rsidRPr="00000000">
        <w:rPr>
          <w:sz w:val="34"/>
          <w:szCs w:val="34"/>
          <w:rtl w:val="0"/>
        </w:rPr>
        <w:t xml:space="preserve">Chapter 6: System Cost and Return on Investment</w:t>
      </w:r>
    </w:p>
    <w:p w:rsidR="00000000" w:rsidDel="00000000" w:rsidP="00000000" w:rsidRDefault="00000000" w:rsidRPr="00000000" w14:paraId="0000041D">
      <w:pPr>
        <w:pStyle w:val="Heading3"/>
        <w:keepNext w:val="0"/>
        <w:keepLines w:val="0"/>
        <w:spacing w:before="280" w:lineRule="auto"/>
        <w:rPr>
          <w:sz w:val="26"/>
          <w:szCs w:val="26"/>
        </w:rPr>
      </w:pPr>
      <w:bookmarkStart w:colFirst="0" w:colLast="0" w:name="_ual4kx6kyubh" w:id="93"/>
      <w:bookmarkEnd w:id="93"/>
      <w:r w:rsidDel="00000000" w:rsidR="00000000" w:rsidRPr="00000000">
        <w:rPr>
          <w:sz w:val="26"/>
          <w:szCs w:val="26"/>
          <w:rtl w:val="0"/>
        </w:rPr>
        <w:t xml:space="preserve">6.1 Costing Methodology and Scope</w:t>
      </w:r>
    </w:p>
    <w:p w:rsidR="00000000" w:rsidDel="00000000" w:rsidP="00000000" w:rsidRDefault="00000000" w:rsidRPr="00000000" w14:paraId="0000041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41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420">
      <w:pPr>
        <w:spacing w:after="240" w:before="240" w:lineRule="auto"/>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p>
    <w:p w:rsidR="00000000" w:rsidDel="00000000" w:rsidP="00000000" w:rsidRDefault="00000000" w:rsidRPr="00000000" w14:paraId="00000421">
      <w:pPr>
        <w:spacing w:after="240" w:before="240" w:lineRule="auto"/>
        <w:rPr>
          <w:color w:val="ff0000"/>
        </w:rPr>
      </w:pPr>
      <w:r w:rsidDel="00000000" w:rsidR="00000000" w:rsidRPr="00000000">
        <w:rPr>
          <w:color w:val="ff0000"/>
          <w:rtl w:val="0"/>
        </w:rPr>
        <w:t xml:space="preserve">[CONTENT NEEDED — new paragraph per your ground rules for 6.1: a paragraph establishing that this cost analysis is standardised on Singapore rates rather than China, since AEGIS is intended for cross-country deployment and the cell workstation was established (Chapter 1) as the consistent unit across plants — making a single reference locale more meaningful than a plant-specific one. This paragraph is newly drafted rather than sourced, consistent with facts already established in Chapter 1 (cross-plant variability, workstation as the consistent unit) and the existing SGD-denominated costing convention above. Flagging per the ground rules rather than inserting silently — confirm wording below or provide your own:</w:t>
      </w:r>
    </w:p>
    <w:p w:rsidR="00000000" w:rsidDel="00000000" w:rsidP="00000000" w:rsidRDefault="00000000" w:rsidRPr="00000000" w14:paraId="00000422">
      <w:pPr>
        <w:spacing w:after="240" w:before="240" w:lineRule="auto"/>
        <w:rPr>
          <w:color w:val="ff0000"/>
        </w:rPr>
      </w:pPr>
      <w:r w:rsidDel="00000000" w:rsidR="00000000" w:rsidRPr="00000000">
        <w:rPr>
          <w:color w:val="ff0000"/>
          <w:rtl w:val="0"/>
        </w:rPr>
        <w:t xml:space="preserve">Draft: "This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w:t>
      </w:r>
    </w:p>
    <w:p w:rsidR="00000000" w:rsidDel="00000000" w:rsidP="00000000" w:rsidRDefault="00000000" w:rsidRPr="00000000" w14:paraId="00000423">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424">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425">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426">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427">
      <w:pPr>
        <w:pStyle w:val="Heading3"/>
        <w:keepNext w:val="0"/>
        <w:keepLines w:val="0"/>
        <w:spacing w:before="280" w:lineRule="auto"/>
        <w:rPr>
          <w:sz w:val="26"/>
          <w:szCs w:val="26"/>
        </w:rPr>
      </w:pPr>
      <w:bookmarkStart w:colFirst="0" w:colLast="0" w:name="_p79990jrpc9q" w:id="94"/>
      <w:bookmarkEnd w:id="94"/>
      <w:r w:rsidDel="00000000" w:rsidR="00000000" w:rsidRPr="00000000">
        <w:rPr>
          <w:sz w:val="26"/>
          <w:szCs w:val="26"/>
          <w:rtl w:val="0"/>
        </w:rPr>
        <w:t xml:space="preserve">6.2 Extended Bill of Materials</w:t>
      </w:r>
    </w:p>
    <w:p w:rsidR="00000000" w:rsidDel="00000000" w:rsidP="00000000" w:rsidRDefault="00000000" w:rsidRPr="00000000" w14:paraId="00000428">
      <w:pPr>
        <w:pStyle w:val="Heading4"/>
        <w:keepNext w:val="0"/>
        <w:keepLines w:val="0"/>
        <w:spacing w:after="40" w:before="240" w:lineRule="auto"/>
        <w:rPr>
          <w:b w:val="1"/>
          <w:bCs w:val="1"/>
          <w:sz w:val="22"/>
          <w:szCs w:val="22"/>
        </w:rPr>
      </w:pPr>
      <w:bookmarkStart w:colFirst="0" w:colLast="0" w:name="_bz3p2xa1ecn8" w:id="95"/>
      <w:bookmarkEnd w:id="95"/>
      <w:r w:rsidDel="00000000" w:rsidR="00000000" w:rsidRPr="00000000">
        <w:rPr>
          <w:b w:val="1"/>
          <w:bCs w:val="1"/>
          <w:sz w:val="22"/>
          <w:szCs w:val="22"/>
          <w:rtl w:val="0"/>
        </w:rPr>
        <w:t xml:space="preserve">6.2.1 Core System Components</w:t>
      </w:r>
    </w:p>
    <w:p w:rsidR="00000000" w:rsidDel="00000000" w:rsidP="00000000" w:rsidRDefault="00000000" w:rsidRPr="00000000" w14:paraId="00000429">
      <w:pPr>
        <w:spacing w:after="240" w:before="240" w:lineRule="auto"/>
        <w:rPr>
          <w:color w:val="9900ff"/>
        </w:rPr>
      </w:pPr>
      <w:r w:rsidDel="00000000" w:rsidR="00000000" w:rsidRPr="00000000">
        <w:rPr>
          <w:rtl w:val="0"/>
        </w:rPr>
        <w:t xml:space="preserve">Table 6.2.1.1: Core station components, both tiers (distributor quotes), across six component categories (Camera, Edge compute, Microcontroller/IO, Monitor/HMI, Key input, Buzzer), with base-tier and industrial-tier costs and a fixed-cost subtotal.</w:t>
        <w:br w:type="textWrapping"/>
      </w:r>
      <w:r w:rsidDel="00000000" w:rsidR="00000000" w:rsidRPr="00000000">
        <w:rPr>
          <w:color w:val="9900ff"/>
          <w:rtl w:val="0"/>
        </w:rPr>
        <w:t xml:space="preserve"> [TABLE PLACEHOLDER — already exists in current draft as Table 6.1, "Core station components, both tiers"; carry over verbatim, all six component rows plus the "Core station fixed" subtotal row]</w:t>
      </w:r>
    </w:p>
    <w:p w:rsidR="00000000" w:rsidDel="00000000" w:rsidP="00000000" w:rsidRDefault="00000000" w:rsidRPr="00000000" w14:paraId="0000042A">
      <w:pPr>
        <w:pStyle w:val="Heading4"/>
        <w:keepNext w:val="0"/>
        <w:keepLines w:val="0"/>
        <w:spacing w:after="40" w:before="240" w:lineRule="auto"/>
        <w:rPr>
          <w:b w:val="1"/>
          <w:bCs w:val="1"/>
          <w:sz w:val="22"/>
          <w:szCs w:val="22"/>
        </w:rPr>
      </w:pPr>
      <w:bookmarkStart w:colFirst="0" w:colLast="0" w:name="_yvn78kfo387y" w:id="96"/>
      <w:bookmarkEnd w:id="96"/>
      <w:r w:rsidDel="00000000" w:rsidR="00000000" w:rsidRPr="00000000">
        <w:rPr>
          <w:b w:val="1"/>
          <w:bCs w:val="1"/>
          <w:sz w:val="22"/>
          <w:szCs w:val="22"/>
          <w:rtl w:val="0"/>
        </w:rPr>
        <w:t xml:space="preserve">6.2.2 Supplementary Components</w:t>
      </w:r>
    </w:p>
    <w:p w:rsidR="00000000" w:rsidDel="00000000" w:rsidP="00000000" w:rsidRDefault="00000000" w:rsidRPr="00000000" w14:paraId="0000042B">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42C">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42D">
      <w:pPr>
        <w:spacing w:after="240" w:before="240" w:lineRule="auto"/>
        <w:rPr>
          <w:color w:val="9900ff"/>
        </w:rPr>
      </w:pPr>
      <w:r w:rsidDel="00000000" w:rsidR="00000000" w:rsidRPr="00000000">
        <w:rPr>
          <w:rtl w:val="0"/>
        </w:rPr>
        <w:t xml:space="preserve">Table 6.2.2.1: Previously-unaccounted per-station items, listing item, midpoint cost, range, and basis for each of eleven categories (frame, bin platforms, locking hardware, mounts, lighting, storage rack, wiring, integration attachments, software, extra storage hardware, misc consumables), plus an additions subtotal.</w:t>
        <w:br w:type="textWrapping"/>
      </w:r>
      <w:r w:rsidDel="00000000" w:rsidR="00000000" w:rsidRPr="00000000">
        <w:rPr>
          <w:color w:val="9900ff"/>
          <w:rtl w:val="0"/>
        </w:rPr>
        <w:t xml:space="preserve"> [TABLE PLACEHOLDER — already exists in current draft as Table 6.2, "Previously-unaccounted per-station items"; carry over verbatim, all eleven item rows plus the "Additions subtotal" row]</w:t>
      </w:r>
    </w:p>
    <w:p w:rsidR="00000000" w:rsidDel="00000000" w:rsidP="00000000" w:rsidRDefault="00000000" w:rsidRPr="00000000" w14:paraId="0000042E">
      <w:pPr>
        <w:pStyle w:val="Heading4"/>
        <w:keepNext w:val="0"/>
        <w:keepLines w:val="0"/>
        <w:spacing w:after="40" w:before="240" w:lineRule="auto"/>
        <w:rPr>
          <w:b w:val="1"/>
          <w:bCs w:val="1"/>
          <w:sz w:val="22"/>
          <w:szCs w:val="22"/>
        </w:rPr>
      </w:pPr>
      <w:bookmarkStart w:colFirst="0" w:colLast="0" w:name="_drscdx3e8x0" w:id="97"/>
      <w:bookmarkEnd w:id="97"/>
      <w:r w:rsidDel="00000000" w:rsidR="00000000" w:rsidRPr="00000000">
        <w:rPr>
          <w:b w:val="1"/>
          <w:bCs w:val="1"/>
          <w:sz w:val="22"/>
          <w:szCs w:val="22"/>
          <w:rtl w:val="0"/>
        </w:rPr>
        <w:t xml:space="preserve">6.2.3 Scalability Cost</w:t>
      </w:r>
    </w:p>
    <w:p w:rsidR="00000000" w:rsidDel="00000000" w:rsidP="00000000" w:rsidRDefault="00000000" w:rsidRPr="00000000" w14:paraId="0000042F">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standalone "scalability cost" discussion distinct from (a) the per-bin marginal cost already covered in Section 6.2.2 above, and (b) the NRE amortisation-across-fleet-size discussion, which the ground-rules content mapping assigns to Section 6.2.4 (Development and Maintenance) rather than here. The closest relevant figures — per-station development cost falling from S$6,803 at 10 units to S$680 at 100 units — are development/NRE figures, not a distinct scalability-of-hardware cost, and are presented under 6.2.4 to avoid duplicating that content in two subsections.]</w:t>
      </w:r>
    </w:p>
    <w:p w:rsidR="00000000" w:rsidDel="00000000" w:rsidP="00000000" w:rsidRDefault="00000000" w:rsidRPr="00000000" w14:paraId="00000430">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6.2.4 Development and Maintenance Cost</w:t>
      </w:r>
    </w:p>
    <w:p w:rsidR="00000000" w:rsidDel="00000000" w:rsidP="00000000" w:rsidRDefault="00000000" w:rsidRPr="00000000" w14:paraId="00000431">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432">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433">
      <w:pPr>
        <w:spacing w:after="240" w:before="240" w:lineRule="auto"/>
        <w:rPr>
          <w:color w:val="9900ff"/>
        </w:rPr>
      </w:pPr>
      <w:r w:rsidDel="00000000" w:rsidR="00000000" w:rsidRPr="00000000">
        <w:rPr>
          <w:rtl w:val="0"/>
        </w:rPr>
        <w:t xml:space="preserve">Table 6.2.4.1: NRE cost by effort level (12, 18, and 24 person-months), in SGD.</w:t>
        <w:br w:type="textWrapping"/>
      </w:r>
      <w:r w:rsidDel="00000000" w:rsidR="00000000" w:rsidRPr="00000000">
        <w:rPr>
          <w:color w:val="9900ff"/>
          <w:rtl w:val="0"/>
        </w:rPr>
        <w:t xml:space="preserve"> [TABLE PLACEHOLDER — already exists in current draft as the unlabelled NRE table under old Section 6.2.4; carry over verbatim, all three effort rows]</w:t>
      </w:r>
    </w:p>
    <w:p w:rsidR="00000000" w:rsidDel="00000000" w:rsidP="00000000" w:rsidRDefault="00000000" w:rsidRPr="00000000" w14:paraId="00000434">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435">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436">
      <w:pPr>
        <w:spacing w:after="240" w:before="240" w:lineRule="auto"/>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 — per-station development cost vs. deployment fleet size.</w:t>
      </w:r>
    </w:p>
    <w:p w:rsidR="00000000" w:rsidDel="00000000" w:rsidP="00000000" w:rsidRDefault="00000000" w:rsidRPr="00000000" w14:paraId="00000437">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6.2.5 Cost Summary</w:t>
      </w:r>
    </w:p>
    <w:p w:rsidR="00000000" w:rsidDel="00000000" w:rsidP="00000000" w:rsidRDefault="00000000" w:rsidRPr="00000000" w14:paraId="00000438">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439">
      <w:pPr>
        <w:spacing w:after="240" w:before="240" w:lineRule="auto"/>
        <w:rPr>
          <w:color w:val="9900ff"/>
        </w:rPr>
      </w:pPr>
      <w:r w:rsidDel="00000000" w:rsidR="00000000" w:rsidRPr="00000000">
        <w:rPr>
          <w:rtl w:val="0"/>
        </w:rPr>
        <w:t xml:space="preserve">Table 6.2.5.1: Per-station total cost of ownership, both tiers, buffer included — core station, sensing (9 bins), additions, hardware subtotal, +20% buffer, maintenance, and NRE.</w:t>
        <w:br w:type="textWrapping"/>
      </w:r>
      <w:r w:rsidDel="00000000" w:rsidR="00000000" w:rsidRPr="00000000">
        <w:rPr>
          <w:color w:val="9900ff"/>
          <w:rtl w:val="0"/>
        </w:rPr>
        <w:t xml:space="preserve"> [TABLE PLACEHOLDER — already exists in current draft as Table 6.3, "Per-station total cost of ownership, both tiers, buffer included"; carry over verbatim, all rows including the "+20% buffer" and "NRE (amortised, indicative)" rows]</w:t>
      </w:r>
    </w:p>
    <w:p w:rsidR="00000000" w:rsidDel="00000000" w:rsidP="00000000" w:rsidRDefault="00000000" w:rsidRPr="00000000" w14:paraId="0000043A">
      <w:pPr>
        <w:spacing w:after="240" w:before="240" w:lineRule="auto"/>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 (core / sensing / additions / buffer), base vs. industrial tier.</w:t>
      </w:r>
    </w:p>
    <w:p w:rsidR="00000000" w:rsidDel="00000000" w:rsidP="00000000" w:rsidRDefault="00000000" w:rsidRPr="00000000" w14:paraId="0000043B">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43C">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43D">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43E">
      <w:pPr>
        <w:spacing w:after="240" w:before="240" w:lineRule="auto"/>
        <w:rPr>
          <w:color w:val="9900ff"/>
        </w:rPr>
      </w:pPr>
      <w:r w:rsidDel="00000000" w:rsidR="00000000" w:rsidRPr="00000000">
        <w:rPr>
          <w:rtl w:val="0"/>
        </w:rPr>
        <w:t xml:space="preserve">Table 6.3.1.1: Per-cell annual COPQ band, at base FX (1.29) and worst-case FX (1.25), across conservative (6 cells) and optimistic (4 cells) distribution assumptions.</w:t>
        <w:br w:type="textWrapping"/>
      </w:r>
      <w:r w:rsidDel="00000000" w:rsidR="00000000" w:rsidRPr="00000000">
        <w:rPr>
          <w:color w:val="9900ff"/>
          <w:rtl w:val="0"/>
        </w:rPr>
        <w:t xml:space="preserve"> [TABLE PLACEHOLDER — already exists in current draft as Table 6.4, "Per-cell annual COPQ band"; carry over verbatim, both FX rows]</w:t>
      </w:r>
    </w:p>
    <w:p w:rsidR="00000000" w:rsidDel="00000000" w:rsidP="00000000" w:rsidRDefault="00000000" w:rsidRPr="00000000" w14:paraId="0000043F">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440">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441">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442">
      <w:pPr>
        <w:spacing w:after="240" w:before="240" w:lineRule="auto"/>
        <w:rPr>
          <w:color w:val="9900ff"/>
        </w:rPr>
      </w:pPr>
      <w:r w:rsidDel="00000000" w:rsidR="00000000" w:rsidRPr="00000000">
        <w:rPr>
          <w:rtl w:val="0"/>
        </w:rPr>
        <w:t xml:space="preserve">Table 6.3.2.1: Payback, hardware-only (NRE excluded), across five scenarios (base-tier best/mid/worst, industrial mid/worst), listing cost, net benefit/year, and payback period.</w:t>
        <w:br w:type="textWrapping"/>
      </w:r>
      <w:r w:rsidDel="00000000" w:rsidR="00000000" w:rsidRPr="00000000">
        <w:rPr>
          <w:color w:val="9900ff"/>
          <w:rtl w:val="0"/>
        </w:rPr>
        <w:t xml:space="preserve"> [TABLE PLACEHOLDER — already exists in current draft as Table 6.5, "Payback, hardware-only (NRE excluded)"; carry over verbatim, all five scenario rows. Note: the worst-case row stacks every pessimistic assumption simultaneously]</w:t>
      </w:r>
    </w:p>
    <w:p w:rsidR="00000000" w:rsidDel="00000000" w:rsidP="00000000" w:rsidRDefault="00000000" w:rsidRPr="00000000" w14:paraId="00000443">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444">
      <w:pPr>
        <w:spacing w:after="240" w:before="240" w:lineRule="auto"/>
        <w:rPr>
          <w:color w:val="9900ff"/>
        </w:rPr>
      </w:pPr>
      <w:r w:rsidDel="00000000" w:rsidR="00000000" w:rsidRPr="00000000">
        <w:rPr>
          <w:rtl w:val="0"/>
        </w:rPr>
        <w:t xml:space="preserve">Table 6.3.2.2: Base-tier payback sensitivity grid, COPQ (low/mid/high) × error-reduction fraction (50%/75%/90%).</w:t>
        <w:br w:type="textWrapping"/>
      </w:r>
      <w:r w:rsidDel="00000000" w:rsidR="00000000" w:rsidRPr="00000000">
        <w:rPr>
          <w:color w:val="9900ff"/>
          <w:rtl w:val="0"/>
        </w:rPr>
        <w:t xml:space="preserve"> [TABLE PLACEHOLDER — already exists in current draft as Table 6.6, "Base-tier payback sensitivity grid"; carry over verbatim, all three COPQ rows]</w:t>
      </w:r>
    </w:p>
    <w:p w:rsidR="00000000" w:rsidDel="00000000" w:rsidP="00000000" w:rsidRDefault="00000000" w:rsidRPr="00000000" w14:paraId="00000445">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446">
      <w:pPr>
        <w:spacing w:after="240" w:before="240" w:lineRule="auto"/>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 across best / mid / worst scenarios, with break-even crossings marked.</w:t>
      </w:r>
    </w:p>
    <w:p w:rsidR="00000000" w:rsidDel="00000000" w:rsidP="00000000" w:rsidRDefault="00000000" w:rsidRPr="00000000" w14:paraId="00000447">
      <w:pPr>
        <w:spacing w:after="240" w:before="240" w:lineRule="auto"/>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 base tier, with the W-02 ceiling and a three-year-horizon contour overlaid.</w:t>
      </w:r>
    </w:p>
    <w:p w:rsidR="00000000" w:rsidDel="00000000" w:rsidP="00000000" w:rsidRDefault="00000000" w:rsidRPr="00000000" w14:paraId="00000448">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449">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44A">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44B">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44C">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44D">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44E">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44F">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450">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451">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452">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453">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454">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455">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456">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457">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458">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459">
      <w:pPr>
        <w:spacing w:after="240" w:before="240" w:lineRule="auto"/>
        <w:rPr>
          <w:color w:val="ff0000"/>
        </w:rPr>
      </w:pPr>
      <w:r w:rsidDel="00000000" w:rsidR="00000000" w:rsidRPr="00000000">
        <w:rPr>
          <w:rtl w:val="0"/>
        </w:rPr>
        <w:t xml:space="preserve">To practically validate this scalability, a secondary, expanded workstation setup was constructed. </w:t>
      </w:r>
      <w:r w:rsidDel="00000000" w:rsidR="00000000" w:rsidRPr="00000000">
        <w:rPr>
          <w:color w:val="ff0000"/>
          <w:rtl w:val="0"/>
        </w:rPr>
        <w:t xml:space="preserve">[CONTENT NEEDED — no source material in current draft: the original text contains an unresolved placeholder here — "[PLACEHOLDER: Insert brief description of the new setup's physical dimensions and increased bin capacity]" — which cannot be reorganised from existing content.]</w:t>
      </w:r>
    </w:p>
    <w:p w:rsidR="00000000" w:rsidDel="00000000" w:rsidP="00000000" w:rsidRDefault="00000000" w:rsidRPr="00000000" w14:paraId="0000045A">
      <w:pPr>
        <w:spacing w:after="240" w:before="240" w:lineRule="auto"/>
        <w:rPr>
          <w:color w:val="ff0000"/>
        </w:rPr>
      </w:pPr>
      <w:r w:rsidDel="00000000" w:rsidR="00000000" w:rsidRPr="00000000">
        <w:rPr>
          <w:rtl w:val="0"/>
        </w:rPr>
        <w:t xml:space="preserve">Deployments on this expanded setup demonstrated that the core architecture seamlessly supports higher throughput. </w:t>
      </w:r>
      <w:r w:rsidDel="00000000" w:rsidR="00000000" w:rsidRPr="00000000">
        <w:rPr>
          <w:color w:val="ff0000"/>
          <w:rtl w:val="0"/>
        </w:rPr>
        <w:t xml:space="preserve">[CONTENT NEEDED — no source material in current draft: the original text contains a second unresolved placeholder here — "[PLACEHOLDER: Insert specific validation metrics, e.g., latency impact or CPU overhead, proving it scaled successfully]" — which cannot be reorganised from existing content.]</w:t>
      </w:r>
    </w:p>
    <w:p w:rsidR="00000000" w:rsidDel="00000000" w:rsidP="00000000" w:rsidRDefault="00000000" w:rsidRPr="00000000" w14:paraId="0000045B">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45C">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45D">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45E">
      <w:pPr>
        <w:spacing w:after="240" w:before="240" w:lineRule="auto"/>
        <w:rPr>
          <w:color w:val="9900ff"/>
        </w:rPr>
      </w:pPr>
      <w:r w:rsidDel="00000000" w:rsidR="00000000" w:rsidRPr="00000000">
        <w:rPr>
          <w:rtl w:val="0"/>
        </w:rPr>
        <w:t xml:space="preserve">Table 7.4.1: Future development directions, listing priority (High/Medium/Low), direction, and description, across five identified areas (multi-workstation orchestration, MES integration, light-item resolution, bin colour generalisation, predictive analytics).</w:t>
        <w:br w:type="textWrapping"/>
      </w:r>
      <w:r w:rsidDel="00000000" w:rsidR="00000000" w:rsidRPr="00000000">
        <w:rPr>
          <w:color w:val="9900ff"/>
          <w:rtl w:val="0"/>
        </w:rPr>
        <w:t xml:space="preserve"> [TABLE PLACEHOLDER — already exists in current draft as Table 6.1 (mislabelled with the same number as the Chapter 6 core-components table in the source), "Future development directions"; carry over verbatim, all five direction rows]</w:t>
      </w:r>
    </w:p>
    <w:p w:rsidR="00000000" w:rsidDel="00000000" w:rsidP="00000000" w:rsidRDefault="00000000" w:rsidRPr="00000000" w14:paraId="0000045F">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460">
      <w:pPr>
        <w:pStyle w:val="Heading2"/>
        <w:keepNext w:val="0"/>
        <w:keepLines w:val="0"/>
        <w:spacing w:after="80" w:lineRule="auto"/>
        <w:rPr>
          <w:sz w:val="34"/>
          <w:szCs w:val="34"/>
        </w:rPr>
      </w:pPr>
      <w:bookmarkStart w:colFirst="0" w:colLast="0" w:name="_jr9b71fb4143" w:id="110"/>
      <w:bookmarkEnd w:id="110"/>
      <w:r w:rsidDel="00000000" w:rsidR="00000000" w:rsidRPr="00000000">
        <w:rPr>
          <w:sz w:val="34"/>
          <w:szCs w:val="34"/>
          <w:rtl w:val="0"/>
        </w:rPr>
        <w:t xml:space="preserve">Chapter 8: Conclusion</w:t>
      </w:r>
    </w:p>
    <w:p w:rsidR="00000000" w:rsidDel="00000000" w:rsidP="00000000" w:rsidRDefault="00000000" w:rsidRPr="00000000" w14:paraId="00000461">
      <w:pPr>
        <w:spacing w:after="240" w:before="240" w:lineRule="auto"/>
        <w:rPr>
          <w:color w:val="ff0000"/>
        </w:rPr>
      </w:pPr>
      <w:r w:rsidDel="00000000" w:rsidR="00000000" w:rsidRPr="00000000">
        <w:rPr>
          <w:color w:val="ff0000"/>
          <w:rtl w:val="0"/>
        </w:rPr>
        <w:t xml:space="preserve">[CONTENT NEEDED — no source material in current draft: the current draft has no standalone conclusion section distinct from the Summary of Validation (old Section 7.1, reorganised into Section 7.1 of the new structure). Per your ground rules, a short closing synthesis may be drafted here only if it can be built purely from facts already stated elsewhere in the report, with no new claims introduced.</w:t>
      </w:r>
    </w:p>
    <w:p w:rsidR="00000000" w:rsidDel="00000000" w:rsidP="00000000" w:rsidRDefault="00000000" w:rsidRPr="00000000" w14:paraId="00000462">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463">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464">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465">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466">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467">
      <w:pPr>
        <w:pStyle w:val="Heading2"/>
        <w:keepNext w:val="0"/>
        <w:keepLines w:val="0"/>
        <w:spacing w:after="80" w:lineRule="auto"/>
        <w:rPr>
          <w:sz w:val="34"/>
          <w:szCs w:val="34"/>
        </w:rPr>
      </w:pPr>
      <w:bookmarkStart w:colFirst="0" w:colLast="0" w:name="_hdfukgfwvqou" w:id="111"/>
      <w:bookmarkEnd w:id="111"/>
      <w:r w:rsidDel="00000000" w:rsidR="00000000" w:rsidRPr="00000000">
        <w:rPr>
          <w:sz w:val="34"/>
          <w:szCs w:val="34"/>
          <w:rtl w:val="0"/>
        </w:rPr>
        <w:t xml:space="preserve">Chapter 9: Reflections and Lessons Learned</w:t>
      </w:r>
    </w:p>
    <w:p w:rsidR="00000000" w:rsidDel="00000000" w:rsidP="00000000" w:rsidRDefault="00000000" w:rsidRPr="00000000" w14:paraId="00000468">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469">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46A">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46B">
      <w:pPr>
        <w:pStyle w:val="Heading2"/>
        <w:keepNext w:val="0"/>
        <w:keepLines w:val="0"/>
        <w:spacing w:after="80" w:lineRule="auto"/>
        <w:rPr>
          <w:sz w:val="34"/>
          <w:szCs w:val="34"/>
        </w:rPr>
      </w:pPr>
      <w:bookmarkStart w:colFirst="0" w:colLast="0" w:name="_9wf4ydvv4lsz" w:id="112"/>
      <w:bookmarkEnd w:id="112"/>
      <w:r w:rsidDel="00000000" w:rsidR="00000000" w:rsidRPr="00000000">
        <w:rPr>
          <w:sz w:val="34"/>
          <w:szCs w:val="34"/>
          <w:rtl w:val="0"/>
        </w:rPr>
        <w:t xml:space="preserve">References</w:t>
      </w:r>
    </w:p>
    <w:p w:rsidR="00000000" w:rsidDel="00000000" w:rsidP="00000000" w:rsidRDefault="00000000" w:rsidRPr="00000000" w14:paraId="0000046C">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46D">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46E">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46F">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470">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471">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472">
      <w:pPr>
        <w:spacing w:after="240" w:before="240" w:lineRule="auto"/>
        <w:rPr/>
      </w:pPr>
      <w:r w:rsidDel="00000000" w:rsidR="00000000" w:rsidRPr="00000000">
        <w:rPr>
          <w:rtl w:val="0"/>
        </w:rPr>
        <w:t xml:space="preserve">[7] Google, "Hand landmarker," Google AI Edge. [Online]. Available: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473">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474">
      <w:pPr>
        <w:pStyle w:val="Heading2"/>
        <w:keepNext w:val="0"/>
        <w:keepLines w:val="0"/>
        <w:spacing w:after="80" w:lineRule="auto"/>
        <w:rPr>
          <w:sz w:val="34"/>
          <w:szCs w:val="34"/>
        </w:rPr>
      </w:pPr>
      <w:bookmarkStart w:colFirst="0" w:colLast="0" w:name="_e32ghvmjld7v" w:id="113"/>
      <w:bookmarkEnd w:id="113"/>
      <w:r w:rsidDel="00000000" w:rsidR="00000000" w:rsidRPr="00000000">
        <w:rPr>
          <w:sz w:val="34"/>
          <w:szCs w:val="34"/>
          <w:rtl w:val="0"/>
        </w:rPr>
        <w:t xml:space="preserve">Appendices</w:t>
      </w:r>
    </w:p>
    <w:p w:rsidR="00000000" w:rsidDel="00000000" w:rsidP="00000000" w:rsidRDefault="00000000" w:rsidRPr="00000000" w14:paraId="00000475">
      <w:pPr>
        <w:pStyle w:val="Heading3"/>
        <w:keepNext w:val="0"/>
        <w:keepLines w:val="0"/>
        <w:spacing w:before="280" w:lineRule="auto"/>
        <w:rPr>
          <w:sz w:val="26"/>
          <w:szCs w:val="26"/>
        </w:rPr>
      </w:pPr>
      <w:bookmarkStart w:colFirst="0" w:colLast="0" w:name="_2lzl8l6ccfvs" w:id="114"/>
      <w:bookmarkEnd w:id="114"/>
      <w:r w:rsidDel="00000000" w:rsidR="00000000" w:rsidRPr="00000000">
        <w:rPr>
          <w:sz w:val="26"/>
          <w:szCs w:val="26"/>
          <w:rtl w:val="0"/>
        </w:rPr>
        <w:t xml:space="preserve">Appendix A: Possible Scenarios</w:t>
      </w:r>
    </w:p>
    <w:p w:rsidR="00000000" w:rsidDel="00000000" w:rsidP="00000000" w:rsidRDefault="00000000" w:rsidRPr="00000000" w14:paraId="00000476">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477">
      <w:pPr>
        <w:pStyle w:val="Heading3"/>
        <w:keepNext w:val="0"/>
        <w:keepLines w:val="0"/>
        <w:spacing w:before="280" w:lineRule="auto"/>
        <w:rPr>
          <w:sz w:val="26"/>
          <w:szCs w:val="26"/>
        </w:rPr>
      </w:pPr>
      <w:bookmarkStart w:colFirst="0" w:colLast="0" w:name="_na3y3k1uloje" w:id="115"/>
      <w:bookmarkEnd w:id="115"/>
      <w:r w:rsidDel="00000000" w:rsidR="00000000" w:rsidRPr="00000000">
        <w:rPr>
          <w:sz w:val="26"/>
          <w:szCs w:val="26"/>
          <w:rtl w:val="0"/>
        </w:rPr>
        <w:t xml:space="preserve">Appendix B: Workstation Set-up</w:t>
      </w:r>
    </w:p>
    <w:p w:rsidR="00000000" w:rsidDel="00000000" w:rsidP="00000000" w:rsidRDefault="00000000" w:rsidRPr="00000000" w14:paraId="00000478">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479">
      <w:pPr>
        <w:pStyle w:val="Heading3"/>
        <w:keepNext w:val="0"/>
        <w:keepLines w:val="0"/>
        <w:spacing w:before="280" w:lineRule="auto"/>
        <w:rPr>
          <w:sz w:val="26"/>
          <w:szCs w:val="26"/>
        </w:rPr>
      </w:pPr>
      <w:bookmarkStart w:colFirst="0" w:colLast="0" w:name="_kmxv7lezbnq8" w:id="116"/>
      <w:bookmarkEnd w:id="116"/>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47A">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47B">
      <w:pPr>
        <w:pStyle w:val="Heading3"/>
        <w:keepNext w:val="0"/>
        <w:keepLines w:val="0"/>
        <w:spacing w:before="280" w:lineRule="auto"/>
        <w:rPr>
          <w:sz w:val="26"/>
          <w:szCs w:val="26"/>
        </w:rPr>
      </w:pPr>
      <w:bookmarkStart w:colFirst="0" w:colLast="0" w:name="_fj7jmyrw1y70" w:id="117"/>
      <w:bookmarkEnd w:id="117"/>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47C">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sectPr>
      <w:headerReference r:id="rId31" w:type="first"/>
      <w:footerReference r:id="rId32" w:type="default"/>
      <w:footerReference r:id="rId3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iler811" w:id="1" w:date="2026-07-25T04:50:55Z">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0" w:date="2026-07-25T04:37:27Z">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Kailer811" w:id="2" w:date="2026-07-25T05:27:24Z">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83">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2.png"/><Relationship Id="rId24" Type="http://schemas.openxmlformats.org/officeDocument/2006/relationships/image" Target="media/image14.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1.jpg"/><Relationship Id="rId25" Type="http://schemas.openxmlformats.org/officeDocument/2006/relationships/image" Target="media/image5.png"/><Relationship Id="rId28" Type="http://schemas.openxmlformats.org/officeDocument/2006/relationships/image" Target="media/image7.png"/><Relationship Id="rId27" Type="http://schemas.openxmlformats.org/officeDocument/2006/relationships/image" Target="media/image19.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developers.google.com/edge/media%EE%80%80pipe/solutions/vision/hand_landmarker" TargetMode="External"/><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header" Target="header1.xml"/><Relationship Id="rId30" Type="http://schemas.openxmlformats.org/officeDocument/2006/relationships/hyperlink" Target="https://developers.google.com/edge/media%EE%80%80pipe/solutions/vision/hand_landmarker" TargetMode="External"/><Relationship Id="rId11" Type="http://schemas.openxmlformats.org/officeDocument/2006/relationships/image" Target="media/image6.png"/><Relationship Id="rId33" Type="http://schemas.openxmlformats.org/officeDocument/2006/relationships/footer" Target="footer1.xml"/><Relationship Id="rId10" Type="http://schemas.openxmlformats.org/officeDocument/2006/relationships/image" Target="media/image20.jpg"/><Relationship Id="rId32"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5.png"/><Relationship Id="rId14" Type="http://schemas.openxmlformats.org/officeDocument/2006/relationships/image" Target="media/image13.png"/><Relationship Id="rId17" Type="http://schemas.openxmlformats.org/officeDocument/2006/relationships/image" Target="media/image21.jpg"/><Relationship Id="rId16" Type="http://schemas.openxmlformats.org/officeDocument/2006/relationships/image" Target="media/image18.png"/><Relationship Id="rId19" Type="http://schemas.openxmlformats.org/officeDocument/2006/relationships/image" Target="media/image4.png"/><Relationship Id="rId18" Type="http://schemas.openxmlformats.org/officeDocument/2006/relationships/image" Target="media/image8.jp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