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System Integration and Functional Testing</w:t>
      </w:r>
    </w:p>
    <w:p>
      <w:r>
        <w:rPr>
          <w:rFonts w:ascii="Times New Roman" w:hAnsi="Times New Roman"/>
          <w:b w:val="0"/>
          <w:i w:val="0"/>
          <w:sz w:val="24"/>
        </w:rPr>
        <w:t>This chapter documents the integration of the individually developed subsystems into a cohesive verification pipeline and presents the developer-oriented functional testing conducted to validate each component's behaviour under controlled laboratory conditions. The testing methodology separates subsystem-level characterisation from system-level validation: the former is addressed in this chapter, while the latter — encompassing user testing and requirements traceability — is presented in Chapter 5.</w:t>
      </w:r>
    </w:p>
    <w:p>
      <w:pPr>
        <w:pStyle w:val="Heading2"/>
      </w:pPr>
      <w:r>
        <w:t>4.1 System Integration Overview</w:t>
      </w:r>
    </w:p>
    <w:p>
      <w:r>
        <w:rPr>
          <w:rFonts w:ascii="Times New Roman" w:hAnsi="Times New Roman"/>
          <w:b w:val="0"/>
          <w:i w:val="0"/>
          <w:sz w:val="24"/>
        </w:rPr>
        <w:t>System integration is coordinated by a main pipeline orchestrator that manages the data flow between the computer vision, load cell, and HMI subsystems. During system startup, a two-snapshot calibration process establishes the spatial context for the session. The first snapshot captures the layout of the workstation to establish the grid session through the grid calibrator module, which identifies the fixed positions of the nine bin slots (six single-width top bins and three double-width bottom bins) and assigns each a unique spatial identifier. The second snapshot registers which of these slots actually contain physical bins, initialising the active geofence boundaries for the current order.</w:t>
      </w:r>
    </w:p>
    <w:p>
      <w:r>
        <w:rPr>
          <w:rFonts w:ascii="Times New Roman" w:hAnsi="Times New Roman"/>
          <w:b w:val="0"/>
          <w:i w:val="0"/>
          <w:sz w:val="24"/>
        </w:rPr>
        <w:t>Once boundaries are locked as polygons, the real-time processing loop executes continuously. Each iteration proceeds through the following sequence: the camera frame is captured; the hand tracker determines the 21-landmark positions for each detected hand; the bin assignment engine evaluates whether the tracked keypoint (index fingertip by default) falls within any active geofence; and simultaneously, weight data streams from the ESP32 load cell array over USB serial, parsed by the load cell reader module. The placement tracker FSM then coordinates the vision-based hand-in-bin event with the gravimetric weight delta to determine whether a valid pick-and-place action has occurred. If a hand is detected inside an active bin and the kit box weight subsequently increases by an amount consistent with the expected item weight, the count registers and the FSM state advances.</w:t>
      </w:r>
    </w:p>
    <w:p>
      <w:r>
        <w:rPr>
          <w:rFonts w:ascii="Times New Roman" w:hAnsi="Times New Roman"/>
          <w:b w:val="0"/>
          <w:i w:val="0"/>
          <w:sz w:val="24"/>
        </w:rPr>
        <w:t>The integration architecture is designed such that each subsystem communicates through a thread-safe shared-memory object (PipelineState), which decouples the high-speed computer vision loop from the web-server thread serving the operator HMI. This separation ensures that the sensing loop runs at full frame rate independently of how often the display refreshes, and that a momentary delay in one subsystem does not stall the others.</w:t>
      </w:r>
    </w:p>
    <w:p>
      <w:pPr>
        <w:jc w:val="center"/>
      </w:pPr>
      <w:r>
        <w:rPr>
          <w:i/>
          <w:color w:val="969696"/>
          <w:sz w:val="22"/>
        </w:rPr>
        <w:t>[INSERT FIGURE HERE]</w:t>
      </w:r>
    </w:p>
    <w:p>
      <w:pPr>
        <w:spacing w:after="240"/>
        <w:jc w:val="center"/>
      </w:pPr>
      <w:r>
        <w:rPr>
          <w:rFonts w:ascii="Times New Roman" w:hAnsi="Times New Roman"/>
          <w:i/>
          <w:sz w:val="20"/>
        </w:rPr>
        <w:t>Figure 4.1: System integration data flow diagram showing the real-time processing loop. Camera frames feed into the bin detector and hand tracker in parallel; results converge at the bin assignment engine; load cell weights feed into the placement tracker FSM; the combined state is written to the thread-safe PipelineState object and served to the HMI via FastAPI.</w:t>
      </w:r>
    </w:p>
    <w:p>
      <w:pPr>
        <w:pStyle w:val="Heading2"/>
      </w:pPr>
      <w:r>
        <w:t>4.2 Functional Testing</w:t>
      </w:r>
    </w:p>
    <w:p>
      <w:pPr>
        <w:pStyle w:val="Heading3"/>
      </w:pPr>
      <w:r>
        <w:t>4.2.1 Computer Vision</w:t>
      </w:r>
    </w:p>
    <w:p>
      <w:pPr>
        <w:pStyle w:val="Heading4"/>
      </w:pPr>
      <w:r>
        <w:t>4.2.1.1 Testing Framework</w:t>
      </w:r>
    </w:p>
    <w:p>
      <w:r>
        <w:rPr>
          <w:rFonts w:ascii="Times New Roman" w:hAnsi="Times New Roman"/>
          <w:b w:val="0"/>
          <w:i w:val="0"/>
          <w:sz w:val="24"/>
        </w:rPr>
        <w:t>The computer vision detector was evaluated using a layer-by-layer permutation protocol designed to test invariance to bin position, colour, and fill level. Each bin is treated as unique (distinguished by its fill level, independent of size). One bin is shifted at a time, tracking its index: bin 1 is moved and swapped one grid position at a time from left to right until it reaches the end, then bin 2 does the same, and so on, until all bins return to their initial positions. At each configuration the bins are tested empty, partially filled, and fully filled, and the protocol is repeated for each bin size (small, medium, large).</w:t>
      </w:r>
    </w:p>
    <w:p>
      <w:r>
        <w:rPr>
          <w:rFonts w:ascii="Times New Roman" w:hAnsi="Times New Roman"/>
          <w:b w:val="0"/>
          <w:i w:val="0"/>
          <w:sz w:val="24"/>
        </w:rPr>
        <w:t>Testing proceeded across three setup configurations, each isolating one variable:</w:t>
      </w:r>
    </w:p>
    <w:p>
      <w:pPr>
        <w:pStyle w:val="ListBullet"/>
      </w:pPr>
      <w:r>
        <w:rPr>
          <w:rFonts w:ascii="Times New Roman" w:hAnsi="Times New Roman"/>
          <w:sz w:val="22"/>
        </w:rPr>
        <w:t>Group A — Bin Colour and Layout: Evaluated the effect of bin colour variation on detection accuracy. Three conditions were tested: (A1) all nine blue bins in baseline positions; (A2) red, green, and blue mixed-colour bins of varying sizes; and (A3) blue bins combined with the mixed-colour set.</w:t>
      </w:r>
    </w:p>
    <w:p>
      <w:pPr>
        <w:pStyle w:val="ListBullet"/>
      </w:pPr>
      <w:r>
        <w:rPr>
          <w:rFonts w:ascii="Times New Roman" w:hAnsi="Times New Roman"/>
          <w:sz w:val="22"/>
        </w:rPr>
        <w:t>Group B — Bin Contents and Fill Levels: Tested model robustness with the bins containing different item types across three fill levels (empty, partially filled, and fully filled with items protruding above the rim). Seven item categories were tested: matte black TE connector parts; reflective metal shelf brackets; small shiny M6 cross screws; white bulky PVC pipes; long copper rods protruding above the rim; dark black bin connectors; and mixed items (two to three types together).</w:t>
      </w:r>
    </w:p>
    <w:p>
      <w:pPr>
        <w:pStyle w:val="ListBullet"/>
      </w:pPr>
      <w:r>
        <w:rPr>
          <w:rFonts w:ascii="Times New Roman" w:hAnsi="Times New Roman"/>
          <w:sz w:val="22"/>
        </w:rPr>
        <w:t>Lighting Characterisation: Ambient illuminance was swept across eight levels spanning the station's full realistic range — from a fully darkened room (blinds down, all lights off) to the tunable strip light at maximum with the office lights on — with the illuminance at each of the nine bins measured by lux meter at every level, giving 72 readings in total. Taking Bin 9 as the reference, the sweep ran from approximately 0 lux to 506 lux.</w:t>
      </w:r>
    </w:p>
    <w:p>
      <w:pPr>
        <w:jc w:val="center"/>
      </w:pPr>
      <w:r>
        <w:rPr>
          <w:i/>
          <w:color w:val="969696"/>
          <w:sz w:val="22"/>
        </w:rPr>
        <w:t>[INSERT FIGURE HERE]</w:t>
      </w:r>
    </w:p>
    <w:p>
      <w:pPr>
        <w:spacing w:after="240"/>
        <w:jc w:val="center"/>
      </w:pPr>
      <w:r>
        <w:rPr>
          <w:rFonts w:ascii="Times New Roman" w:hAnsi="Times New Roman"/>
          <w:i/>
          <w:sz w:val="20"/>
        </w:rPr>
        <w:t>Figure 4.2: Computer vision testing setup photographs. (a) Group A baseline: all nine blue bins in standard positions. (b) Group A2: mixed-colour bin set. (c) Group B: bins filled with varied item categories at different fill levels.</w:t>
      </w:r>
    </w:p>
    <w:p>
      <w:pPr>
        <w:pStyle w:val="Heading4"/>
      </w:pPr>
      <w:r>
        <w:t>4.2.1.2 Evaluation Results</w:t>
      </w:r>
    </w:p>
    <w:p>
      <w:r>
        <w:rPr>
          <w:rFonts w:ascii="Times New Roman" w:hAnsi="Times New Roman"/>
          <w:b w:val="0"/>
          <w:i w:val="0"/>
          <w:sz w:val="24"/>
        </w:rPr>
        <w:t>Group A Results. Under the baseline condition (A1: all blue bins), the YOLOv8-OBB model achieved 100% detection accuracy across 20 sample frames. However, when non-blue bins were introduced (A2: mixed red/green/blue set; A3: blue bins combined with the mixed set), detection accuracy decreased to 80% and 85% respectively. Analysis of the failure cases revealed that the model produced hallucinated bounding boxes when fewer than nine bins were visible in the frame, and that the rim-centric training data — captured predominantly with blue bins — did not generalise fully to non-blue rim colours. This finding informed the decision to standardise on blue bins for the deployment configuration and highlighted an avenue for future model improvement through expanded training data diversity.</w:t>
      </w:r>
    </w:p>
    <w:p>
      <w:pPr>
        <w:jc w:val="center"/>
      </w:pPr>
      <w:r>
        <w:rPr>
          <w:i/>
          <w:color w:val="969696"/>
          <w:sz w:val="22"/>
        </w:rPr>
        <w:t>[INSERT FIGURE HERE]</w:t>
      </w:r>
    </w:p>
    <w:p>
      <w:pPr>
        <w:spacing w:after="240"/>
        <w:jc w:val="center"/>
      </w:pPr>
      <w:r>
        <w:rPr>
          <w:rFonts w:ascii="Times New Roman" w:hAnsi="Times New Roman"/>
          <w:i/>
          <w:sz w:val="20"/>
        </w:rPr>
        <w:t>Figure 4.3: Group A detection results. (a) A1 baseline: 100% detection with all blue bins. (b) A2 mixed colours: hallucinated bounding box example. (c) Accuracy comparison across A1, A2, A3 conditions.</w:t>
      </w:r>
    </w:p>
    <w:p>
      <w:r>
        <w:rPr>
          <w:rFonts w:ascii="Times New Roman" w:hAnsi="Times New Roman"/>
          <w:b w:val="0"/>
          <w:i w:val="0"/>
          <w:sz w:val="24"/>
        </w:rPr>
        <w:t>Group B Results. Under Group B testing with standardised blue bins, the detector achieved 100% accuracy across all seven item categories at every fill level. The model demonstrated its rim-centric behaviour: bins were correctly localised regardless of the colour, reflectivity, shape, or protrusion of their contents. Even the hardest case — long copper rods protruding above the bin rim — was detected correctly, confirming that the model keys on the bin edges rather than the items within. This result validates the design decision to train on rim features rather than component features, as described in Section 3.2.1.</w:t>
      </w:r>
    </w:p>
    <w:p>
      <w:pPr>
        <w:jc w:val="center"/>
      </w:pPr>
      <w:r>
        <w:rPr>
          <w:i/>
          <w:color w:val="969696"/>
          <w:sz w:val="22"/>
        </w:rPr>
        <w:t>[INSERT FIGURE HERE]</w:t>
      </w:r>
    </w:p>
    <w:p>
      <w:pPr>
        <w:spacing w:after="240"/>
        <w:jc w:val="center"/>
      </w:pPr>
      <w:r>
        <w:rPr>
          <w:rFonts w:ascii="Times New Roman" w:hAnsi="Times New Roman"/>
          <w:i/>
          <w:sz w:val="20"/>
        </w:rPr>
        <w:t>Figure 4.4: Group B detection results. Sample frames showing correct bin boundary detection across seven item categories: (a) matte black connectors, (b) reflective metal brackets, (c) shiny screws, (d) white PVC pipes, (e) protruding copper rods, (f) dark connectors, (g) mixed items.</w:t>
      </w:r>
    </w:p>
    <w:p>
      <w:r>
        <w:rPr>
          <w:rFonts w:ascii="Times New Roman" w:hAnsi="Times New Roman"/>
          <w:b w:val="0"/>
          <w:i w:val="0"/>
          <w:sz w:val="24"/>
        </w:rPr>
        <w:t>The YOLOv8-OBB model trained with full-spectrum fill-level data (Setup V3: bins at 0%, 20%, 40%, 60%, 80%, and 100% capacity) achieved the strongest validation metrics, as summarised in Table 4.1.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0"/>
              </w:rPr>
              <w:t>Metric</w:t>
            </w:r>
          </w:p>
        </w:tc>
        <w:tc>
          <w:tcPr>
            <w:tcW w:type="dxa" w:w="4320"/>
          </w:tcPr>
          <w:p>
            <w:pPr>
              <w:jc w:val="center"/>
            </w:pPr>
            <w:r>
              <w:rPr>
                <w:rFonts w:ascii="Times New Roman" w:hAnsi="Times New Roman"/>
                <w:b/>
                <w:sz w:val="20"/>
              </w:rPr>
              <w:t>Value</w:t>
            </w:r>
          </w:p>
        </w:tc>
      </w:tr>
      <w:tr>
        <w:tc>
          <w:tcPr>
            <w:tcW w:type="dxa" w:w="4320"/>
          </w:tcPr>
          <w:p>
            <w:r>
              <w:rPr>
                <w:rFonts w:ascii="Times New Roman" w:hAnsi="Times New Roman"/>
                <w:sz w:val="20"/>
              </w:rPr>
              <w:t>Precision</w:t>
            </w:r>
          </w:p>
        </w:tc>
        <w:tc>
          <w:tcPr>
            <w:tcW w:type="dxa" w:w="4320"/>
          </w:tcPr>
          <w:p>
            <w:r>
              <w:rPr>
                <w:rFonts w:ascii="Times New Roman" w:hAnsi="Times New Roman"/>
                <w:sz w:val="20"/>
              </w:rPr>
              <w:t>0.999</w:t>
            </w:r>
          </w:p>
        </w:tc>
      </w:tr>
      <w:tr>
        <w:tc>
          <w:tcPr>
            <w:tcW w:type="dxa" w:w="4320"/>
          </w:tcPr>
          <w:p>
            <w:r>
              <w:rPr>
                <w:rFonts w:ascii="Times New Roman" w:hAnsi="Times New Roman"/>
                <w:sz w:val="20"/>
              </w:rPr>
              <w:t>Recall</w:t>
            </w:r>
          </w:p>
        </w:tc>
        <w:tc>
          <w:tcPr>
            <w:tcW w:type="dxa" w:w="4320"/>
          </w:tcPr>
          <w:p>
            <w:r>
              <w:rPr>
                <w:rFonts w:ascii="Times New Roman" w:hAnsi="Times New Roman"/>
                <w:sz w:val="20"/>
              </w:rPr>
              <w:t>1.000</w:t>
            </w:r>
          </w:p>
        </w:tc>
      </w:tr>
      <w:tr>
        <w:tc>
          <w:tcPr>
            <w:tcW w:type="dxa" w:w="4320"/>
          </w:tcPr>
          <w:p>
            <w:r>
              <w:rPr>
                <w:rFonts w:ascii="Times New Roman" w:hAnsi="Times New Roman"/>
                <w:sz w:val="20"/>
              </w:rPr>
              <w:t>mAP50</w:t>
            </w:r>
          </w:p>
        </w:tc>
        <w:tc>
          <w:tcPr>
            <w:tcW w:type="dxa" w:w="4320"/>
          </w:tcPr>
          <w:p>
            <w:r>
              <w:rPr>
                <w:rFonts w:ascii="Times New Roman" w:hAnsi="Times New Roman"/>
                <w:sz w:val="20"/>
              </w:rPr>
              <w:t>0.995</w:t>
            </w:r>
          </w:p>
        </w:tc>
      </w:tr>
      <w:tr>
        <w:tc>
          <w:tcPr>
            <w:tcW w:type="dxa" w:w="4320"/>
          </w:tcPr>
          <w:p>
            <w:r>
              <w:rPr>
                <w:rFonts w:ascii="Times New Roman" w:hAnsi="Times New Roman"/>
                <w:sz w:val="20"/>
              </w:rPr>
              <w:t>mAP50-95</w:t>
            </w:r>
          </w:p>
        </w:tc>
        <w:tc>
          <w:tcPr>
            <w:tcW w:type="dxa" w:w="4320"/>
          </w:tcPr>
          <w:p>
            <w:r>
              <w:rPr>
                <w:rFonts w:ascii="Times New Roman" w:hAnsi="Times New Roman"/>
                <w:sz w:val="20"/>
              </w:rPr>
              <w:t>0.935</w:t>
            </w:r>
          </w:p>
        </w:tc>
      </w:tr>
      <w:tr>
        <w:tc>
          <w:tcPr>
            <w:tcW w:type="dxa" w:w="4320"/>
          </w:tcPr>
          <w:p>
            <w:r>
              <w:rPr>
                <w:rFonts w:ascii="Times New Roman" w:hAnsi="Times New Roman"/>
                <w:sz w:val="20"/>
              </w:rPr>
              <w:t>Training Epochs</w:t>
            </w:r>
          </w:p>
        </w:tc>
        <w:tc>
          <w:tcPr>
            <w:tcW w:type="dxa" w:w="4320"/>
          </w:tcPr>
          <w:p>
            <w:r>
              <w:rPr>
                <w:rFonts w:ascii="Times New Roman" w:hAnsi="Times New Roman"/>
                <w:sz w:val="20"/>
              </w:rPr>
              <w:t>55 (early stopping at epoch 54)</w:t>
            </w:r>
          </w:p>
        </w:tc>
      </w:tr>
    </w:tbl>
    <w:p/>
    <w:p>
      <w:r>
        <w:rPr>
          <w:rFonts w:ascii="Times New Roman" w:hAnsi="Times New Roman"/>
          <w:b w:val="0"/>
          <w:i/>
          <w:sz w:val="20"/>
        </w:rPr>
        <w:t>Table 4.1: YOLOv8-OBB bin detection model validation metrics (Setup V3, fullness-varied training).</w:t>
      </w:r>
    </w:p>
    <w:p>
      <w:pPr>
        <w:jc w:val="center"/>
      </w:pPr>
      <w:r>
        <w:rPr>
          <w:i/>
          <w:color w:val="969696"/>
          <w:sz w:val="22"/>
        </w:rPr>
        <w:t>[INSERT FIGURE HERE]</w:t>
      </w:r>
    </w:p>
    <w:p>
      <w:pPr>
        <w:spacing w:after="240"/>
        <w:jc w:val="center"/>
      </w:pPr>
      <w:r>
        <w:rPr>
          <w:rFonts w:ascii="Times New Roman" w:hAnsi="Times New Roman"/>
          <w:i/>
          <w:sz w:val="20"/>
        </w:rPr>
        <w:t>Figure 4.5: YOLOv8-OBB training curves for Setup V3. (a) Training and validation loss over epochs. (b) Precision, recall, and mAP metrics over epochs, showing convergence and early stopping.</w:t>
      </w:r>
    </w:p>
    <w:p>
      <w:r>
        <w:rPr>
          <w:rFonts w:ascii="Times New Roman" w:hAnsi="Times New Roman"/>
          <w:b w:val="0"/>
          <w:i w:val="0"/>
          <w:sz w:val="24"/>
        </w:rPr>
        <w:t>Lighting Characterisation Results. Detection held at 100% accuracy across every illuminance level and every bin position: all 72 readings (nine bins × eight lighting levels) identified the correct bin, including at the darkest condition (approximately 0 lux). Confidence correlated only weakly with illuminance (Pearson r ≈ 0.27 linear, r ≈ 0.40 against log-lux), and the trend was non-monotonic — the dimmest level was not the worst-performing, with a shallow dip at a low-mid level instead. The practical conclusion is that the rim-centric detector is not lighting-limited over the station's operating range, satisfying the environmental robustness requirement (FR-09). Ambient light is therefore not a variable that requires controlling in deployment, beyond the matte anti-glare surface already specified in the physical frame design.</w:t>
      </w:r>
    </w:p>
    <w:p>
      <w:pPr>
        <w:jc w:val="center"/>
      </w:pPr>
      <w:r>
        <w:rPr>
          <w:i/>
          <w:color w:val="969696"/>
          <w:sz w:val="22"/>
        </w:rPr>
        <w:t>[INSERT FIGURE HERE]</w:t>
      </w:r>
    </w:p>
    <w:p>
      <w:pPr>
        <w:spacing w:after="240"/>
        <w:jc w:val="center"/>
      </w:pPr>
      <w:r>
        <w:rPr>
          <w:rFonts w:ascii="Times New Roman" w:hAnsi="Times New Roman"/>
          <w:i/>
          <w:sz w:val="20"/>
        </w:rPr>
        <w:t>Figure 4.6: Lighting characterisation results. (a) Lux readings across nine bins at eight illuminance levels. (b) Detection confidence versus illuminance (lux) scatter plot with linear and logarithmic regression lines. (c) Sample detections at minimum (≈0 lux) and maximum (≈506 lux) illuminance.</w:t>
      </w:r>
    </w:p>
    <w:p>
      <w:pPr>
        <w:pStyle w:val="Heading3"/>
      </w:pPr>
      <w:r>
        <w:t>4.2.2 Load Cells</w:t>
      </w:r>
    </w:p>
    <w:p>
      <w:pPr>
        <w:pStyle w:val="Heading4"/>
      </w:pPr>
      <w:r>
        <w:t>4.2.2.1 Testing Framework</w:t>
      </w:r>
    </w:p>
    <w:p>
      <w:r>
        <w:rPr>
          <w:rFonts w:ascii="Times New Roman" w:hAnsi="Times New Roman"/>
          <w:b w:val="0"/>
          <w:i w:val="0"/>
          <w:sz w:val="24"/>
        </w:rPr>
        <w:t>The load-cell hardware was qualified as a measurement system on the bench, independently of the verification logic, so that the counting behaviour built on top of it could be interpreted against known sensor limits. Three platform configurations were tested, matching the three bin sizes used at the kitting workstation: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20"/>
              </w:rPr>
              <w:t>Configuration</w:t>
            </w:r>
          </w:p>
        </w:tc>
        <w:tc>
          <w:tcPr>
            <w:tcW w:type="dxa" w:w="1728"/>
          </w:tcPr>
          <w:p>
            <w:pPr>
              <w:jc w:val="center"/>
            </w:pPr>
            <w:r>
              <w:rPr>
                <w:rFonts w:ascii="Times New Roman" w:hAnsi="Times New Roman"/>
                <w:b/>
                <w:sz w:val="20"/>
              </w:rPr>
              <w:t>Cells</w:t>
            </w:r>
          </w:p>
        </w:tc>
        <w:tc>
          <w:tcPr>
            <w:tcW w:type="dxa" w:w="1728"/>
          </w:tcPr>
          <w:p>
            <w:pPr>
              <w:jc w:val="center"/>
            </w:pPr>
            <w:r>
              <w:rPr>
                <w:rFonts w:ascii="Times New Roman" w:hAnsi="Times New Roman"/>
                <w:b/>
                <w:sz w:val="20"/>
              </w:rPr>
              <w:t>Wiring</w:t>
            </w:r>
          </w:p>
        </w:tc>
        <w:tc>
          <w:tcPr>
            <w:tcW w:type="dxa" w:w="1728"/>
          </w:tcPr>
          <w:p>
            <w:pPr>
              <w:jc w:val="center"/>
            </w:pPr>
            <w:r>
              <w:rPr>
                <w:rFonts w:ascii="Times New Roman" w:hAnsi="Times New Roman"/>
                <w:b/>
                <w:sz w:val="20"/>
              </w:rPr>
              <w:t>Platform Geometry</w:t>
            </w:r>
          </w:p>
        </w:tc>
        <w:tc>
          <w:tcPr>
            <w:tcW w:type="dxa" w:w="1728"/>
          </w:tcPr>
          <w:p>
            <w:pPr>
              <w:jc w:val="center"/>
            </w:pPr>
            <w:r>
              <w:rPr>
                <w:rFonts w:ascii="Times New Roman" w:hAnsi="Times New Roman"/>
                <w:b/>
                <w:sz w:val="20"/>
              </w:rPr>
              <w:t>Max Test Load</w:t>
            </w:r>
          </w:p>
        </w:tc>
      </w:tr>
      <w:tr>
        <w:tc>
          <w:tcPr>
            <w:tcW w:type="dxa" w:w="1728"/>
          </w:tcPr>
          <w:p>
            <w:r>
              <w:rPr>
                <w:rFonts w:ascii="Times New Roman" w:hAnsi="Times New Roman"/>
                <w:sz w:val="20"/>
              </w:rPr>
              <w:t>1 kg</w:t>
            </w:r>
          </w:p>
        </w:tc>
        <w:tc>
          <w:tcPr>
            <w:tcW w:type="dxa" w:w="1728"/>
          </w:tcPr>
          <w:p>
            <w:r>
              <w:rPr>
                <w:rFonts w:ascii="Times New Roman" w:hAnsi="Times New Roman"/>
                <w:sz w:val="20"/>
              </w:rPr>
              <w:t>1 × 1 kg</w:t>
            </w:r>
          </w:p>
        </w:tc>
        <w:tc>
          <w:tcPr>
            <w:tcW w:type="dxa" w:w="1728"/>
          </w:tcPr>
          <w:p>
            <w:r>
              <w:rPr>
                <w:rFonts w:ascii="Times New Roman" w:hAnsi="Times New Roman"/>
                <w:sz w:val="20"/>
              </w:rPr>
              <w:t>1 HX711</w:t>
            </w:r>
          </w:p>
        </w:tc>
        <w:tc>
          <w:tcPr>
            <w:tcW w:type="dxa" w:w="1728"/>
          </w:tcPr>
          <w:p>
            <w:r>
              <w:rPr>
                <w:rFonts w:ascii="Times New Roman" w:hAnsi="Times New Roman"/>
                <w:sz w:val="20"/>
              </w:rPr>
              <w:t>Single 100 mm-radius circular acrylic disk</w:t>
            </w:r>
          </w:p>
        </w:tc>
        <w:tc>
          <w:tcPr>
            <w:tcW w:type="dxa" w:w="1728"/>
          </w:tcPr>
          <w:p>
            <w:r>
              <w:rPr>
                <w:rFonts w:ascii="Times New Roman" w:hAnsi="Times New Roman"/>
                <w:sz w:val="20"/>
              </w:rPr>
              <w:t>1,000 g</w:t>
            </w:r>
          </w:p>
        </w:tc>
      </w:tr>
      <w:tr>
        <w:tc>
          <w:tcPr>
            <w:tcW w:type="dxa" w:w="1728"/>
          </w:tcPr>
          <w:p>
            <w:r>
              <w:rPr>
                <w:rFonts w:ascii="Times New Roman" w:hAnsi="Times New Roman"/>
                <w:sz w:val="20"/>
              </w:rPr>
              <w:t>5 kg</w:t>
            </w:r>
          </w:p>
        </w:tc>
        <w:tc>
          <w:tcPr>
            <w:tcW w:type="dxa" w:w="1728"/>
          </w:tcPr>
          <w:p>
            <w:r>
              <w:rPr>
                <w:rFonts w:ascii="Times New Roman" w:hAnsi="Times New Roman"/>
                <w:sz w:val="20"/>
              </w:rPr>
              <w:t>3 × 5 kg</w:t>
            </w:r>
          </w:p>
        </w:tc>
        <w:tc>
          <w:tcPr>
            <w:tcW w:type="dxa" w:w="1728"/>
          </w:tcPr>
          <w:p>
            <w:r>
              <w:rPr>
                <w:rFonts w:ascii="Times New Roman" w:hAnsi="Times New Roman"/>
                <w:sz w:val="20"/>
              </w:rPr>
              <w:t>Summed → 1 HX711</w:t>
            </w:r>
          </w:p>
        </w:tc>
        <w:tc>
          <w:tcPr>
            <w:tcW w:type="dxa" w:w="1728"/>
          </w:tcPr>
          <w:p>
            <w:r>
              <w:rPr>
                <w:rFonts w:ascii="Times New Roman" w:hAnsi="Times New Roman"/>
                <w:sz w:val="20"/>
              </w:rPr>
              <w:t>Triangular acrylic platform (2 × 50 mm circles + 1 apex rectangle)</w:t>
            </w:r>
          </w:p>
        </w:tc>
        <w:tc>
          <w:tcPr>
            <w:tcW w:type="dxa" w:w="1728"/>
          </w:tcPr>
          <w:p>
            <w:r>
              <w:rPr>
                <w:rFonts w:ascii="Times New Roman" w:hAnsi="Times New Roman"/>
                <w:sz w:val="20"/>
              </w:rPr>
              <w:t>5,000 g</w:t>
            </w:r>
          </w:p>
        </w:tc>
      </w:tr>
      <w:tr>
        <w:tc>
          <w:tcPr>
            <w:tcW w:type="dxa" w:w="1728"/>
          </w:tcPr>
          <w:p>
            <w:r>
              <w:rPr>
                <w:rFonts w:ascii="Times New Roman" w:hAnsi="Times New Roman"/>
                <w:sz w:val="20"/>
              </w:rPr>
              <w:t>10 kg</w:t>
            </w:r>
          </w:p>
        </w:tc>
        <w:tc>
          <w:tcPr>
            <w:tcW w:type="dxa" w:w="1728"/>
          </w:tcPr>
          <w:p>
            <w:r>
              <w:rPr>
                <w:rFonts w:ascii="Times New Roman" w:hAnsi="Times New Roman"/>
                <w:sz w:val="20"/>
              </w:rPr>
              <w:t>3 × 10 kg</w:t>
            </w:r>
          </w:p>
        </w:tc>
        <w:tc>
          <w:tcPr>
            <w:tcW w:type="dxa" w:w="1728"/>
          </w:tcPr>
          <w:p>
            <w:r>
              <w:rPr>
                <w:rFonts w:ascii="Times New Roman" w:hAnsi="Times New Roman"/>
                <w:sz w:val="20"/>
              </w:rPr>
              <w:t>Summed → 1 HX711</w:t>
            </w:r>
          </w:p>
        </w:tc>
        <w:tc>
          <w:tcPr>
            <w:tcW w:type="dxa" w:w="1728"/>
          </w:tcPr>
          <w:p>
            <w:r>
              <w:rPr>
                <w:rFonts w:ascii="Times New Roman" w:hAnsi="Times New Roman"/>
                <w:sz w:val="20"/>
              </w:rPr>
              <w:t>Triangular acrylic platform (2 × 50 mm circles + 1 apex rectangle)</w:t>
            </w:r>
          </w:p>
        </w:tc>
        <w:tc>
          <w:tcPr>
            <w:tcW w:type="dxa" w:w="1728"/>
          </w:tcPr>
          <w:p>
            <w:r>
              <w:rPr>
                <w:rFonts w:ascii="Times New Roman" w:hAnsi="Times New Roman"/>
                <w:sz w:val="20"/>
              </w:rPr>
              <w:t>10,000 g</w:t>
            </w:r>
          </w:p>
        </w:tc>
      </w:tr>
    </w:tbl>
    <w:p/>
    <w:p>
      <w:r>
        <w:rPr>
          <w:rFonts w:ascii="Times New Roman" w:hAnsi="Times New Roman"/>
          <w:b w:val="0"/>
          <w:i/>
          <w:sz w:val="20"/>
        </w:rPr>
        <w:t>Table 4.2: Load cell platform configurations tested.</w:t>
      </w:r>
    </w:p>
    <w:p>
      <w:r>
        <w:rPr>
          <w:rFonts w:ascii="Times New Roman" w:hAnsi="Times New Roman"/>
          <w:b w:val="0"/>
          <w:i w:val="0"/>
          <w:sz w:val="24"/>
        </w:rPr>
        <w:t>Each three-cell platform reports one summed weight (three bridges wired into a single HX711 analogue-to-digital converter); all three cells share a rigid base and a single bin rests across all three contact points. Test loads were constructed from a graded reference-mass kit of individually weighed sand bags (reference scale: 1,000 g capacity, 0.1 g readability). Because that scale caps direct weighing at 1,000 g, every load above 1 kg was built by stacking individually-weighed ≤1 kg bags, carrying an accumulated ±0.1 g-per-bag uncertainty.</w:t>
      </w:r>
    </w:p>
    <w:p>
      <w:r>
        <w:rPr>
          <w:rFonts w:ascii="Times New Roman" w:hAnsi="Times New Roman"/>
          <w:b w:val="0"/>
          <w:i w:val="0"/>
          <w:sz w:val="24"/>
        </w:rPr>
        <w:t>The test battery was organised in a structured sequence — Capability → Stability → Integration — with a dedicated testing firmware streaming raw CSV data (milliseconds, channel, raw ADC reading, grams):</w:t>
      </w:r>
    </w:p>
    <w:p>
      <w:pPr>
        <w:pStyle w:val="ListBullet"/>
      </w:pPr>
      <w:r>
        <w:rPr>
          <w:rFonts w:ascii="Times New Roman" w:hAnsi="Times New Roman"/>
          <w:sz w:val="22"/>
        </w:rPr>
        <w:t>Capability — A1: minimum detectable mass (noise floor and count registration threshold); A2: repeatability (5 trials × 5 load points); A3: hysteresis (ascending versus descending load path).</w:t>
      </w:r>
    </w:p>
    <w:p>
      <w:pPr>
        <w:pStyle w:val="ListBullet"/>
      </w:pPr>
      <w:r>
        <w:rPr>
          <w:rFonts w:ascii="Times New Roman" w:hAnsi="Times New Roman"/>
          <w:sz w:val="22"/>
        </w:rPr>
        <w:t>Stability — A4: warm-up and thermal drift (cold start versus 30-minute warmed-up readings); A5: creep under sustained load at two representative load levels.</w:t>
      </w:r>
    </w:p>
    <w:p>
      <w:pPr>
        <w:pStyle w:val="ListBullet"/>
      </w:pPr>
      <w:r>
        <w:rPr>
          <w:rFonts w:ascii="Times New Roman" w:hAnsi="Times New Roman"/>
          <w:sz w:val="22"/>
        </w:rPr>
        <w:t>Integration — A6: off-centre loading and placement sensitivity; A8: settling time per load step.</w:t>
      </w:r>
    </w:p>
    <w:p>
      <w:pPr>
        <w:jc w:val="center"/>
      </w:pPr>
      <w:r>
        <w:rPr>
          <w:i/>
          <w:color w:val="969696"/>
          <w:sz w:val="22"/>
        </w:rPr>
        <w:t>[INSERT FIGURE HERE]</w:t>
      </w:r>
    </w:p>
    <w:p>
      <w:pPr>
        <w:spacing w:after="240"/>
        <w:jc w:val="center"/>
      </w:pPr>
      <w:r>
        <w:rPr>
          <w:rFonts w:ascii="Times New Roman" w:hAnsi="Times New Roman"/>
          <w:i/>
          <w:sz w:val="20"/>
        </w:rPr>
        <w:t>Figure 4.7: Load cell test setup. (a) 1 kg single-cell platform with reference mass. (b) 5 kg three-cell triangular platform under calibration ladder testing. (c) Dedicated testing firmware serial output showing raw CSV data stream.</w:t>
      </w:r>
    </w:p>
    <w:p>
      <w:pPr>
        <w:pStyle w:val="Heading4"/>
      </w:pPr>
      <w:r>
        <w:t>4.2.2.2 Evaluation Results</w:t>
      </w:r>
    </w:p>
    <w:p>
      <w:r>
        <w:rPr>
          <w:rFonts w:ascii="Times New Roman" w:hAnsi="Times New Roman"/>
          <w:b/>
          <w:i w:val="0"/>
          <w:sz w:val="24"/>
        </w:rPr>
        <w:t>Capability.</w:t>
      </w:r>
    </w:p>
    <w:p>
      <w:r>
        <w:rPr>
          <w:rFonts w:ascii="Times New Roman" w:hAnsi="Times New Roman"/>
          <w:b w:val="0"/>
          <w:i w:val="0"/>
          <w:sz w:val="24"/>
        </w:rPr>
        <w:t>The zero-noise band (standard deviation on an empty, tared cell) and the smallest reliably-separated mass both scale with platform capacity, as summarised in Table 4.3.</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20"/>
              </w:rPr>
              <w:t>Configuration</w:t>
            </w:r>
          </w:p>
        </w:tc>
        <w:tc>
          <w:tcPr>
            <w:tcW w:type="dxa" w:w="1728"/>
          </w:tcPr>
          <w:p>
            <w:pPr>
              <w:jc w:val="center"/>
            </w:pPr>
            <w:r>
              <w:rPr>
                <w:rFonts w:ascii="Times New Roman" w:hAnsi="Times New Roman"/>
                <w:b/>
                <w:sz w:val="20"/>
              </w:rPr>
              <w:t>Zero-Band σ (g)</w:t>
            </w:r>
          </w:p>
        </w:tc>
        <w:tc>
          <w:tcPr>
            <w:tcW w:type="dxa" w:w="1728"/>
          </w:tcPr>
          <w:p>
            <w:pPr>
              <w:jc w:val="center"/>
            </w:pPr>
            <w:r>
              <w:rPr>
                <w:rFonts w:ascii="Times New Roman" w:hAnsi="Times New Roman"/>
                <w:b/>
                <w:sz w:val="20"/>
              </w:rPr>
              <w:t>Min. Detectable Mass (g)</w:t>
            </w:r>
          </w:p>
        </w:tc>
        <w:tc>
          <w:tcPr>
            <w:tcW w:type="dxa" w:w="1728"/>
          </w:tcPr>
          <w:p>
            <w:pPr>
              <w:jc w:val="center"/>
            </w:pPr>
            <w:r>
              <w:rPr>
                <w:rFonts w:ascii="Times New Roman" w:hAnsi="Times New Roman"/>
                <w:b/>
                <w:sz w:val="20"/>
              </w:rPr>
              <w:t>Repeatability SD @ 50% Load (g)</w:t>
            </w:r>
          </w:p>
        </w:tc>
        <w:tc>
          <w:tcPr>
            <w:tcW w:type="dxa" w:w="1728"/>
          </w:tcPr>
          <w:p>
            <w:pPr>
              <w:jc w:val="center"/>
            </w:pPr>
            <w:r>
              <w:rPr>
                <w:rFonts w:ascii="Times New Roman" w:hAnsi="Times New Roman"/>
                <w:b/>
                <w:sz w:val="20"/>
              </w:rPr>
              <w:t>Max Hysteresis (g)</w:t>
            </w:r>
          </w:p>
        </w:tc>
      </w:tr>
      <w:tr>
        <w:tc>
          <w:tcPr>
            <w:tcW w:type="dxa" w:w="1728"/>
          </w:tcPr>
          <w:p>
            <w:r>
              <w:rPr>
                <w:rFonts w:ascii="Times New Roman" w:hAnsi="Times New Roman"/>
                <w:sz w:val="20"/>
              </w:rPr>
              <w:t>1 kg (1 cell)</w:t>
            </w:r>
          </w:p>
        </w:tc>
        <w:tc>
          <w:tcPr>
            <w:tcW w:type="dxa" w:w="1728"/>
          </w:tcPr>
          <w:p>
            <w:r>
              <w:rPr>
                <w:rFonts w:ascii="Times New Roman" w:hAnsi="Times New Roman"/>
                <w:sz w:val="20"/>
              </w:rPr>
              <w:t>0.028</w:t>
            </w:r>
          </w:p>
        </w:tc>
        <w:tc>
          <w:tcPr>
            <w:tcW w:type="dxa" w:w="1728"/>
          </w:tcPr>
          <w:p>
            <w:r>
              <w:rPr>
                <w:rFonts w:ascii="Times New Roman" w:hAnsi="Times New Roman"/>
                <w:sz w:val="20"/>
              </w:rPr>
              <w:t>~0.5</w:t>
            </w:r>
          </w:p>
        </w:tc>
        <w:tc>
          <w:tcPr>
            <w:tcW w:type="dxa" w:w="1728"/>
          </w:tcPr>
          <w:p>
            <w:r>
              <w:rPr>
                <w:rFonts w:ascii="Times New Roman" w:hAnsi="Times New Roman"/>
                <w:sz w:val="20"/>
              </w:rPr>
              <w:t>0.009</w:t>
            </w:r>
          </w:p>
        </w:tc>
        <w:tc>
          <w:tcPr>
            <w:tcW w:type="dxa" w:w="1728"/>
          </w:tcPr>
          <w:p>
            <w:r>
              <w:rPr>
                <w:rFonts w:ascii="Times New Roman" w:hAnsi="Times New Roman"/>
                <w:sz w:val="20"/>
              </w:rPr>
              <w:t>0.09</w:t>
            </w:r>
          </w:p>
        </w:tc>
      </w:tr>
      <w:tr>
        <w:tc>
          <w:tcPr>
            <w:tcW w:type="dxa" w:w="1728"/>
          </w:tcPr>
          <w:p>
            <w:r>
              <w:rPr>
                <w:rFonts w:ascii="Times New Roman" w:hAnsi="Times New Roman"/>
                <w:sz w:val="20"/>
              </w:rPr>
              <w:t>5 kg (3 cells)</w:t>
            </w:r>
          </w:p>
        </w:tc>
        <w:tc>
          <w:tcPr>
            <w:tcW w:type="dxa" w:w="1728"/>
          </w:tcPr>
          <w:p>
            <w:r>
              <w:rPr>
                <w:rFonts w:ascii="Times New Roman" w:hAnsi="Times New Roman"/>
                <w:sz w:val="20"/>
              </w:rPr>
              <w:t>0.223</w:t>
            </w:r>
          </w:p>
        </w:tc>
        <w:tc>
          <w:tcPr>
            <w:tcW w:type="dxa" w:w="1728"/>
          </w:tcPr>
          <w:p>
            <w:r>
              <w:rPr>
                <w:rFonts w:ascii="Times New Roman" w:hAnsi="Times New Roman"/>
                <w:sz w:val="20"/>
              </w:rPr>
              <w:t>~2.3</w:t>
            </w:r>
          </w:p>
        </w:tc>
        <w:tc>
          <w:tcPr>
            <w:tcW w:type="dxa" w:w="1728"/>
          </w:tcPr>
          <w:p>
            <w:r>
              <w:rPr>
                <w:rFonts w:ascii="Times New Roman" w:hAnsi="Times New Roman"/>
                <w:sz w:val="20"/>
              </w:rPr>
              <w:t>1.06</w:t>
            </w:r>
          </w:p>
        </w:tc>
        <w:tc>
          <w:tcPr>
            <w:tcW w:type="dxa" w:w="1728"/>
          </w:tcPr>
          <w:p>
            <w:r>
              <w:rPr>
                <w:rFonts w:ascii="Times New Roman" w:hAnsi="Times New Roman"/>
                <w:sz w:val="20"/>
              </w:rPr>
              <w:t>5.44</w:t>
            </w:r>
          </w:p>
        </w:tc>
      </w:tr>
      <w:tr>
        <w:tc>
          <w:tcPr>
            <w:tcW w:type="dxa" w:w="1728"/>
          </w:tcPr>
          <w:p>
            <w:r>
              <w:rPr>
                <w:rFonts w:ascii="Times New Roman" w:hAnsi="Times New Roman"/>
                <w:sz w:val="20"/>
              </w:rPr>
              <w:t>10 kg (3 cells)</w:t>
            </w:r>
          </w:p>
        </w:tc>
        <w:tc>
          <w:tcPr>
            <w:tcW w:type="dxa" w:w="1728"/>
          </w:tcPr>
          <w:p>
            <w:r>
              <w:rPr>
                <w:rFonts w:ascii="Times New Roman" w:hAnsi="Times New Roman"/>
                <w:sz w:val="20"/>
              </w:rPr>
              <w:t>0.433</w:t>
            </w:r>
          </w:p>
        </w:tc>
        <w:tc>
          <w:tcPr>
            <w:tcW w:type="dxa" w:w="1728"/>
          </w:tcPr>
          <w:p>
            <w:r>
              <w:rPr>
                <w:rFonts w:ascii="Times New Roman" w:hAnsi="Times New Roman"/>
                <w:sz w:val="20"/>
              </w:rPr>
              <w:t>~4.3</w:t>
            </w:r>
          </w:p>
        </w:tc>
        <w:tc>
          <w:tcPr>
            <w:tcW w:type="dxa" w:w="1728"/>
          </w:tcPr>
          <w:p>
            <w:r>
              <w:rPr>
                <w:rFonts w:ascii="Times New Roman" w:hAnsi="Times New Roman"/>
                <w:sz w:val="20"/>
              </w:rPr>
              <w:t>2.85</w:t>
            </w:r>
          </w:p>
        </w:tc>
        <w:tc>
          <w:tcPr>
            <w:tcW w:type="dxa" w:w="1728"/>
          </w:tcPr>
          <w:p>
            <w:r>
              <w:rPr>
                <w:rFonts w:ascii="Times New Roman" w:hAnsi="Times New Roman"/>
                <w:sz w:val="20"/>
              </w:rPr>
              <w:t>16.99</w:t>
            </w:r>
          </w:p>
        </w:tc>
      </w:tr>
    </w:tbl>
    <w:p/>
    <w:p>
      <w:r>
        <w:rPr>
          <w:rFonts w:ascii="Times New Roman" w:hAnsi="Times New Roman"/>
          <w:b w:val="0"/>
          <w:i/>
          <w:sz w:val="20"/>
        </w:rPr>
        <w:t>Table 4.3: Load cell capability characterisation results.</w:t>
      </w:r>
    </w:p>
    <w:p>
      <w:r>
        <w:rPr>
          <w:rFonts w:ascii="Times New Roman" w:hAnsi="Times New Roman"/>
          <w:b w:val="0"/>
          <w:i w:val="0"/>
          <w:sz w:val="24"/>
        </w:rPr>
        <w:t>Against the accepted heuristic that reliable single-pick counting requires a unit mass of at least 5× to 10× the sensor noise floor (σ), these results quantify the light-item limit precisely: the lightest components in the bill of materials (approximately 3–3.5 g) are comfortably resolved on the 1 kg platform (σ = 0.028 g, yielding a signal-to-noise ratio exceeding 100:1), but sit at or below the reliable threshold on the 5 kg platform (σ = 0.223 g, SNR ≈ 15:1) and fall within the noise band on the 10 kg platform (σ = 0.433 g). Absolute accuracy was otherwise excellent — measured grams versus reference agreed within a few tenths of a gram across the full calibration ladder.</w:t>
      </w:r>
    </w:p>
    <w:p>
      <w:pPr>
        <w:jc w:val="center"/>
      </w:pPr>
      <w:r>
        <w:rPr>
          <w:i/>
          <w:color w:val="969696"/>
          <w:sz w:val="22"/>
        </w:rPr>
        <w:t>[INSERT FIGURE HERE]</w:t>
      </w:r>
    </w:p>
    <w:p>
      <w:pPr>
        <w:spacing w:after="240"/>
        <w:jc w:val="center"/>
      </w:pPr>
      <w:r>
        <w:rPr>
          <w:rFonts w:ascii="Times New Roman" w:hAnsi="Times New Roman"/>
          <w:i/>
          <w:sz w:val="20"/>
        </w:rPr>
        <w:t>Figure 4.8: Load cell calibration ladders. Full raw calibration curves for the (a) 1 kg, (b) 5 kg, and (c) 10 kg platforms, showing measured weight versus reference weight at each load step.</w:t>
      </w:r>
    </w:p>
    <w:p>
      <w:r>
        <w:rPr>
          <w:rFonts w:ascii="Times New Roman" w:hAnsi="Times New Roman"/>
          <w:b/>
          <w:i w:val="0"/>
          <w:sz w:val="24"/>
        </w:rPr>
        <w:t>Stability.</w:t>
      </w:r>
    </w:p>
    <w:p>
      <w:r>
        <w:rPr>
          <w:rFonts w:ascii="Times New Roman" w:hAnsi="Times New Roman"/>
          <w:b w:val="0"/>
          <w:i w:val="0"/>
          <w:sz w:val="24"/>
        </w:rPr>
        <w:t>Warm-up drift (A4) over a 30-minute period at mid-load was ≤0.22 g on the 1 kg platform but reached approximately 6 g on the 5 kg platform, justifying the adoption of a 30-minute warm-up period and periodic re-taring as standard operating procedure prior to each kitting session. Creep (A5) under sustained load stayed within approximately 0.1% of the applied load on all three configurations over the test duration, confirming that sustained static loading is not a material error source over the duration of a typical kitting session.</w:t>
      </w:r>
    </w:p>
    <w:p>
      <w:r>
        <w:rPr>
          <w:rFonts w:ascii="Times New Roman" w:hAnsi="Times New Roman"/>
          <w:b/>
          <w:i w:val="0"/>
          <w:sz w:val="24"/>
        </w:rPr>
        <w:t>Integration.</w:t>
      </w:r>
    </w:p>
    <w:p>
      <w:r>
        <w:rPr>
          <w:rFonts w:ascii="Times New Roman" w:hAnsi="Times New Roman"/>
          <w:b w:val="0"/>
          <w:i w:val="0"/>
          <w:sz w:val="24"/>
        </w:rPr>
        <w:t>The decisive finding for the summed three-cell platforms was off-centre placement sensitivity (A6). The 1 kg single-cell platform was essentially position-invariant, exhibiting deviations of ≤0.2 g across a 90 mm radius from the centroid. The three-cell platforms, however, were not: moving the same fixed mass from the calibrated centroid to directly over an individual cell or to the apex shifted the summed reading by tens of grams — on the 5 kg platform, deviations ranged from −38.6 g to +64.0 g; on the 10 kg platform, from −65.8 g to +105.0 g. For the larger bins, therefore, where a component is physically placed on the platform materially affects the weight reading, which bounds how finely those platforms can resolve individual picks regardless of the underlying electronic resolution.</w:t>
      </w:r>
    </w:p>
    <w:p>
      <w:r>
        <w:rPr>
          <w:rFonts w:ascii="Times New Roman" w:hAnsi="Times New Roman"/>
          <w:b w:val="0"/>
          <w:i w:val="0"/>
          <w:sz w:val="24"/>
        </w:rPr>
        <w:t>Settling time (A8) was measured at 0.3 to 0.6 seconds per load step at the firmware's 10 SPS (samples per second) rate, indicating that the system can register a stable weight change within approximately half a second of the operator placing or removing a component.</w:t>
      </w:r>
    </w:p>
    <w:p>
      <w:pPr>
        <w:jc w:val="center"/>
      </w:pPr>
      <w:r>
        <w:rPr>
          <w:i/>
          <w:color w:val="969696"/>
          <w:sz w:val="22"/>
        </w:rPr>
        <w:t>[INSERT FIGURE HERE]</w:t>
      </w:r>
    </w:p>
    <w:p>
      <w:pPr>
        <w:spacing w:after="240"/>
        <w:jc w:val="center"/>
      </w:pPr>
      <w:r>
        <w:rPr>
          <w:rFonts w:ascii="Times New Roman" w:hAnsi="Times New Roman"/>
          <w:i/>
          <w:sz w:val="20"/>
        </w:rPr>
        <w:t>Figure 4.9: Off-centre placement sensitivity results. (a) Deviation map for the 1 kg platform showing near-zero position sensitivity. (b) Deviation map for the 5 kg three-cell platform showing significant position-dependent variation. (c) Deviation map for the 10 kg three-cell platform.</w:t>
      </w:r>
    </w:p>
    <w:p>
      <w:r>
        <w:rPr>
          <w:rFonts w:ascii="Times New Roman" w:hAnsi="Times New Roman"/>
          <w:b/>
          <w:i w:val="0"/>
          <w:sz w:val="24"/>
        </w:rPr>
        <w:t>Implications.</w:t>
      </w:r>
    </w:p>
    <w:p>
      <w:r>
        <w:rPr>
          <w:rFonts w:ascii="Times New Roman" w:hAnsi="Times New Roman"/>
          <w:b w:val="0"/>
          <w:i w:val="0"/>
          <w:sz w:val="24"/>
        </w:rPr>
        <w:t>These metrology limits explain and bound the light-item behaviour observed at system level: the lightest components are only reliably counted on the smallest (1 kg) platform, while the medium and large three-cell platforms trade both resolution and placement-invariance for load capacity. Two hardware-reliability issues were also recorded during integration testing: several individual load cell channels were found reading a flat zero (indicative of disconnected cells or broken solder joints), and the load-cell microcontroller's USB link exhibited intermittent resets that dropped the serial connection — both cabling and power faults rather than software defects, requiring physical inspection and repair of the wiring harness.</w:t>
      </w:r>
    </w:p>
    <w:p>
      <w:pPr>
        <w:pStyle w:val="Heading2"/>
      </w:pPr>
      <w:r>
        <w:t>4.3 Backend Verification (Unit Testing)</w:t>
      </w:r>
    </w:p>
    <w:p>
      <w:pPr>
        <w:pStyle w:val="Heading3"/>
      </w:pPr>
      <w:r>
        <w:t>4.3.1 Testing Framework</w:t>
      </w:r>
    </w:p>
    <w:p>
      <w:r>
        <w:rPr>
          <w:rFonts w:ascii="Times New Roman" w:hAnsi="Times New Roman"/>
          <w:b w:val="0"/>
          <w:i w:val="0"/>
          <w:sz w:val="24"/>
        </w:rPr>
        <w:t>Because the verification logic is encapsulated in a pure placement-tracker component with no dependency on the camera or display (as described in Section 3.3.3), it can be tested in isolation with an automated unit-test suite. The suite was implemented using the pytest framework and feeds deterministic sequences of per-bin and kit-box weights into the placement tracker, asserting the resulting FSM state at each step. The test cases cover the following categories:</w:t>
      </w:r>
    </w:p>
    <w:p>
      <w:pPr>
        <w:pStyle w:val="ListBullet"/>
      </w:pPr>
      <w:r>
        <w:rPr>
          <w:rFonts w:ascii="Times New Roman" w:hAnsi="Times New Roman"/>
          <w:sz w:val="22"/>
        </w:rPr>
        <w:t>Bin activation and the confirmation debounce window.</w:t>
      </w:r>
    </w:p>
    <w:p>
      <w:pPr>
        <w:pStyle w:val="ListBullet"/>
      </w:pPr>
      <w:r>
        <w:rPr>
          <w:rFonts w:ascii="Times New Roman" w:hAnsi="Times New Roman"/>
          <w:sz w:val="22"/>
        </w:rPr>
        <w:t>Placement counting, target-reached completion, and bin banking.</w:t>
      </w:r>
    </w:p>
    <w:p>
      <w:pPr>
        <w:pStyle w:val="ListBullet"/>
      </w:pPr>
      <w:r>
        <w:rPr>
          <w:rFonts w:ascii="Times New Roman" w:hAnsi="Times New Roman"/>
          <w:sz w:val="22"/>
        </w:rPr>
        <w:t>Every fault type (Overpack, Out-of-Sequence, Wrong-Bin, Returned-to-Wrong-Bin) and its auto-clear condition.</w:t>
      </w:r>
    </w:p>
    <w:p>
      <w:pPr>
        <w:pStyle w:val="ListBullet"/>
      </w:pPr>
      <w:r>
        <w:rPr>
          <w:rFonts w:ascii="Times New Roman" w:hAnsi="Times New Roman"/>
          <w:sz w:val="22"/>
        </w:rPr>
        <w:t>Edge cases — post-tare settle windows, sensor drift compensation, transient weight dips, and the light-item crediting floors derived from the qualification results in Section 4.2.2.</w:t>
      </w:r>
    </w:p>
    <w:p>
      <w:pPr>
        <w:pStyle w:val="Heading3"/>
      </w:pPr>
      <w:r>
        <w:t>4.3.2 Evaluation Results</w:t>
      </w:r>
    </w:p>
    <w:p>
      <w:r>
        <w:rPr>
          <w:rFonts w:ascii="Times New Roman" w:hAnsi="Times New Roman"/>
          <w:b w:val="0"/>
          <w:i w:val="0"/>
          <w:sz w:val="24"/>
        </w:rPr>
        <w:t>The test suite comprises 134 test cases distributed across 16 test modules. All 134 tests pass, locking in the intended behaviour: counts advance only on genuine kit-box weight increases; each fault fires on its correct condition and clears upon operator correction; a completed bin picked from is correctly classified as a wrong-bin error rather than an out-of-sequence error; and transient sensor dips no longer produce phantom count changes. Running as fast, deterministic unit tests without hardware in the loop, the suite also serves as a regression guard for future changes to the verification logic.</w:t>
      </w:r>
    </w:p>
    <w:p>
      <w:r>
        <w:rPr>
          <w:rFonts w:ascii="Times New Roman" w:hAnsi="Times New Roman"/>
          <w:b w:val="0"/>
          <w:i w:val="0"/>
          <w:sz w:val="24"/>
        </w:rPr>
        <w:t>Code coverage analysis was performed using pytest-cov. The results are summarised in Table 4.4.</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20"/>
              </w:rPr>
              <w:t>Module</w:t>
            </w:r>
          </w:p>
        </w:tc>
        <w:tc>
          <w:tcPr>
            <w:tcW w:type="dxa" w:w="2880"/>
          </w:tcPr>
          <w:p>
            <w:pPr>
              <w:jc w:val="center"/>
            </w:pPr>
            <w:r>
              <w:rPr>
                <w:rFonts w:ascii="Times New Roman" w:hAnsi="Times New Roman"/>
                <w:b/>
                <w:sz w:val="20"/>
              </w:rPr>
              <w:t>Statements</w:t>
            </w:r>
          </w:p>
        </w:tc>
        <w:tc>
          <w:tcPr>
            <w:tcW w:type="dxa" w:w="2880"/>
          </w:tcPr>
          <w:p>
            <w:pPr>
              <w:jc w:val="center"/>
            </w:pPr>
            <w:r>
              <w:rPr>
                <w:rFonts w:ascii="Times New Roman" w:hAnsi="Times New Roman"/>
                <w:b/>
                <w:sz w:val="20"/>
              </w:rPr>
              <w:t>Coverage (%)</w:t>
            </w:r>
          </w:p>
        </w:tc>
      </w:tr>
      <w:tr>
        <w:tc>
          <w:tcPr>
            <w:tcW w:type="dxa" w:w="2880"/>
          </w:tcPr>
          <w:p>
            <w:r>
              <w:rPr>
                <w:rFonts w:ascii="Times New Roman" w:hAnsi="Times New Roman"/>
                <w:sz w:val="20"/>
              </w:rPr>
              <w:t>placement.py (FSM core verification logic)</w:t>
            </w:r>
          </w:p>
        </w:tc>
        <w:tc>
          <w:tcPr>
            <w:tcW w:type="dxa" w:w="2880"/>
          </w:tcPr>
          <w:p>
            <w:r>
              <w:rPr>
                <w:rFonts w:ascii="Times New Roman" w:hAnsi="Times New Roman"/>
                <w:sz w:val="20"/>
              </w:rPr>
              <w:t>196</w:t>
            </w:r>
          </w:p>
        </w:tc>
        <w:tc>
          <w:tcPr>
            <w:tcW w:type="dxa" w:w="2880"/>
          </w:tcPr>
          <w:p>
            <w:r>
              <w:rPr>
                <w:rFonts w:ascii="Times New Roman" w:hAnsi="Times New Roman"/>
                <w:sz w:val="20"/>
              </w:rPr>
              <w:t>98</w:t>
            </w:r>
          </w:p>
        </w:tc>
      </w:tr>
      <w:tr>
        <w:tc>
          <w:tcPr>
            <w:tcW w:type="dxa" w:w="2880"/>
          </w:tcPr>
          <w:p>
            <w:r>
              <w:rPr>
                <w:rFonts w:ascii="Times New Roman" w:hAnsi="Times New Roman"/>
                <w:sz w:val="20"/>
              </w:rPr>
              <w:t>bin_assignment.py (geometric bin assignment)</w:t>
            </w:r>
          </w:p>
        </w:tc>
        <w:tc>
          <w:tcPr>
            <w:tcW w:type="dxa" w:w="2880"/>
          </w:tcPr>
          <w:p>
            <w:r>
              <w:rPr>
                <w:rFonts w:ascii="Times New Roman" w:hAnsi="Times New Roman"/>
                <w:sz w:val="20"/>
              </w:rPr>
              <w:t>260</w:t>
            </w:r>
          </w:p>
        </w:tc>
        <w:tc>
          <w:tcPr>
            <w:tcW w:type="dxa" w:w="2880"/>
          </w:tcPr>
          <w:p>
            <w:r>
              <w:rPr>
                <w:rFonts w:ascii="Times New Roman" w:hAnsi="Times New Roman"/>
                <w:sz w:val="20"/>
              </w:rPr>
              <w:t>83</w:t>
            </w:r>
          </w:p>
        </w:tc>
      </w:tr>
      <w:tr>
        <w:tc>
          <w:tcPr>
            <w:tcW w:type="dxa" w:w="2880"/>
          </w:tcPr>
          <w:p>
            <w:r>
              <w:rPr>
                <w:rFonts w:ascii="Times New Roman" w:hAnsi="Times New Roman"/>
                <w:sz w:val="20"/>
              </w:rPr>
              <w:t>occlusion_hold.py (shelf-lip occlusion handling)</w:t>
            </w:r>
          </w:p>
        </w:tc>
        <w:tc>
          <w:tcPr>
            <w:tcW w:type="dxa" w:w="2880"/>
          </w:tcPr>
          <w:p>
            <w:r>
              <w:rPr>
                <w:rFonts w:ascii="Times New Roman" w:hAnsi="Times New Roman"/>
                <w:sz w:val="20"/>
              </w:rPr>
              <w:t>35</w:t>
            </w:r>
          </w:p>
        </w:tc>
        <w:tc>
          <w:tcPr>
            <w:tcW w:type="dxa" w:w="2880"/>
          </w:tcPr>
          <w:p>
            <w:r>
              <w:rPr>
                <w:rFonts w:ascii="Times New Roman" w:hAnsi="Times New Roman"/>
                <w:sz w:val="20"/>
              </w:rPr>
              <w:t>100</w:t>
            </w:r>
          </w:p>
        </w:tc>
      </w:tr>
      <w:tr>
        <w:tc>
          <w:tcPr>
            <w:tcW w:type="dxa" w:w="2880"/>
          </w:tcPr>
          <w:p>
            <w:r>
              <w:rPr>
                <w:rFonts w:ascii="Times New Roman" w:hAnsi="Times New Roman"/>
                <w:sz w:val="20"/>
              </w:rPr>
              <w:t>grid_allocator.py (spatial grid calculations)</w:t>
            </w:r>
          </w:p>
        </w:tc>
        <w:tc>
          <w:tcPr>
            <w:tcW w:type="dxa" w:w="2880"/>
          </w:tcPr>
          <w:p>
            <w:r>
              <w:rPr>
                <w:rFonts w:ascii="Times New Roman" w:hAnsi="Times New Roman"/>
                <w:sz w:val="20"/>
              </w:rPr>
              <w:t>107</w:t>
            </w:r>
          </w:p>
        </w:tc>
        <w:tc>
          <w:tcPr>
            <w:tcW w:type="dxa" w:w="2880"/>
          </w:tcPr>
          <w:p>
            <w:r>
              <w:rPr>
                <w:rFonts w:ascii="Times New Roman" w:hAnsi="Times New Roman"/>
                <w:sz w:val="20"/>
              </w:rPr>
              <w:t>93</w:t>
            </w:r>
          </w:p>
        </w:tc>
      </w:tr>
      <w:tr>
        <w:tc>
          <w:tcPr>
            <w:tcW w:type="dxa" w:w="2880"/>
          </w:tcPr>
          <w:p>
            <w:r>
              <w:rPr>
                <w:rFonts w:ascii="Times New Roman" w:hAnsi="Times New Roman"/>
                <w:sz w:val="20"/>
              </w:rPr>
              <w:t>grid_calibrator.py (calibration verification)</w:t>
            </w:r>
          </w:p>
        </w:tc>
        <w:tc>
          <w:tcPr>
            <w:tcW w:type="dxa" w:w="2880"/>
          </w:tcPr>
          <w:p>
            <w:r>
              <w:rPr>
                <w:rFonts w:ascii="Times New Roman" w:hAnsi="Times New Roman"/>
                <w:sz w:val="20"/>
              </w:rPr>
              <w:t>79</w:t>
            </w:r>
          </w:p>
        </w:tc>
        <w:tc>
          <w:tcPr>
            <w:tcW w:type="dxa" w:w="2880"/>
          </w:tcPr>
          <w:p>
            <w:r>
              <w:rPr>
                <w:rFonts w:ascii="Times New Roman" w:hAnsi="Times New Roman"/>
                <w:sz w:val="20"/>
              </w:rPr>
              <w:t>96</w:t>
            </w:r>
          </w:p>
        </w:tc>
      </w:tr>
      <w:tr>
        <w:tc>
          <w:tcPr>
            <w:tcW w:type="dxa" w:w="2880"/>
          </w:tcPr>
          <w:p>
            <w:r>
              <w:rPr>
                <w:rFonts w:ascii="Times New Roman" w:hAnsi="Times New Roman"/>
                <w:sz w:val="20"/>
              </w:rPr>
              <w:t>grid_session.py (session boundary management)</w:t>
            </w:r>
          </w:p>
        </w:tc>
        <w:tc>
          <w:tcPr>
            <w:tcW w:type="dxa" w:w="2880"/>
          </w:tcPr>
          <w:p>
            <w:r>
              <w:rPr>
                <w:rFonts w:ascii="Times New Roman" w:hAnsi="Times New Roman"/>
                <w:sz w:val="20"/>
              </w:rPr>
              <w:t>74</w:t>
            </w:r>
          </w:p>
        </w:tc>
        <w:tc>
          <w:tcPr>
            <w:tcW w:type="dxa" w:w="2880"/>
          </w:tcPr>
          <w:p>
            <w:r>
              <w:rPr>
                <w:rFonts w:ascii="Times New Roman" w:hAnsi="Times New Roman"/>
                <w:sz w:val="20"/>
              </w:rPr>
              <w:t>95</w:t>
            </w:r>
          </w:p>
        </w:tc>
      </w:tr>
      <w:tr>
        <w:tc>
          <w:tcPr>
            <w:tcW w:type="dxa" w:w="2880"/>
          </w:tcPr>
          <w:p>
            <w:r>
              <w:rPr>
                <w:rFonts w:ascii="Times New Roman" w:hAnsi="Times New Roman"/>
                <w:sz w:val="20"/>
              </w:rPr>
              <w:t>inventory.py (weight-to-count conversion)</w:t>
            </w:r>
          </w:p>
        </w:tc>
        <w:tc>
          <w:tcPr>
            <w:tcW w:type="dxa" w:w="2880"/>
          </w:tcPr>
          <w:p>
            <w:r>
              <w:rPr>
                <w:rFonts w:ascii="Times New Roman" w:hAnsi="Times New Roman"/>
                <w:sz w:val="20"/>
              </w:rPr>
              <w:t>45</w:t>
            </w:r>
          </w:p>
        </w:tc>
        <w:tc>
          <w:tcPr>
            <w:tcW w:type="dxa" w:w="2880"/>
          </w:tcPr>
          <w:p>
            <w:r>
              <w:rPr>
                <w:rFonts w:ascii="Times New Roman" w:hAnsi="Times New Roman"/>
                <w:sz w:val="20"/>
              </w:rPr>
              <w:t>78</w:t>
            </w:r>
          </w:p>
        </w:tc>
      </w:tr>
      <w:tr>
        <w:tc>
          <w:tcPr>
            <w:tcW w:type="dxa" w:w="2880"/>
          </w:tcPr>
          <w:p>
            <w:r>
              <w:rPr>
                <w:rFonts w:ascii="Times New Roman" w:hAnsi="Times New Roman"/>
                <w:sz w:val="20"/>
              </w:rPr>
              <w:t>cycle.py (order cycle management)</w:t>
            </w:r>
          </w:p>
        </w:tc>
        <w:tc>
          <w:tcPr>
            <w:tcW w:type="dxa" w:w="2880"/>
          </w:tcPr>
          <w:p>
            <w:r>
              <w:rPr>
                <w:rFonts w:ascii="Times New Roman" w:hAnsi="Times New Roman"/>
                <w:sz w:val="20"/>
              </w:rPr>
              <w:t>39</w:t>
            </w:r>
          </w:p>
        </w:tc>
        <w:tc>
          <w:tcPr>
            <w:tcW w:type="dxa" w:w="2880"/>
          </w:tcPr>
          <w:p>
            <w:r>
              <w:rPr>
                <w:rFonts w:ascii="Times New Roman" w:hAnsi="Times New Roman"/>
                <w:sz w:val="20"/>
              </w:rPr>
              <w:t>100</w:t>
            </w:r>
          </w:p>
        </w:tc>
      </w:tr>
      <w:tr>
        <w:tc>
          <w:tcPr>
            <w:tcW w:type="dxa" w:w="2880"/>
          </w:tcPr>
          <w:p>
            <w:r>
              <w:rPr>
                <w:rFonts w:ascii="Times New Roman" w:hAnsi="Times New Roman"/>
                <w:sz w:val="20"/>
              </w:rPr>
              <w:t>Overall project</w:t>
            </w:r>
          </w:p>
        </w:tc>
        <w:tc>
          <w:tcPr>
            <w:tcW w:type="dxa" w:w="2880"/>
          </w:tcPr>
          <w:p>
            <w:r>
              <w:rPr>
                <w:rFonts w:ascii="Times New Roman" w:hAnsi="Times New Roman"/>
                <w:sz w:val="20"/>
              </w:rPr>
              <w:t>2,569</w:t>
            </w:r>
          </w:p>
        </w:tc>
        <w:tc>
          <w:tcPr>
            <w:tcW w:type="dxa" w:w="2880"/>
          </w:tcPr>
          <w:p>
            <w:r>
              <w:rPr>
                <w:rFonts w:ascii="Times New Roman" w:hAnsi="Times New Roman"/>
                <w:sz w:val="20"/>
              </w:rPr>
              <w:t>50</w:t>
            </w:r>
          </w:p>
        </w:tc>
      </w:tr>
    </w:tbl>
    <w:p/>
    <w:p>
      <w:r>
        <w:rPr>
          <w:rFonts w:ascii="Times New Roman" w:hAnsi="Times New Roman"/>
          <w:b w:val="0"/>
          <w:i/>
          <w:sz w:val="20"/>
        </w:rPr>
        <w:t>Table 4.4: Backend unit test coverage summary (134/134 tests passing).</w:t>
      </w:r>
    </w:p>
    <w:p>
      <w:r>
        <w:rPr>
          <w:rFonts w:ascii="Times New Roman" w:hAnsi="Times New Roman"/>
          <w:b w:val="0"/>
          <w:i w:val="0"/>
          <w:sz w:val="24"/>
        </w:rPr>
        <w:t>The 50% overall coverage figure reflects the fact that the test suite deliberately targets the pure-logic modules (placement tracker, bin assignment, grid calibration) rather than the hardware-bound modules (pipeline orchestrator, dashboard server, camera overlay) which require live peripherals and cannot be meaningfully exercised without the physical rig. The core verification logic — the placement tracker FSM — achieves 98% statement coverage, confirming that the critical state machine pathways are exercised exhaustively. The remaining 2% corresponds to defensive error-handling branches that require specific hardware fault conditions to trigger.</w:t>
      </w:r>
    </w:p>
    <w:p>
      <w:pPr>
        <w:jc w:val="center"/>
      </w:pPr>
      <w:r>
        <w:rPr>
          <w:i/>
          <w:color w:val="969696"/>
          <w:sz w:val="22"/>
        </w:rPr>
        <w:t>[INSERT FIGURE HERE]</w:t>
      </w:r>
    </w:p>
    <w:p>
      <w:pPr>
        <w:spacing w:after="240"/>
        <w:jc w:val="center"/>
      </w:pPr>
      <w:r>
        <w:rPr>
          <w:rFonts w:ascii="Times New Roman" w:hAnsi="Times New Roman"/>
          <w:i/>
          <w:sz w:val="20"/>
        </w:rPr>
        <w:t>Figure 4.10: Unit test results. (a) pytest terminal output showing 134/134 tests passing. (b) pytest-cov coverage report summary for the core verification modules.</w:t>
      </w:r>
    </w:p>
    <w:p>
      <w:pPr>
        <w:pStyle w:val="Heading2"/>
      </w:pPr>
      <w:r>
        <w:t>4.4 Developer-Phase Iterations</w:t>
      </w:r>
    </w:p>
    <w:p>
      <w:r>
        <w:rPr>
          <w:rFonts w:ascii="Times New Roman" w:hAnsi="Times New Roman"/>
          <w:b w:val="0"/>
          <w:i w:val="0"/>
          <w:sz w:val="24"/>
        </w:rPr>
        <w:t>During the integration and functional testing phase, two significant design iterations were required to address issues discovered through systematic testing. These iterations exemplify the project's test-driven development approach, in which each subsystem was validated independently before integration, and integration-phase findings drove targeted redesigns rather than ad hoc fixes.</w:t>
      </w:r>
    </w:p>
    <w:p>
      <w:pPr>
        <w:pStyle w:val="Heading3"/>
      </w:pPr>
      <w:r>
        <w:t>4.4.1 Hardware Iteration: Load Cell Platform Redesign</w:t>
      </w:r>
    </w:p>
    <w:p>
      <w:r>
        <w:rPr>
          <w:rFonts w:ascii="Times New Roman" w:hAnsi="Times New Roman"/>
          <w:b w:val="0"/>
          <w:i w:val="0"/>
          <w:sz w:val="24"/>
        </w:rPr>
        <w:t>Bench testing of the load cells (Section 4.2.2) revealed that a single cantilever load cell could not support larger bins without tipping, while expanding the platform size on a single-point cell introduced extreme off-centre measurement errors. This finding drove a hardware design iteration: transitioning from a single-cell platform to a three-point summed load cell triangle for the medium and large bin configurations. The three-point configuration stabilised the centre of gravity within the support triangle and permitted bin scaling to match the factory's bin inventory, while the HX711 summation circuit maintained a single-channel interface to the microcontroller, preserving software compatibility with no firmware changes required.</w:t>
      </w:r>
    </w:p>
    <w:p>
      <w:pPr>
        <w:jc w:val="center"/>
      </w:pPr>
      <w:r>
        <w:rPr>
          <w:i/>
          <w:color w:val="969696"/>
          <w:sz w:val="22"/>
        </w:rPr>
        <w:t>[INSERT FIGURE HERE]</w:t>
      </w:r>
    </w:p>
    <w:p>
      <w:pPr>
        <w:spacing w:after="240"/>
        <w:jc w:val="center"/>
      </w:pPr>
      <w:r>
        <w:rPr>
          <w:rFonts w:ascii="Times New Roman" w:hAnsi="Times New Roman"/>
          <w:i/>
          <w:sz w:val="20"/>
        </w:rPr>
        <w:t>Figure 4.11: Load cell platform evolution. (a) Initial single-cell cantilever platform showing tipping instability with a large bin. (b) Final three-point summed load cell triangle configuration with triangular acrylic platform, showing stable bin seating.</w:t>
      </w:r>
    </w:p>
    <w:p>
      <w:pPr>
        <w:pStyle w:val="Heading3"/>
      </w:pPr>
      <w:r>
        <w:t>4.4.2 Software Iteration: Occlusion Gate</w:t>
      </w:r>
    </w:p>
    <w:p>
      <w:r>
        <w:rPr>
          <w:rFonts w:ascii="Times New Roman" w:hAnsi="Times New Roman"/>
          <w:b w:val="0"/>
          <w:i w:val="0"/>
          <w:sz w:val="24"/>
        </w:rPr>
        <w:t>During early integration testing, a critical computer vision error was identified when operators reached into the bottom row of bins. The shelf lip of the two-tier workstation rack physically occludes the operator's fingers when reaching for the lower bins. Because the MediaPipe hand tracker loses sight of the distal finger joints, it extrapolates the fingertip coordinates upward, placing the index fingertip within the geofence of the top-tier bins rather than the intended bottom-tier bin. This produced false "Out-of-Sequence" or "Wrong-Bin" alarms that disrupted the operator's workflow.</w:t>
      </w:r>
    </w:p>
    <w:p>
      <w:r>
        <w:rPr>
          <w:rFonts w:ascii="Times New Roman" w:hAnsi="Times New Roman"/>
          <w:b w:val="0"/>
          <w:i w:val="0"/>
          <w:sz w:val="24"/>
        </w:rPr>
        <w:t>To resolve this without modifying the workstation hardware, an Occlusion Gate was implemented within the bin assignment engine. The gate operates by verifying the position of the hand's proximal anchors — the wrist landmark and the metacarpophalangeal (MCP) knuckle centroid — which remain visible below the shelf lip even when the distal joints are occluded. When these anchor landmarks are detected at or below the bottom-bin rim boundary, the gate overrides any fingertip-derived top-bin assignment and forces the hand's assignment to the bottom bin beneath the anchors. If no bottom bin exists at that position, the event is suppressed entirely, preventing a false alarm.</w:t>
      </w:r>
    </w:p>
    <w:p>
      <w:r>
        <w:rPr>
          <w:rFonts w:ascii="Times New Roman" w:hAnsi="Times New Roman"/>
          <w:b w:val="0"/>
          <w:i w:val="0"/>
          <w:sz w:val="24"/>
        </w:rPr>
        <w:t>Additionally, a stateful Occlusion Hold module was developed to address complete hand disappearance. When a hand that was actively picking from a bottom bin vanishes entirely behind the shelf lip (i.e., no landmarks are detected at all), the hold module maintains the last-known bottom-bin assignment for a configurable duration (default: 500 ms), releasing only when the hand reappears or the timeout expires. This prevents the system from oscillating between assigned and unassigned states during rapid picking from lower bins.</w:t>
      </w:r>
    </w:p>
    <w:p>
      <w:r>
        <w:rPr>
          <w:rFonts w:ascii="Times New Roman" w:hAnsi="Times New Roman"/>
          <w:b w:val="0"/>
          <w:i w:val="0"/>
          <w:sz w:val="24"/>
        </w:rPr>
        <w:t>Both modules are fully covered by the unit test suite: the occlusion gate is tested by 22 test cases and the occlusion hold by 12 test cases, all passing. The combined effect of these two modules eliminated the false-alarm issue entirely in subsequent integration testing.</w:t>
      </w:r>
    </w:p>
    <w:p>
      <w:pPr>
        <w:jc w:val="center"/>
      </w:pPr>
      <w:r>
        <w:rPr>
          <w:i/>
          <w:color w:val="969696"/>
          <w:sz w:val="22"/>
        </w:rPr>
        <w:t>[INSERT FIGURE HERE]</w:t>
      </w:r>
    </w:p>
    <w:p>
      <w:pPr>
        <w:spacing w:after="240"/>
        <w:jc w:val="center"/>
      </w:pPr>
      <w:r>
        <w:rPr>
          <w:rFonts w:ascii="Times New Roman" w:hAnsi="Times New Roman"/>
          <w:i/>
          <w:sz w:val="20"/>
        </w:rPr>
        <w:t>Figure 4.12: Occlusion Gate operation. (a) Side-view schematic showing the shelf lip occluding fingertips during a bottom-bin reach. (b) Without the gate: fingertip extrapolation causes false top-bin assignment (red overlay). (c) With the gate: proximal anchor detection (wrist + MCP centroid) overrides to the correct bottom bin (green overlay).</w:t>
      </w:r>
    </w:p>
    <w:p>
      <w:r>
        <w:br w:type="page"/>
      </w:r>
    </w:p>
    <w:p>
      <w:pPr>
        <w:pStyle w:val="Heading1"/>
      </w:pPr>
      <w:r>
        <w:t>Chapter 5: System Testing and Evaluation</w:t>
      </w:r>
    </w:p>
    <w:p>
      <w:r>
        <w:rPr>
          <w:rFonts w:ascii="Times New Roman" w:hAnsi="Times New Roman"/>
          <w:b w:val="0"/>
          <w:i w:val="0"/>
          <w:sz w:val="24"/>
        </w:rPr>
        <w:t>This chapter presents the system-level validation of the integrated AEGIS prototype, encompassing user-oriented testing with operators, the HMI design iteration driven by operator feedback, and the formal requirements validation matrix that traces each functional requirement to its verification evidence. While Chapter 4 addressed developer-oriented functional testing of individual subsystems, this chapter evaluates the system as experienced by its end users and as measured against the requirements established in Chapter 1.</w:t>
      </w:r>
    </w:p>
    <w:p>
      <w:pPr>
        <w:pStyle w:val="Heading2"/>
      </w:pPr>
      <w:r>
        <w:t>5.1 Usability Study</w:t>
      </w:r>
    </w:p>
    <w:p>
      <w:pPr>
        <w:pStyle w:val="Heading3"/>
      </w:pPr>
      <w:r>
        <w:t>5.1.1 Testing Framework</w:t>
      </w:r>
    </w:p>
    <w:p>
      <w:r>
        <w:rPr>
          <w:rFonts w:ascii="Times New Roman" w:hAnsi="Times New Roman"/>
          <w:b w:val="0"/>
          <w:i w:val="0"/>
          <w:sz w:val="24"/>
        </w:rPr>
        <w:t>The integrated system was evaluated through a structured usability study with six operators, conducted between 8 and 13 July 2026. The study employed a within-subjects, counterbalanced design in which each operator completed a paper-based Control block and an AEGIS System block, with three bills of materials (BOMs) per block; block order was counterbalanced across participants to control for learning effects and order bias.</w:t>
      </w:r>
    </w:p>
    <w:p>
      <w:r>
        <w:rPr>
          <w:rFonts w:ascii="Times New Roman" w:hAnsi="Times New Roman"/>
          <w:b w:val="0"/>
          <w:i w:val="0"/>
          <w:sz w:val="24"/>
        </w:rPr>
        <w:t>Evaluation focused on the operator's comprehension and subjective experience of the interface. Each session comprised three phases: (1) a structured alert walkthrough, in which the operator encountered and was asked to interpret each of the four fault types (Overpack, Out-of-Sequence, Wrong-Bin, Returned-to-Wrong-Bin); (2) a rating interview across nine dimensions scored on a 1–5 Likert scale; and (3) an open-ended interview capturing free-form feedback and redesign suggestions. The nine rating dimensions were chosen to separate the two functions a kitting HMI must perform well: communicating the task (what and how many to pack) and communicating exceptions (warnings, errors, and how to correct them).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Operator</w:t>
            </w:r>
          </w:p>
        </w:tc>
        <w:tc>
          <w:tcPr>
            <w:tcW w:type="dxa" w:w="2160"/>
          </w:tcPr>
          <w:p>
            <w:pPr>
              <w:jc w:val="center"/>
            </w:pPr>
            <w:r>
              <w:rPr>
                <w:rFonts w:ascii="Times New Roman" w:hAnsi="Times New Roman"/>
                <w:b/>
                <w:sz w:val="20"/>
              </w:rPr>
              <w:t>Date</w:t>
            </w:r>
          </w:p>
        </w:tc>
        <w:tc>
          <w:tcPr>
            <w:tcW w:type="dxa" w:w="2160"/>
          </w:tcPr>
          <w:p>
            <w:pPr>
              <w:jc w:val="center"/>
            </w:pPr>
            <w:r>
              <w:rPr>
                <w:rFonts w:ascii="Times New Roman" w:hAnsi="Times New Roman"/>
                <w:b/>
                <w:sz w:val="20"/>
              </w:rPr>
              <w:t>Group</w:t>
            </w:r>
          </w:p>
        </w:tc>
        <w:tc>
          <w:tcPr>
            <w:tcW w:type="dxa" w:w="2160"/>
          </w:tcPr>
          <w:p>
            <w:pPr>
              <w:jc w:val="center"/>
            </w:pPr>
            <w:r>
              <w:rPr>
                <w:rFonts w:ascii="Times New Roman" w:hAnsi="Times New Roman"/>
                <w:b/>
                <w:sz w:val="20"/>
              </w:rPr>
              <w:t>BOM Order</w:t>
            </w:r>
          </w:p>
        </w:tc>
      </w:tr>
      <w:tr>
        <w:tc>
          <w:tcPr>
            <w:tcW w:type="dxa" w:w="2160"/>
          </w:tcPr>
          <w:p>
            <w:r>
              <w:rPr>
                <w:rFonts w:ascii="Times New Roman" w:hAnsi="Times New Roman"/>
                <w:sz w:val="20"/>
              </w:rPr>
              <w:t>Benny</w:t>
            </w:r>
          </w:p>
        </w:tc>
        <w:tc>
          <w:tcPr>
            <w:tcW w:type="dxa" w:w="2160"/>
          </w:tcPr>
          <w:p>
            <w:r>
              <w:rPr>
                <w:rFonts w:ascii="Times New Roman" w:hAnsi="Times New Roman"/>
                <w:sz w:val="20"/>
              </w:rPr>
              <w:t>8 Jul</w:t>
            </w:r>
          </w:p>
        </w:tc>
        <w:tc>
          <w:tcPr>
            <w:tcW w:type="dxa" w:w="2160"/>
          </w:tcPr>
          <w:p>
            <w:r>
              <w:rPr>
                <w:rFonts w:ascii="Times New Roman" w:hAnsi="Times New Roman"/>
                <w:sz w:val="20"/>
              </w:rPr>
              <w:t>—*</w:t>
            </w:r>
          </w:p>
        </w:tc>
        <w:tc>
          <w:tcPr>
            <w:tcW w:type="dxa" w:w="2160"/>
          </w:tcPr>
          <w:p>
            <w:r>
              <w:rPr>
                <w:rFonts w:ascii="Times New Roman" w:hAnsi="Times New Roman"/>
                <w:sz w:val="20"/>
              </w:rPr>
              <w:t>1 → 2 → 3</w:t>
            </w:r>
          </w:p>
        </w:tc>
      </w:tr>
      <w:tr>
        <w:tc>
          <w:tcPr>
            <w:tcW w:type="dxa" w:w="2160"/>
          </w:tcPr>
          <w:p>
            <w:r>
              <w:rPr>
                <w:rFonts w:ascii="Times New Roman" w:hAnsi="Times New Roman"/>
                <w:sz w:val="20"/>
              </w:rPr>
              <w:t>Chloe</w:t>
            </w:r>
          </w:p>
        </w:tc>
        <w:tc>
          <w:tcPr>
            <w:tcW w:type="dxa" w:w="2160"/>
          </w:tcPr>
          <w:p>
            <w:r>
              <w:rPr>
                <w:rFonts w:ascii="Times New Roman" w:hAnsi="Times New Roman"/>
                <w:sz w:val="20"/>
              </w:rPr>
              <w:t>8 Jul</w:t>
            </w:r>
          </w:p>
        </w:tc>
        <w:tc>
          <w:tcPr>
            <w:tcW w:type="dxa" w:w="2160"/>
          </w:tcPr>
          <w:p>
            <w:r>
              <w:rPr>
                <w:rFonts w:ascii="Times New Roman" w:hAnsi="Times New Roman"/>
                <w:sz w:val="20"/>
              </w:rPr>
              <w:t>B</w:t>
            </w:r>
          </w:p>
        </w:tc>
        <w:tc>
          <w:tcPr>
            <w:tcW w:type="dxa" w:w="2160"/>
          </w:tcPr>
          <w:p>
            <w:r>
              <w:rPr>
                <w:rFonts w:ascii="Times New Roman" w:hAnsi="Times New Roman"/>
                <w:sz w:val="20"/>
              </w:rPr>
              <w:t>2 → 3 → 1</w:t>
            </w:r>
          </w:p>
        </w:tc>
      </w:tr>
      <w:tr>
        <w:tc>
          <w:tcPr>
            <w:tcW w:type="dxa" w:w="2160"/>
          </w:tcPr>
          <w:p>
            <w:r>
              <w:rPr>
                <w:rFonts w:ascii="Times New Roman" w:hAnsi="Times New Roman"/>
                <w:sz w:val="20"/>
              </w:rPr>
              <w:t>Ming Zhan</w:t>
            </w:r>
          </w:p>
        </w:tc>
        <w:tc>
          <w:tcPr>
            <w:tcW w:type="dxa" w:w="2160"/>
          </w:tcPr>
          <w:p>
            <w:r>
              <w:rPr>
                <w:rFonts w:ascii="Times New Roman" w:hAnsi="Times New Roman"/>
                <w:sz w:val="20"/>
              </w:rPr>
              <w:t>8 Jul</w:t>
            </w:r>
          </w:p>
        </w:tc>
        <w:tc>
          <w:tcPr>
            <w:tcW w:type="dxa" w:w="2160"/>
          </w:tcPr>
          <w:p>
            <w:r>
              <w:rPr>
                <w:rFonts w:ascii="Times New Roman" w:hAnsi="Times New Roman"/>
                <w:sz w:val="20"/>
              </w:rPr>
              <w:t>B</w:t>
            </w:r>
          </w:p>
        </w:tc>
        <w:tc>
          <w:tcPr>
            <w:tcW w:type="dxa" w:w="2160"/>
          </w:tcPr>
          <w:p>
            <w:r>
              <w:rPr>
                <w:rFonts w:ascii="Times New Roman" w:hAnsi="Times New Roman"/>
                <w:sz w:val="20"/>
              </w:rPr>
              <w:t>2 → 1 → 3</w:t>
            </w:r>
          </w:p>
        </w:tc>
      </w:tr>
      <w:tr>
        <w:tc>
          <w:tcPr>
            <w:tcW w:type="dxa" w:w="2160"/>
          </w:tcPr>
          <w:p>
            <w:r>
              <w:rPr>
                <w:rFonts w:ascii="Times New Roman" w:hAnsi="Times New Roman"/>
                <w:sz w:val="20"/>
              </w:rPr>
              <w:t>Song Yi</w:t>
            </w:r>
          </w:p>
        </w:tc>
        <w:tc>
          <w:tcPr>
            <w:tcW w:type="dxa" w:w="2160"/>
          </w:tcPr>
          <w:p>
            <w:r>
              <w:rPr>
                <w:rFonts w:ascii="Times New Roman" w:hAnsi="Times New Roman"/>
                <w:sz w:val="20"/>
              </w:rPr>
              <w:t>9 Jul</w:t>
            </w:r>
          </w:p>
        </w:tc>
        <w:tc>
          <w:tcPr>
            <w:tcW w:type="dxa" w:w="2160"/>
          </w:tcPr>
          <w:p>
            <w:r>
              <w:rPr>
                <w:rFonts w:ascii="Times New Roman" w:hAnsi="Times New Roman"/>
                <w:sz w:val="20"/>
              </w:rPr>
              <w:t>A</w:t>
            </w:r>
          </w:p>
        </w:tc>
        <w:tc>
          <w:tcPr>
            <w:tcW w:type="dxa" w:w="2160"/>
          </w:tcPr>
          <w:p>
            <w:r>
              <w:rPr>
                <w:rFonts w:ascii="Times New Roman" w:hAnsi="Times New Roman"/>
                <w:sz w:val="20"/>
              </w:rPr>
              <w:t>2 → 1 → 3</w:t>
            </w:r>
          </w:p>
        </w:tc>
      </w:tr>
      <w:tr>
        <w:tc>
          <w:tcPr>
            <w:tcW w:type="dxa" w:w="2160"/>
          </w:tcPr>
          <w:p>
            <w:r>
              <w:rPr>
                <w:rFonts w:ascii="Times New Roman" w:hAnsi="Times New Roman"/>
                <w:sz w:val="20"/>
              </w:rPr>
              <w:t>Royce</w:t>
            </w:r>
          </w:p>
        </w:tc>
        <w:tc>
          <w:tcPr>
            <w:tcW w:type="dxa" w:w="2160"/>
          </w:tcPr>
          <w:p>
            <w:r>
              <w:rPr>
                <w:rFonts w:ascii="Times New Roman" w:hAnsi="Times New Roman"/>
                <w:sz w:val="20"/>
              </w:rPr>
              <w:t>10 Jul</w:t>
            </w:r>
          </w:p>
        </w:tc>
        <w:tc>
          <w:tcPr>
            <w:tcW w:type="dxa" w:w="2160"/>
          </w:tcPr>
          <w:p>
            <w:r>
              <w:rPr>
                <w:rFonts w:ascii="Times New Roman" w:hAnsi="Times New Roman"/>
                <w:sz w:val="20"/>
              </w:rPr>
              <w:t>A</w:t>
            </w:r>
          </w:p>
        </w:tc>
        <w:tc>
          <w:tcPr>
            <w:tcW w:type="dxa" w:w="2160"/>
          </w:tcPr>
          <w:p>
            <w:r>
              <w:rPr>
                <w:rFonts w:ascii="Times New Roman" w:hAnsi="Times New Roman"/>
                <w:sz w:val="20"/>
              </w:rPr>
              <w:t>3 → 2 → 1</w:t>
            </w:r>
          </w:p>
        </w:tc>
      </w:tr>
      <w:tr>
        <w:tc>
          <w:tcPr>
            <w:tcW w:type="dxa" w:w="2160"/>
          </w:tcPr>
          <w:p>
            <w:r>
              <w:rPr>
                <w:rFonts w:ascii="Times New Roman" w:hAnsi="Times New Roman"/>
                <w:sz w:val="20"/>
              </w:rPr>
              <w:t>Jack</w:t>
            </w:r>
          </w:p>
        </w:tc>
        <w:tc>
          <w:tcPr>
            <w:tcW w:type="dxa" w:w="2160"/>
          </w:tcPr>
          <w:p>
            <w:r>
              <w:rPr>
                <w:rFonts w:ascii="Times New Roman" w:hAnsi="Times New Roman"/>
                <w:sz w:val="20"/>
              </w:rPr>
              <w:t>13 Jul</w:t>
            </w:r>
          </w:p>
        </w:tc>
        <w:tc>
          <w:tcPr>
            <w:tcW w:type="dxa" w:w="2160"/>
          </w:tcPr>
          <w:p>
            <w:r>
              <w:rPr>
                <w:rFonts w:ascii="Times New Roman" w:hAnsi="Times New Roman"/>
                <w:sz w:val="20"/>
              </w:rPr>
              <w:t>B</w:t>
            </w:r>
          </w:p>
        </w:tc>
        <w:tc>
          <w:tcPr>
            <w:tcW w:type="dxa" w:w="2160"/>
          </w:tcPr>
          <w:p>
            <w:r>
              <w:rPr>
                <w:rFonts w:ascii="Times New Roman" w:hAnsi="Times New Roman"/>
                <w:sz w:val="20"/>
              </w:rPr>
              <w:t>1 → 3 → 2</w:t>
            </w:r>
          </w:p>
        </w:tc>
      </w:tr>
    </w:tbl>
    <w:p/>
    <w:p>
      <w:r>
        <w:rPr>
          <w:rFonts w:ascii="Times New Roman" w:hAnsi="Times New Roman"/>
          <w:b w:val="0"/>
          <w:i/>
          <w:sz w:val="20"/>
        </w:rPr>
        <w:t>Table 5.1: Usability study participant schedule and counterbalancing. *Benny's session used an earlier protocol template and served as a pilot.</w:t>
      </w:r>
    </w:p>
    <w:p>
      <w:pPr>
        <w:jc w:val="center"/>
      </w:pPr>
      <w:r>
        <w:rPr>
          <w:i/>
          <w:color w:val="969696"/>
          <w:sz w:val="22"/>
        </w:rPr>
        <w:t>[INSERT FIGURE HERE]</w:t>
      </w:r>
    </w:p>
    <w:p>
      <w:pPr>
        <w:spacing w:after="240"/>
        <w:jc w:val="center"/>
      </w:pPr>
      <w:r>
        <w:rPr>
          <w:rFonts w:ascii="Times New Roman" w:hAnsi="Times New Roman"/>
          <w:i/>
          <w:sz w:val="20"/>
        </w:rPr>
        <w:t>Figure 5.1: Usability study setup. (a) Operator interacting with the AEGIS system during a kitting task. (b) Paper-based control condition with printed BOM sheet. (c) Interview recording setup.</w:t>
      </w:r>
    </w:p>
    <w:p>
      <w:pPr>
        <w:pStyle w:val="Heading3"/>
      </w:pPr>
      <w:r>
        <w:t>5.1.2 Evaluation Results</w:t>
      </w:r>
    </w:p>
    <w:p>
      <w:r>
        <w:rPr>
          <w:rFonts w:ascii="Times New Roman" w:hAnsi="Times New Roman"/>
          <w:b w:val="0"/>
          <w:i w:val="0"/>
          <w:sz w:val="24"/>
        </w:rPr>
        <w:t>The averaged operator ratings across the nine usability dimensions are presented in Table 5.2.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20"/>
              </w:rPr>
              <w:t>ID</w:t>
            </w:r>
          </w:p>
        </w:tc>
        <w:tc>
          <w:tcPr>
            <w:tcW w:type="dxa" w:w="1728"/>
          </w:tcPr>
          <w:p>
            <w:pPr>
              <w:jc w:val="center"/>
            </w:pPr>
            <w:r>
              <w:rPr>
                <w:rFonts w:ascii="Times New Roman" w:hAnsi="Times New Roman"/>
                <w:b/>
                <w:sz w:val="20"/>
              </w:rPr>
              <w:t>Dimension</w:t>
            </w:r>
          </w:p>
        </w:tc>
        <w:tc>
          <w:tcPr>
            <w:tcW w:type="dxa" w:w="1728"/>
          </w:tcPr>
          <w:p>
            <w:pPr>
              <w:jc w:val="center"/>
            </w:pPr>
            <w:r>
              <w:rPr>
                <w:rFonts w:ascii="Times New Roman" w:hAnsi="Times New Roman"/>
                <w:b/>
                <w:sz w:val="20"/>
              </w:rPr>
              <w:t>Mean</w:t>
            </w:r>
          </w:p>
        </w:tc>
        <w:tc>
          <w:tcPr>
            <w:tcW w:type="dxa" w:w="1728"/>
          </w:tcPr>
          <w:p>
            <w:pPr>
              <w:jc w:val="center"/>
            </w:pPr>
            <w:r>
              <w:rPr>
                <w:rFonts w:ascii="Times New Roman" w:hAnsi="Times New Roman"/>
                <w:b/>
                <w:sz w:val="20"/>
              </w:rPr>
              <w:t>Range</w:t>
            </w:r>
          </w:p>
        </w:tc>
        <w:tc>
          <w:tcPr>
            <w:tcW w:type="dxa" w:w="1728"/>
          </w:tcPr>
          <w:p>
            <w:pPr>
              <w:jc w:val="center"/>
            </w:pPr>
            <w:r>
              <w:rPr>
                <w:rFonts w:ascii="Times New Roman" w:hAnsi="Times New Roman"/>
                <w:b/>
                <w:sz w:val="20"/>
              </w:rPr>
              <w:t>n</w:t>
            </w:r>
          </w:p>
        </w:tc>
      </w:tr>
      <w:tr>
        <w:tc>
          <w:tcPr>
            <w:tcW w:type="dxa" w:w="1728"/>
          </w:tcPr>
          <w:p>
            <w:r>
              <w:rPr>
                <w:rFonts w:ascii="Times New Roman" w:hAnsi="Times New Roman"/>
                <w:sz w:val="20"/>
              </w:rPr>
              <w:t>R1</w:t>
            </w:r>
          </w:p>
        </w:tc>
        <w:tc>
          <w:tcPr>
            <w:tcW w:type="dxa" w:w="1728"/>
          </w:tcPr>
          <w:p>
            <w:r>
              <w:rPr>
                <w:rFonts w:ascii="Times New Roman" w:hAnsi="Times New Roman"/>
                <w:sz w:val="20"/>
              </w:rPr>
              <w:t>Screen wording was clear and easy to understand</w:t>
            </w:r>
          </w:p>
        </w:tc>
        <w:tc>
          <w:tcPr>
            <w:tcW w:type="dxa" w:w="1728"/>
          </w:tcPr>
          <w:p>
            <w:r>
              <w:rPr>
                <w:rFonts w:ascii="Times New Roman" w:hAnsi="Times New Roman"/>
                <w:sz w:val="20"/>
              </w:rPr>
              <w:t>3.3</w:t>
            </w:r>
          </w:p>
        </w:tc>
        <w:tc>
          <w:tcPr>
            <w:tcW w:type="dxa" w:w="1728"/>
          </w:tcPr>
          <w:p>
            <w:r>
              <w:rPr>
                <w:rFonts w:ascii="Times New Roman" w:hAnsi="Times New Roman"/>
                <w:sz w:val="20"/>
              </w:rPr>
              <w:t>2–5</w:t>
            </w:r>
          </w:p>
        </w:tc>
        <w:tc>
          <w:tcPr>
            <w:tcW w:type="dxa" w:w="1728"/>
          </w:tcPr>
          <w:p>
            <w:r>
              <w:rPr>
                <w:rFonts w:ascii="Times New Roman" w:hAnsi="Times New Roman"/>
                <w:sz w:val="20"/>
              </w:rPr>
              <w:t>6</w:t>
            </w:r>
          </w:p>
        </w:tc>
      </w:tr>
      <w:tr>
        <w:tc>
          <w:tcPr>
            <w:tcW w:type="dxa" w:w="1728"/>
          </w:tcPr>
          <w:p>
            <w:r>
              <w:rPr>
                <w:rFonts w:ascii="Times New Roman" w:hAnsi="Times New Roman"/>
                <w:sz w:val="20"/>
              </w:rPr>
              <w:t>R2</w:t>
            </w:r>
          </w:p>
        </w:tc>
        <w:tc>
          <w:tcPr>
            <w:tcW w:type="dxa" w:w="1728"/>
          </w:tcPr>
          <w:p>
            <w:r>
              <w:rPr>
                <w:rFonts w:ascii="Times New Roman" w:hAnsi="Times New Roman"/>
                <w:sz w:val="20"/>
              </w:rPr>
              <w:t>Placement / layout of on-screen information was easy to follow</w:t>
            </w:r>
          </w:p>
        </w:tc>
        <w:tc>
          <w:tcPr>
            <w:tcW w:type="dxa" w:w="1728"/>
          </w:tcPr>
          <w:p>
            <w:r>
              <w:rPr>
                <w:rFonts w:ascii="Times New Roman" w:hAnsi="Times New Roman"/>
                <w:sz w:val="20"/>
              </w:rPr>
              <w:t>4.2</w:t>
            </w:r>
          </w:p>
        </w:tc>
        <w:tc>
          <w:tcPr>
            <w:tcW w:type="dxa" w:w="1728"/>
          </w:tcPr>
          <w:p>
            <w:r>
              <w:rPr>
                <w:rFonts w:ascii="Times New Roman" w:hAnsi="Times New Roman"/>
                <w:sz w:val="20"/>
              </w:rPr>
              <w:t>3–5</w:t>
            </w:r>
          </w:p>
        </w:tc>
        <w:tc>
          <w:tcPr>
            <w:tcW w:type="dxa" w:w="1728"/>
          </w:tcPr>
          <w:p>
            <w:r>
              <w:rPr>
                <w:rFonts w:ascii="Times New Roman" w:hAnsi="Times New Roman"/>
                <w:sz w:val="20"/>
              </w:rPr>
              <w:t>6</w:t>
            </w:r>
          </w:p>
        </w:tc>
      </w:tr>
      <w:tr>
        <w:tc>
          <w:tcPr>
            <w:tcW w:type="dxa" w:w="1728"/>
          </w:tcPr>
          <w:p>
            <w:r>
              <w:rPr>
                <w:rFonts w:ascii="Times New Roman" w:hAnsi="Times New Roman"/>
                <w:sz w:val="20"/>
              </w:rPr>
              <w:t>R3</w:t>
            </w:r>
          </w:p>
        </w:tc>
        <w:tc>
          <w:tcPr>
            <w:tcW w:type="dxa" w:w="1728"/>
          </w:tcPr>
          <w:p>
            <w:r>
              <w:rPr>
                <w:rFonts w:ascii="Times New Roman" w:hAnsi="Times New Roman"/>
                <w:sz w:val="20"/>
              </w:rPr>
              <w:t>Easy to understand what to pack</w:t>
            </w:r>
          </w:p>
        </w:tc>
        <w:tc>
          <w:tcPr>
            <w:tcW w:type="dxa" w:w="1728"/>
          </w:tcPr>
          <w:p>
            <w:r>
              <w:rPr>
                <w:rFonts w:ascii="Times New Roman" w:hAnsi="Times New Roman"/>
                <w:sz w:val="20"/>
              </w:rPr>
              <w:t>4.9</w:t>
            </w:r>
          </w:p>
        </w:tc>
        <w:tc>
          <w:tcPr>
            <w:tcW w:type="dxa" w:w="1728"/>
          </w:tcPr>
          <w:p>
            <w:r>
              <w:rPr>
                <w:rFonts w:ascii="Times New Roman" w:hAnsi="Times New Roman"/>
                <w:sz w:val="20"/>
              </w:rPr>
              <w:t>4.5–5</w:t>
            </w:r>
          </w:p>
        </w:tc>
        <w:tc>
          <w:tcPr>
            <w:tcW w:type="dxa" w:w="1728"/>
          </w:tcPr>
          <w:p>
            <w:r>
              <w:rPr>
                <w:rFonts w:ascii="Times New Roman" w:hAnsi="Times New Roman"/>
                <w:sz w:val="20"/>
              </w:rPr>
              <w:t>6</w:t>
            </w:r>
          </w:p>
        </w:tc>
      </w:tr>
      <w:tr>
        <w:tc>
          <w:tcPr>
            <w:tcW w:type="dxa" w:w="1728"/>
          </w:tcPr>
          <w:p>
            <w:r>
              <w:rPr>
                <w:rFonts w:ascii="Times New Roman" w:hAnsi="Times New Roman"/>
                <w:sz w:val="20"/>
              </w:rPr>
              <w:t>R4</w:t>
            </w:r>
          </w:p>
        </w:tc>
        <w:tc>
          <w:tcPr>
            <w:tcW w:type="dxa" w:w="1728"/>
          </w:tcPr>
          <w:p>
            <w:r>
              <w:rPr>
                <w:rFonts w:ascii="Times New Roman" w:hAnsi="Times New Roman"/>
                <w:sz w:val="20"/>
              </w:rPr>
              <w:t>Easy to understand how many to pack</w:t>
            </w:r>
          </w:p>
        </w:tc>
        <w:tc>
          <w:tcPr>
            <w:tcW w:type="dxa" w:w="1728"/>
          </w:tcPr>
          <w:p>
            <w:r>
              <w:rPr>
                <w:rFonts w:ascii="Times New Roman" w:hAnsi="Times New Roman"/>
                <w:sz w:val="20"/>
              </w:rPr>
              <w:t>5.0</w:t>
            </w:r>
          </w:p>
        </w:tc>
        <w:tc>
          <w:tcPr>
            <w:tcW w:type="dxa" w:w="1728"/>
          </w:tcPr>
          <w:p>
            <w:r>
              <w:rPr>
                <w:rFonts w:ascii="Times New Roman" w:hAnsi="Times New Roman"/>
                <w:sz w:val="20"/>
              </w:rPr>
              <w:t>5–5</w:t>
            </w:r>
          </w:p>
        </w:tc>
        <w:tc>
          <w:tcPr>
            <w:tcW w:type="dxa" w:w="1728"/>
          </w:tcPr>
          <w:p>
            <w:r>
              <w:rPr>
                <w:rFonts w:ascii="Times New Roman" w:hAnsi="Times New Roman"/>
                <w:sz w:val="20"/>
              </w:rPr>
              <w:t>6</w:t>
            </w:r>
          </w:p>
        </w:tc>
      </w:tr>
      <w:tr>
        <w:tc>
          <w:tcPr>
            <w:tcW w:type="dxa" w:w="1728"/>
          </w:tcPr>
          <w:p>
            <w:r>
              <w:rPr>
                <w:rFonts w:ascii="Times New Roman" w:hAnsi="Times New Roman"/>
                <w:sz w:val="20"/>
              </w:rPr>
              <w:t>R5</w:t>
            </w:r>
          </w:p>
        </w:tc>
        <w:tc>
          <w:tcPr>
            <w:tcW w:type="dxa" w:w="1728"/>
          </w:tcPr>
          <w:p>
            <w:r>
              <w:rPr>
                <w:rFonts w:ascii="Times New Roman" w:hAnsi="Times New Roman"/>
                <w:sz w:val="20"/>
              </w:rPr>
              <w:t>Running count per bin helped keep track</w:t>
            </w:r>
          </w:p>
        </w:tc>
        <w:tc>
          <w:tcPr>
            <w:tcW w:type="dxa" w:w="1728"/>
          </w:tcPr>
          <w:p>
            <w:r>
              <w:rPr>
                <w:rFonts w:ascii="Times New Roman" w:hAnsi="Times New Roman"/>
                <w:sz w:val="20"/>
              </w:rPr>
              <w:t>3.8</w:t>
            </w:r>
          </w:p>
        </w:tc>
        <w:tc>
          <w:tcPr>
            <w:tcW w:type="dxa" w:w="1728"/>
          </w:tcPr>
          <w:p>
            <w:r>
              <w:rPr>
                <w:rFonts w:ascii="Times New Roman" w:hAnsi="Times New Roman"/>
                <w:sz w:val="20"/>
              </w:rPr>
              <w:t>1–5</w:t>
            </w:r>
          </w:p>
        </w:tc>
        <w:tc>
          <w:tcPr>
            <w:tcW w:type="dxa" w:w="1728"/>
          </w:tcPr>
          <w:p>
            <w:r>
              <w:rPr>
                <w:rFonts w:ascii="Times New Roman" w:hAnsi="Times New Roman"/>
                <w:sz w:val="20"/>
              </w:rPr>
              <w:t>6</w:t>
            </w:r>
          </w:p>
        </w:tc>
      </w:tr>
      <w:tr>
        <w:tc>
          <w:tcPr>
            <w:tcW w:type="dxa" w:w="1728"/>
          </w:tcPr>
          <w:p>
            <w:r>
              <w:rPr>
                <w:rFonts w:ascii="Times New Roman" w:hAnsi="Times New Roman"/>
                <w:sz w:val="20"/>
              </w:rPr>
              <w:t>R6</w:t>
            </w:r>
          </w:p>
        </w:tc>
        <w:tc>
          <w:tcPr>
            <w:tcW w:type="dxa" w:w="1728"/>
          </w:tcPr>
          <w:p>
            <w:r>
              <w:rPr>
                <w:rFonts w:ascii="Times New Roman" w:hAnsi="Times New Roman"/>
                <w:sz w:val="20"/>
              </w:rPr>
              <w:t>Warnings / error alerts were easy to understand</w:t>
            </w:r>
          </w:p>
        </w:tc>
        <w:tc>
          <w:tcPr>
            <w:tcW w:type="dxa" w:w="1728"/>
          </w:tcPr>
          <w:p>
            <w:r>
              <w:rPr>
                <w:rFonts w:ascii="Times New Roman" w:hAnsi="Times New Roman"/>
                <w:sz w:val="20"/>
              </w:rPr>
              <w:t>3.3</w:t>
            </w:r>
          </w:p>
        </w:tc>
        <w:tc>
          <w:tcPr>
            <w:tcW w:type="dxa" w:w="1728"/>
          </w:tcPr>
          <w:p>
            <w:r>
              <w:rPr>
                <w:rFonts w:ascii="Times New Roman" w:hAnsi="Times New Roman"/>
                <w:sz w:val="20"/>
              </w:rPr>
              <w:t>2–5</w:t>
            </w:r>
          </w:p>
        </w:tc>
        <w:tc>
          <w:tcPr>
            <w:tcW w:type="dxa" w:w="1728"/>
          </w:tcPr>
          <w:p>
            <w:r>
              <w:rPr>
                <w:rFonts w:ascii="Times New Roman" w:hAnsi="Times New Roman"/>
                <w:sz w:val="20"/>
              </w:rPr>
              <w:t>6</w:t>
            </w:r>
          </w:p>
        </w:tc>
      </w:tr>
      <w:tr>
        <w:tc>
          <w:tcPr>
            <w:tcW w:type="dxa" w:w="1728"/>
          </w:tcPr>
          <w:p>
            <w:r>
              <w:rPr>
                <w:rFonts w:ascii="Times New Roman" w:hAnsi="Times New Roman"/>
                <w:sz w:val="20"/>
              </w:rPr>
              <w:t>R7</w:t>
            </w:r>
          </w:p>
        </w:tc>
        <w:tc>
          <w:tcPr>
            <w:tcW w:type="dxa" w:w="1728"/>
          </w:tcPr>
          <w:p>
            <w:r>
              <w:rPr>
                <w:rFonts w:ascii="Times New Roman" w:hAnsi="Times New Roman"/>
                <w:sz w:val="20"/>
              </w:rPr>
              <w:t>Corrective instructions clearly explained the fix</w:t>
            </w:r>
          </w:p>
        </w:tc>
        <w:tc>
          <w:tcPr>
            <w:tcW w:type="dxa" w:w="1728"/>
          </w:tcPr>
          <w:p>
            <w:r>
              <w:rPr>
                <w:rFonts w:ascii="Times New Roman" w:hAnsi="Times New Roman"/>
                <w:sz w:val="20"/>
              </w:rPr>
              <w:t>3.0</w:t>
            </w:r>
          </w:p>
        </w:tc>
        <w:tc>
          <w:tcPr>
            <w:tcW w:type="dxa" w:w="1728"/>
          </w:tcPr>
          <w:p>
            <w:r>
              <w:rPr>
                <w:rFonts w:ascii="Times New Roman" w:hAnsi="Times New Roman"/>
                <w:sz w:val="20"/>
              </w:rPr>
              <w:t>1–4</w:t>
            </w:r>
          </w:p>
        </w:tc>
        <w:tc>
          <w:tcPr>
            <w:tcW w:type="dxa" w:w="1728"/>
          </w:tcPr>
          <w:p>
            <w:r>
              <w:rPr>
                <w:rFonts w:ascii="Times New Roman" w:hAnsi="Times New Roman"/>
                <w:sz w:val="20"/>
              </w:rPr>
              <w:t>5*</w:t>
            </w:r>
          </w:p>
        </w:tc>
      </w:tr>
      <w:tr>
        <w:tc>
          <w:tcPr>
            <w:tcW w:type="dxa" w:w="1728"/>
          </w:tcPr>
          <w:p>
            <w:r>
              <w:rPr>
                <w:rFonts w:ascii="Times New Roman" w:hAnsi="Times New Roman"/>
                <w:sz w:val="20"/>
              </w:rPr>
              <w:t>R8</w:t>
            </w:r>
          </w:p>
        </w:tc>
        <w:tc>
          <w:tcPr>
            <w:tcW w:type="dxa" w:w="1728"/>
          </w:tcPr>
          <w:p>
            <w:r>
              <w:rPr>
                <w:rFonts w:ascii="Times New Roman" w:hAnsi="Times New Roman"/>
                <w:sz w:val="20"/>
              </w:rPr>
              <w:t>Overall trust that the system would catch mistakes</w:t>
            </w:r>
          </w:p>
        </w:tc>
        <w:tc>
          <w:tcPr>
            <w:tcW w:type="dxa" w:w="1728"/>
          </w:tcPr>
          <w:p>
            <w:r>
              <w:rPr>
                <w:rFonts w:ascii="Times New Roman" w:hAnsi="Times New Roman"/>
                <w:sz w:val="20"/>
              </w:rPr>
              <w:t>4.0</w:t>
            </w:r>
          </w:p>
        </w:tc>
        <w:tc>
          <w:tcPr>
            <w:tcW w:type="dxa" w:w="1728"/>
          </w:tcPr>
          <w:p>
            <w:r>
              <w:rPr>
                <w:rFonts w:ascii="Times New Roman" w:hAnsi="Times New Roman"/>
                <w:sz w:val="20"/>
              </w:rPr>
              <w:t>3–5</w:t>
            </w:r>
          </w:p>
        </w:tc>
        <w:tc>
          <w:tcPr>
            <w:tcW w:type="dxa" w:w="1728"/>
          </w:tcPr>
          <w:p>
            <w:r>
              <w:rPr>
                <w:rFonts w:ascii="Times New Roman" w:hAnsi="Times New Roman"/>
                <w:sz w:val="20"/>
              </w:rPr>
              <w:t>6</w:t>
            </w:r>
          </w:p>
        </w:tc>
      </w:tr>
      <w:tr>
        <w:tc>
          <w:tcPr>
            <w:tcW w:type="dxa" w:w="1728"/>
          </w:tcPr>
          <w:p>
            <w:r>
              <w:rPr>
                <w:rFonts w:ascii="Times New Roman" w:hAnsi="Times New Roman"/>
                <w:sz w:val="20"/>
              </w:rPr>
              <w:t>R9</w:t>
            </w:r>
          </w:p>
        </w:tc>
        <w:tc>
          <w:tcPr>
            <w:tcW w:type="dxa" w:w="1728"/>
          </w:tcPr>
          <w:p>
            <w:r>
              <w:rPr>
                <w:rFonts w:ascii="Times New Roman" w:hAnsi="Times New Roman"/>
                <w:sz w:val="20"/>
              </w:rPr>
              <w:t>Overall, the system made kitting easier than without it</w:t>
            </w:r>
          </w:p>
        </w:tc>
        <w:tc>
          <w:tcPr>
            <w:tcW w:type="dxa" w:w="1728"/>
          </w:tcPr>
          <w:p>
            <w:r>
              <w:rPr>
                <w:rFonts w:ascii="Times New Roman" w:hAnsi="Times New Roman"/>
                <w:sz w:val="20"/>
              </w:rPr>
              <w:t>4.3</w:t>
            </w:r>
          </w:p>
        </w:tc>
        <w:tc>
          <w:tcPr>
            <w:tcW w:type="dxa" w:w="1728"/>
          </w:tcPr>
          <w:p>
            <w:r>
              <w:rPr>
                <w:rFonts w:ascii="Times New Roman" w:hAnsi="Times New Roman"/>
                <w:sz w:val="20"/>
              </w:rPr>
              <w:t>2–5</w:t>
            </w:r>
          </w:p>
        </w:tc>
        <w:tc>
          <w:tcPr>
            <w:tcW w:type="dxa" w:w="1728"/>
          </w:tcPr>
          <w:p>
            <w:r>
              <w:rPr>
                <w:rFonts w:ascii="Times New Roman" w:hAnsi="Times New Roman"/>
                <w:sz w:val="20"/>
              </w:rPr>
              <w:t>6</w:t>
            </w:r>
          </w:p>
        </w:tc>
      </w:tr>
    </w:tbl>
    <w:p/>
    <w:p>
      <w:r>
        <w:rPr>
          <w:rFonts w:ascii="Times New Roman" w:hAnsi="Times New Roman"/>
          <w:b w:val="0"/>
          <w:i/>
          <w:sz w:val="20"/>
        </w:rPr>
        <w:t>Table 5.2: Operator usability ratings (1 = poor/strongly disagree, 5 = excellent/strongly agree). *One operator did not trigger any errors during live runs; R7 was not scored for that participant (n = 5).</w:t>
      </w:r>
    </w:p>
    <w:p>
      <w:r>
        <w:rPr>
          <w:rFonts w:ascii="Times New Roman" w:hAnsi="Times New Roman"/>
          <w:b w:val="0"/>
          <w:i w:val="0"/>
          <w:sz w:val="24"/>
        </w:rPr>
        <w:t>The results reveal a clear and instructive pattern. Operators rated the system's core guidance — understanding what to pack (R3: 4.9) and how many to pack (R4: 5.0) — at or near ceiling, and the visual, position-based bin layout was repeatedly cited in the open-ended feedback as the reason; the build list was the interface's unambiguous strength. The system was also rated as making kitting easier than the paper baseline (R9: 4.3), and operators expressed moderate trust in the system's ability to catch mistakes (R8: 4.0).</w:t>
      </w:r>
    </w:p>
    <w:p>
      <w:r>
        <w:rPr>
          <w:rFonts w:ascii="Times New Roman" w:hAnsi="Times New Roman"/>
          <w:b w:val="0"/>
          <w:i w:val="0"/>
          <w:sz w:val="24"/>
        </w:rPr>
        <w:t>The weakest dimensions concerned the communication of exceptions rather than the task itself. On-screen wording clarity (R1: 3.3), alert legibility (R6: 3.3), and — the lowest-rated dimension — the completeness of corrective instructions (R7: 3.0) all scored below the midpoint for several operators. The open-ended feedback localised these scores to the following specific issues:</w:t>
      </w:r>
    </w:p>
    <w:p>
      <w:pPr>
        <w:pStyle w:val="ListBullet"/>
      </w:pPr>
      <w:r>
        <w:rPr>
          <w:rFonts w:ascii="Times New Roman" w:hAnsi="Times New Roman"/>
          <w:sz w:val="22"/>
        </w:rPr>
        <w:t>Small font size on alerts: This was the single most frequently raised complaint, reported independently by four of six operators. Representative quotes: "fonts small" (Royce); "wording small" (Ming Zhan); "cannot see the error text clearly from arm's length" (Song Yi).</w:t>
      </w:r>
    </w:p>
    <w:p>
      <w:pPr>
        <w:pStyle w:val="ListBullet"/>
      </w:pPr>
      <w:r>
        <w:rPr>
          <w:rFonts w:ascii="Times New Roman" w:hAnsi="Times New Roman"/>
          <w:sz w:val="22"/>
        </w:rPr>
        <w:t>Warning-versus-error differentiation: Operators could discern that an alert had been triggered but frequently could not distinguish severity or type at a glance, compounded by inconsistent alert colours (white-on-red combined with red-on-black in different banner positions on screen).</w:t>
      </w:r>
    </w:p>
    <w:p>
      <w:pPr>
        <w:pStyle w:val="ListBullet"/>
      </w:pPr>
      <w:r>
        <w:rPr>
          <w:rFonts w:ascii="Times New Roman" w:hAnsi="Times New Roman"/>
          <w:sz w:val="22"/>
        </w:rPr>
        <w:t>Incomplete corrective instructions: The wrong-bin-return correction message did not specify how many units to return or which bin was involved. This was the lowest-rated dimension overall (R7: 3.0) and represents the most actionable improvement opportunity.</w:t>
      </w:r>
    </w:p>
    <w:p>
      <w:pPr>
        <w:pStyle w:val="ListBullet"/>
      </w:pPr>
      <w:r>
        <w:rPr>
          <w:rFonts w:ascii="Times New Roman" w:hAnsi="Times New Roman"/>
          <w:sz w:val="22"/>
        </w:rPr>
        <w:t>Load-cell responsiveness on light components: Multiple operators independently reported perceived lag or missed reads on the smallest, lightest bins. Representative quote: "sensor doesn't detect piece sometimes, requiring extra action" (Benny). This observation is consistent with the metrology limits characterised in Section 4.2.2.</w:t>
      </w:r>
    </w:p>
    <w:p>
      <w:pPr>
        <w:pStyle w:val="ListBullet"/>
      </w:pPr>
      <w:r>
        <w:rPr>
          <w:rFonts w:ascii="Times New Roman" w:hAnsi="Times New Roman"/>
          <w:sz w:val="22"/>
        </w:rPr>
        <w:t>Consolidation friction: Emptying completed bins into the kit container was a recurring fatigue point, especially for larger bins. The on-screen "Complete Set" / "Bin Emptied" touch confirmation did not always register on the first tap, requiring repeated interaction.</w:t>
      </w:r>
    </w:p>
    <w:p>
      <w:pPr>
        <w:pStyle w:val="ListBullet"/>
      </w:pPr>
      <w:r>
        <w:rPr>
          <w:rFonts w:ascii="Times New Roman" w:hAnsi="Times New Roman"/>
          <w:sz w:val="22"/>
        </w:rPr>
        <w:t>Absence of progress indicator: Two operators independently requested a remaining-sets indicator to provide awareness of how much of the order had been completed and how much remained.</w:t>
      </w:r>
    </w:p>
    <w:p>
      <w:pPr>
        <w:jc w:val="center"/>
      </w:pPr>
      <w:r>
        <w:rPr>
          <w:i/>
          <w:color w:val="969696"/>
          <w:sz w:val="22"/>
        </w:rPr>
        <w:t>[INSERT FIGURE HERE]</w:t>
      </w:r>
    </w:p>
    <w:p>
      <w:pPr>
        <w:spacing w:after="240"/>
        <w:jc w:val="center"/>
      </w:pPr>
      <w:r>
        <w:rPr>
          <w:rFonts w:ascii="Times New Roman" w:hAnsi="Times New Roman"/>
          <w:i/>
          <w:sz w:val="20"/>
        </w:rPr>
        <w:t>Figure 5.2: Operator usability rating distribution across the nine dimensions. Bar chart showing means with individual data points overlaid. Strongest dimensions: R3 and R4 (task guidance). Weakest dimensions: R1, R6, and R7 (exception communication).</w:t>
      </w:r>
    </w:p>
    <w:p>
      <w:pPr>
        <w:pStyle w:val="Heading2"/>
      </w:pPr>
      <w:r>
        <w:t>5.2 User-Facing HMI Iteration</w:t>
      </w:r>
    </w:p>
    <w:p>
      <w:r>
        <w:rPr>
          <w:rFonts w:ascii="Times New Roman" w:hAnsi="Times New Roman"/>
          <w:b w:val="0"/>
          <w:i w:val="0"/>
          <w:sz w:val="24"/>
        </w:rPr>
        <w:t>The qualitative and quantitative findings from the usability study (Section 5.1) directly drove a targeted iteration of the frontend HMI. The changes were prioritised by frequency of operator complaint and by their mapping to the lowest-rated dimensions. Each modification addresses a specific finding from the user study:</w:t>
      </w:r>
    </w:p>
    <w:p>
      <w:pPr>
        <w:pStyle w:val="ListBullet"/>
      </w:pPr>
      <w:r>
        <w:rPr>
          <w:rFonts w:ascii="Times New Roman" w:hAnsi="Times New Roman"/>
          <w:sz w:val="22"/>
        </w:rPr>
        <w:t>Enlarged alert typography: Font sizes for all warning and error banners were increased by approximately 50%, directly addressing the most frequently raised complaint (small font, reported by 4/6 operators). The alert text is now legible at arm's length from the touch display.</w:t>
      </w:r>
    </w:p>
    <w:p>
      <w:pPr>
        <w:pStyle w:val="ListBullet"/>
      </w:pPr>
      <w:r>
        <w:rPr>
          <w:rFonts w:ascii="Times New Roman" w:hAnsi="Times New Roman"/>
          <w:sz w:val="22"/>
        </w:rPr>
        <w:t>Unified fault banner: The previous dual-banner layout (top and bottom of screen) was consolidated into a single, full-width banner at the top of the display. The banner presents a single large keyword (e.g., "OVERPACK", "PICKED FROM WRONG BIN") with the specific corrective action as a subtitle naming the bin and the quantity to move, in a consistent red-and-white colour scheme. This eliminates the warning-versus-error colour confusion reported by operators.</w:t>
      </w:r>
    </w:p>
    <w:p>
      <w:pPr>
        <w:pStyle w:val="ListBullet"/>
      </w:pPr>
      <w:r>
        <w:rPr>
          <w:rFonts w:ascii="Times New Roman" w:hAnsi="Times New Roman"/>
          <w:sz w:val="22"/>
        </w:rPr>
        <w:t>Explicit corrective prompts: The wrong-bin-return alert was updated to compute and display the exact correction required — specifying the destination bin and the number of units to return — rather than presenting a generic message. This directly addresses the lowest-rated dimension (R7: 3.0).</w:t>
      </w:r>
    </w:p>
    <w:p>
      <w:pPr>
        <w:pStyle w:val="ListBullet"/>
      </w:pPr>
      <w:r>
        <w:rPr>
          <w:rFonts w:ascii="Times New Roman" w:hAnsi="Times New Roman"/>
          <w:sz w:val="22"/>
        </w:rPr>
        <w:t>Fault reclassification: A completed bin picked from is now classified as a "Wrong Bin" error rather than an "Out-of-Sequence" error, which operators found more intuitive — a bin already completed is no longer part of the active sequence and therefore cannot meaningfully be "out of sequence".</w:t>
      </w:r>
    </w:p>
    <w:p>
      <w:pPr>
        <w:pStyle w:val="ListBullet"/>
      </w:pPr>
      <w:r>
        <w:rPr>
          <w:rFonts w:ascii="Times New Roman" w:hAnsi="Times New Roman"/>
          <w:sz w:val="22"/>
        </w:rPr>
        <w:t>Bold, colour-coded hand-in-bin halo: The hand position indicator was enhanced with an animated halo around the active bin tile, colour-coded teal for valid bins and red for invalid bins (completed, locked out of sequence, or not in the order). A misdirected reach is therefore signalled the instant the hand enters the wrong bin, before any item is removed.</w:t>
      </w:r>
    </w:p>
    <w:p>
      <w:pPr>
        <w:pStyle w:val="ListBullet"/>
      </w:pPr>
      <w:r>
        <w:rPr>
          <w:rFonts w:ascii="Times New Roman" w:hAnsi="Times New Roman"/>
          <w:sz w:val="22"/>
        </w:rPr>
        <w:t>Automatic completion-to-empty flow: The unreliable manual "Bin Emptied" confirmation tap was replaced with automatic detection via load cell weight change on the kit box. When the kit box weight drops to near-zero (indicating the operator has emptied it), the system advances to the next set automatically, eliminating the touch-registration issues reported by two operators.</w:t>
      </w:r>
    </w:p>
    <w:p>
      <w:pPr>
        <w:pStyle w:val="ListBullet"/>
      </w:pPr>
      <w:r>
        <w:rPr>
          <w:rFonts w:ascii="Times New Roman" w:hAnsi="Times New Roman"/>
          <w:sz w:val="22"/>
        </w:rPr>
        <w:t>1-indexed bin and layer labels: Bin identifiers were changed from 0-indexed (programmer convention) to 1-indexed (operator convention) to match the numbering system operators naturally expect.</w:t>
      </w:r>
    </w:p>
    <w:p>
      <w:pPr>
        <w:pStyle w:val="ListBullet"/>
      </w:pPr>
      <w:r>
        <w:rPr>
          <w:rFonts w:ascii="Times New Roman" w:hAnsi="Times New Roman"/>
          <w:sz w:val="22"/>
        </w:rPr>
        <w:t>Remaining-sets progress indicator: A visible indicator of sets remaining in the order was added to the HMI header, addressing the unprompted request from two operators.</w:t>
      </w:r>
    </w:p>
    <w:p>
      <w:pPr>
        <w:jc w:val="center"/>
      </w:pPr>
      <w:r>
        <w:rPr>
          <w:i/>
          <w:color w:val="969696"/>
          <w:sz w:val="22"/>
        </w:rPr>
        <w:t>[INSERT FIGURE HERE]</w:t>
      </w:r>
    </w:p>
    <w:p>
      <w:pPr>
        <w:spacing w:after="240"/>
        <w:jc w:val="center"/>
      </w:pPr>
      <w:r>
        <w:rPr>
          <w:rFonts w:ascii="Times New Roman" w:hAnsi="Times New Roman"/>
          <w:i/>
          <w:sz w:val="20"/>
        </w:rPr>
        <w:t>Figure 5.3: HMI before and after the user-driven iteration. (a) Pre-iteration: small-font error banners, dual-position alerts, 0-indexed bin labels, no progress indicator. (b) Post-iteration: enlarged single-banner fault display with explicit corrective instruction, colour-coded hand halo, 1-indexed labels, and sets-remaining progress indicator.</w:t>
      </w:r>
    </w:p>
    <w:p>
      <w:pPr>
        <w:pStyle w:val="Heading2"/>
      </w:pPr>
      <w:r>
        <w:t>5.3 Requirements Validation</w:t>
      </w:r>
    </w:p>
    <w:p>
      <w:r>
        <w:rPr>
          <w:rFonts w:ascii="Times New Roman" w:hAnsi="Times New Roman"/>
          <w:b w:val="0"/>
          <w:i w:val="0"/>
          <w:sz w:val="24"/>
        </w:rPr>
        <w:t>To formally evaluate system compliance, the integrated prototype was validated against each functional requirement defined in Section 1.5. The results are summarised in Table 5.3. Requirements marked as "Met" have been verified through the testing evidence documented in Chapters 4 and 5. Requirements marked as "Partially Met" identify specific boundary conditions where the current prototype does not fully satisfy the requirement, with the nature and extent of the gap documented alongside the mitigation strategy employed.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ID</w:t>
            </w:r>
          </w:p>
        </w:tc>
        <w:tc>
          <w:tcPr>
            <w:tcW w:type="dxa" w:w="2160"/>
          </w:tcPr>
          <w:p>
            <w:pPr>
              <w:jc w:val="center"/>
            </w:pPr>
            <w:r>
              <w:rPr>
                <w:rFonts w:ascii="Times New Roman" w:hAnsi="Times New Roman"/>
                <w:b/>
                <w:sz w:val="20"/>
              </w:rPr>
              <w:t>Requirement</w:t>
            </w:r>
          </w:p>
        </w:tc>
        <w:tc>
          <w:tcPr>
            <w:tcW w:type="dxa" w:w="2160"/>
          </w:tcPr>
          <w:p>
            <w:pPr>
              <w:jc w:val="center"/>
            </w:pPr>
            <w:r>
              <w:rPr>
                <w:rFonts w:ascii="Times New Roman" w:hAnsi="Times New Roman"/>
                <w:b/>
                <w:sz w:val="20"/>
              </w:rPr>
              <w:t>Status</w:t>
            </w:r>
          </w:p>
        </w:tc>
        <w:tc>
          <w:tcPr>
            <w:tcW w:type="dxa" w:w="2160"/>
          </w:tcPr>
          <w:p>
            <w:pPr>
              <w:jc w:val="center"/>
            </w:pPr>
            <w:r>
              <w:rPr>
                <w:rFonts w:ascii="Times New Roman" w:hAnsi="Times New Roman"/>
                <w:b/>
                <w:sz w:val="20"/>
              </w:rPr>
              <w:t>Verification Evidence and Rationale</w:t>
            </w:r>
          </w:p>
        </w:tc>
      </w:tr>
      <w:tr>
        <w:tc>
          <w:tcPr>
            <w:tcW w:type="dxa" w:w="2160"/>
          </w:tcPr>
          <w:p>
            <w:r>
              <w:rPr>
                <w:rFonts w:ascii="Times New Roman" w:hAnsi="Times New Roman"/>
                <w:sz w:val="20"/>
              </w:rPr>
              <w:t>FR-01</w:t>
            </w:r>
          </w:p>
        </w:tc>
        <w:tc>
          <w:tcPr>
            <w:tcW w:type="dxa" w:w="2160"/>
          </w:tcPr>
          <w:p>
            <w:r>
              <w:rPr>
                <w:rFonts w:ascii="Times New Roman" w:hAnsi="Times New Roman"/>
                <w:sz w:val="20"/>
              </w:rPr>
              <w:t>Component Identification</w:t>
            </w:r>
          </w:p>
        </w:tc>
        <w:tc>
          <w:tcPr>
            <w:tcW w:type="dxa" w:w="2160"/>
          </w:tcPr>
          <w:p>
            <w:r>
              <w:rPr>
                <w:rFonts w:ascii="Times New Roman" w:hAnsi="Times New Roman"/>
                <w:sz w:val="20"/>
              </w:rPr>
              <w:t>Met</w:t>
            </w:r>
          </w:p>
        </w:tc>
        <w:tc>
          <w:tcPr>
            <w:tcW w:type="dxa" w:w="2160"/>
          </w:tcPr>
          <w:p>
            <w:r>
              <w:rPr>
                <w:rFonts w:ascii="Times New Roman" w:hAnsi="Times New Roman"/>
                <w:sz w:val="20"/>
              </w:rPr>
              <w:t>YOLOv8-OBB localises bin boundaries (Section 4.2.1); the inventory engine maps live weight changes to active SKU specifications via bin-position identity (Section 3.2.2).</w:t>
            </w:r>
          </w:p>
        </w:tc>
      </w:tr>
      <w:tr>
        <w:tc>
          <w:tcPr>
            <w:tcW w:type="dxa" w:w="2160"/>
          </w:tcPr>
          <w:p>
            <w:r>
              <w:rPr>
                <w:rFonts w:ascii="Times New Roman" w:hAnsi="Times New Roman"/>
                <w:sz w:val="20"/>
              </w:rPr>
              <w:t>FR-02</w:t>
            </w:r>
          </w:p>
        </w:tc>
        <w:tc>
          <w:tcPr>
            <w:tcW w:type="dxa" w:w="2160"/>
          </w:tcPr>
          <w:p>
            <w:r>
              <w:rPr>
                <w:rFonts w:ascii="Times New Roman" w:hAnsi="Times New Roman"/>
                <w:sz w:val="20"/>
              </w:rPr>
              <w:t>Wrong Part Detection</w:t>
            </w:r>
          </w:p>
        </w:tc>
        <w:tc>
          <w:tcPr>
            <w:tcW w:type="dxa" w:w="2160"/>
          </w:tcPr>
          <w:p>
            <w:r>
              <w:rPr>
                <w:rFonts w:ascii="Times New Roman" w:hAnsi="Times New Roman"/>
                <w:sz w:val="20"/>
              </w:rPr>
              <w:t>Met</w:t>
            </w:r>
          </w:p>
        </w:tc>
        <w:tc>
          <w:tcPr>
            <w:tcW w:type="dxa" w:w="2160"/>
          </w:tcPr>
          <w:p>
            <w:r>
              <w:rPr>
                <w:rFonts w:ascii="Times New Roman" w:hAnsi="Times New Roman"/>
                <w:sz w:val="20"/>
              </w:rPr>
              <w:t>The FSM immediately triggers a wrong-bin alert when hand tracking registers access to an inactive or completed bin, preventing count accumulation (Section 4.3).</w:t>
            </w:r>
          </w:p>
        </w:tc>
      </w:tr>
      <w:tr>
        <w:tc>
          <w:tcPr>
            <w:tcW w:type="dxa" w:w="2160"/>
          </w:tcPr>
          <w:p>
            <w:r>
              <w:rPr>
                <w:rFonts w:ascii="Times New Roman" w:hAnsi="Times New Roman"/>
                <w:sz w:val="20"/>
              </w:rPr>
              <w:t>FR-03</w:t>
            </w:r>
          </w:p>
        </w:tc>
        <w:tc>
          <w:tcPr>
            <w:tcW w:type="dxa" w:w="2160"/>
          </w:tcPr>
          <w:p>
            <w:r>
              <w:rPr>
                <w:rFonts w:ascii="Times New Roman" w:hAnsi="Times New Roman"/>
                <w:sz w:val="20"/>
              </w:rPr>
              <w:t>Missing Part Detection</w:t>
            </w:r>
          </w:p>
        </w:tc>
        <w:tc>
          <w:tcPr>
            <w:tcW w:type="dxa" w:w="2160"/>
          </w:tcPr>
          <w:p>
            <w:r>
              <w:rPr>
                <w:rFonts w:ascii="Times New Roman" w:hAnsi="Times New Roman"/>
                <w:sz w:val="20"/>
              </w:rPr>
              <w:t>Met</w:t>
            </w:r>
          </w:p>
        </w:tc>
        <w:tc>
          <w:tcPr>
            <w:tcW w:type="dxa" w:w="2160"/>
          </w:tcPr>
          <w:p>
            <w:r>
              <w:rPr>
                <w:rFonts w:ascii="Times New Roman" w:hAnsi="Times New Roman"/>
                <w:sz w:val="20"/>
              </w:rPr>
              <w:t>The FSM prevents kit completion and blocks the KIT_COMPLETE state transition if any required SKU remains below its target count (Section 4.3).</w:t>
            </w:r>
          </w:p>
        </w:tc>
      </w:tr>
      <w:tr>
        <w:tc>
          <w:tcPr>
            <w:tcW w:type="dxa" w:w="2160"/>
          </w:tcPr>
          <w:p>
            <w:r>
              <w:rPr>
                <w:rFonts w:ascii="Times New Roman" w:hAnsi="Times New Roman"/>
                <w:sz w:val="20"/>
              </w:rPr>
              <w:t>FR-04</w:t>
            </w:r>
          </w:p>
        </w:tc>
        <w:tc>
          <w:tcPr>
            <w:tcW w:type="dxa" w:w="2160"/>
          </w:tcPr>
          <w:p>
            <w:r>
              <w:rPr>
                <w:rFonts w:ascii="Times New Roman" w:hAnsi="Times New Roman"/>
                <w:sz w:val="20"/>
              </w:rPr>
              <w:t>Quantity Verification</w:t>
            </w:r>
          </w:p>
        </w:tc>
        <w:tc>
          <w:tcPr>
            <w:tcW w:type="dxa" w:w="2160"/>
          </w:tcPr>
          <w:p>
            <w:r>
              <w:rPr>
                <w:rFonts w:ascii="Times New Roman" w:hAnsi="Times New Roman"/>
                <w:sz w:val="20"/>
              </w:rPr>
              <w:t>Partially Met</w:t>
            </w:r>
          </w:p>
        </w:tc>
        <w:tc>
          <w:tcPr>
            <w:tcW w:type="dxa" w:w="2160"/>
          </w:tcPr>
          <w:p>
            <w:r>
              <w:rPr>
                <w:rFonts w:ascii="Times New Roman" w:hAnsi="Times New Roman"/>
                <w:sz w:val="20"/>
              </w:rPr>
              <w:t>Fully met for components weighing &gt;5 g on all platforms. For light components (&lt;3.5 g) on 5 kg and 10 kg summed platforms, off-centre sensitivity and noise floors occasionally cause missed counts (Section 4.2.2). Mitigated operationally by assigning light items to the 1 kg platform (σ = 0.028 g).</w:t>
            </w:r>
          </w:p>
        </w:tc>
      </w:tr>
      <w:tr>
        <w:tc>
          <w:tcPr>
            <w:tcW w:type="dxa" w:w="2160"/>
          </w:tcPr>
          <w:p>
            <w:r>
              <w:rPr>
                <w:rFonts w:ascii="Times New Roman" w:hAnsi="Times New Roman"/>
                <w:sz w:val="20"/>
              </w:rPr>
              <w:t>FR-05</w:t>
            </w:r>
          </w:p>
        </w:tc>
        <w:tc>
          <w:tcPr>
            <w:tcW w:type="dxa" w:w="2160"/>
          </w:tcPr>
          <w:p>
            <w:r>
              <w:rPr>
                <w:rFonts w:ascii="Times New Roman" w:hAnsi="Times New Roman"/>
                <w:sz w:val="20"/>
              </w:rPr>
              <w:t>Real-Time Alerting</w:t>
            </w:r>
          </w:p>
        </w:tc>
        <w:tc>
          <w:tcPr>
            <w:tcW w:type="dxa" w:w="2160"/>
          </w:tcPr>
          <w:p>
            <w:r>
              <w:rPr>
                <w:rFonts w:ascii="Times New Roman" w:hAnsi="Times New Roman"/>
                <w:sz w:val="20"/>
              </w:rPr>
              <w:t>Met</w:t>
            </w:r>
          </w:p>
        </w:tc>
        <w:tc>
          <w:tcPr>
            <w:tcW w:type="dxa" w:w="2160"/>
          </w:tcPr>
          <w:p>
            <w:r>
              <w:rPr>
                <w:rFonts w:ascii="Times New Roman" w:hAnsi="Times New Roman"/>
                <w:sz w:val="20"/>
              </w:rPr>
              <w:t>End-to-end latency measured at &lt;80 ms (33 ms CV frame interval + 10 Hz REST polling). Alerts appear on the HMI before the operator completes the reach (Section 4.1).</w:t>
            </w:r>
          </w:p>
        </w:tc>
      </w:tr>
      <w:tr>
        <w:tc>
          <w:tcPr>
            <w:tcW w:type="dxa" w:w="2160"/>
          </w:tcPr>
          <w:p>
            <w:r>
              <w:rPr>
                <w:rFonts w:ascii="Times New Roman" w:hAnsi="Times New Roman"/>
                <w:sz w:val="20"/>
              </w:rPr>
              <w:t>FR-06</w:t>
            </w:r>
          </w:p>
        </w:tc>
        <w:tc>
          <w:tcPr>
            <w:tcW w:type="dxa" w:w="2160"/>
          </w:tcPr>
          <w:p>
            <w:r>
              <w:rPr>
                <w:rFonts w:ascii="Times New Roman" w:hAnsi="Times New Roman"/>
                <w:sz w:val="20"/>
              </w:rPr>
              <w:t>Corrective Guidance</w:t>
            </w:r>
          </w:p>
        </w:tc>
        <w:tc>
          <w:tcPr>
            <w:tcW w:type="dxa" w:w="2160"/>
          </w:tcPr>
          <w:p>
            <w:r>
              <w:rPr>
                <w:rFonts w:ascii="Times New Roman" w:hAnsi="Times New Roman"/>
                <w:sz w:val="20"/>
              </w:rPr>
              <w:t>Met</w:t>
            </w:r>
          </w:p>
        </w:tc>
        <w:tc>
          <w:tcPr>
            <w:tcW w:type="dxa" w:w="2160"/>
          </w:tcPr>
          <w:p>
            <w:r>
              <w:rPr>
                <w:rFonts w:ascii="Times New Roman" w:hAnsi="Times New Roman"/>
                <w:sz w:val="20"/>
              </w:rPr>
              <w:t>Resolved in the HMI iteration (Section 5.2): alerts now display the specific bin, error type, and required corrective action including unit counts.</w:t>
            </w:r>
          </w:p>
        </w:tc>
      </w:tr>
      <w:tr>
        <w:tc>
          <w:tcPr>
            <w:tcW w:type="dxa" w:w="2160"/>
          </w:tcPr>
          <w:p>
            <w:r>
              <w:rPr>
                <w:rFonts w:ascii="Times New Roman" w:hAnsi="Times New Roman"/>
                <w:sz w:val="20"/>
              </w:rPr>
              <w:t>FR-07</w:t>
            </w:r>
          </w:p>
        </w:tc>
        <w:tc>
          <w:tcPr>
            <w:tcW w:type="dxa" w:w="2160"/>
          </w:tcPr>
          <w:p>
            <w:r>
              <w:rPr>
                <w:rFonts w:ascii="Times New Roman" w:hAnsi="Times New Roman"/>
                <w:sz w:val="20"/>
              </w:rPr>
              <w:t>Order Integration</w:t>
            </w:r>
          </w:p>
        </w:tc>
        <w:tc>
          <w:tcPr>
            <w:tcW w:type="dxa" w:w="2160"/>
          </w:tcPr>
          <w:p>
            <w:r>
              <w:rPr>
                <w:rFonts w:ascii="Times New Roman" w:hAnsi="Times New Roman"/>
                <w:sz w:val="20"/>
              </w:rPr>
              <w:t>Met</w:t>
            </w:r>
          </w:p>
        </w:tc>
        <w:tc>
          <w:tcPr>
            <w:tcW w:type="dxa" w:w="2160"/>
          </w:tcPr>
          <w:p>
            <w:r>
              <w:rPr>
                <w:rFonts w:ascii="Times New Roman" w:hAnsi="Times New Roman"/>
                <w:sz w:val="20"/>
              </w:rPr>
              <w:t>The system parses order configurations in YAML format and configures FSM bin locks and target counts accordingly (Section 3.3.3).</w:t>
            </w:r>
          </w:p>
        </w:tc>
      </w:tr>
      <w:tr>
        <w:tc>
          <w:tcPr>
            <w:tcW w:type="dxa" w:w="2160"/>
          </w:tcPr>
          <w:p>
            <w:r>
              <w:rPr>
                <w:rFonts w:ascii="Times New Roman" w:hAnsi="Times New Roman"/>
                <w:sz w:val="20"/>
              </w:rPr>
              <w:t>FR-08</w:t>
            </w:r>
          </w:p>
        </w:tc>
        <w:tc>
          <w:tcPr>
            <w:tcW w:type="dxa" w:w="2160"/>
          </w:tcPr>
          <w:p>
            <w:r>
              <w:rPr>
                <w:rFonts w:ascii="Times New Roman" w:hAnsi="Times New Roman"/>
                <w:sz w:val="20"/>
              </w:rPr>
              <w:t>New Part Onboarding</w:t>
            </w:r>
          </w:p>
        </w:tc>
        <w:tc>
          <w:tcPr>
            <w:tcW w:type="dxa" w:w="2160"/>
          </w:tcPr>
          <w:p>
            <w:r>
              <w:rPr>
                <w:rFonts w:ascii="Times New Roman" w:hAnsi="Times New Roman"/>
                <w:sz w:val="20"/>
              </w:rPr>
              <w:t>Met</w:t>
            </w:r>
          </w:p>
        </w:tc>
        <w:tc>
          <w:tcPr>
            <w:tcW w:type="dxa" w:w="2160"/>
          </w:tcPr>
          <w:p>
            <w:r>
              <w:rPr>
                <w:rFonts w:ascii="Times New Roman" w:hAnsi="Times New Roman"/>
                <w:sz w:val="20"/>
              </w:rPr>
              <w:t>Dynamic OBB calibration eliminates manual coordinate mapping. Adding new SKUs requires only updating weight specifications in the inventory configuration file (Section 6.2).</w:t>
            </w:r>
          </w:p>
        </w:tc>
      </w:tr>
      <w:tr>
        <w:tc>
          <w:tcPr>
            <w:tcW w:type="dxa" w:w="2160"/>
          </w:tcPr>
          <w:p>
            <w:r>
              <w:rPr>
                <w:rFonts w:ascii="Times New Roman" w:hAnsi="Times New Roman"/>
                <w:sz w:val="20"/>
              </w:rPr>
              <w:t>FR-09</w:t>
            </w:r>
          </w:p>
        </w:tc>
        <w:tc>
          <w:tcPr>
            <w:tcW w:type="dxa" w:w="2160"/>
          </w:tcPr>
          <w:p>
            <w:r>
              <w:rPr>
                <w:rFonts w:ascii="Times New Roman" w:hAnsi="Times New Roman"/>
                <w:sz w:val="20"/>
              </w:rPr>
              <w:t>Environmental Robustness</w:t>
            </w:r>
          </w:p>
        </w:tc>
        <w:tc>
          <w:tcPr>
            <w:tcW w:type="dxa" w:w="2160"/>
          </w:tcPr>
          <w:p>
            <w:r>
              <w:rPr>
                <w:rFonts w:ascii="Times New Roman" w:hAnsi="Times New Roman"/>
                <w:sz w:val="20"/>
              </w:rPr>
              <w:t>Met</w:t>
            </w:r>
          </w:p>
        </w:tc>
        <w:tc>
          <w:tcPr>
            <w:tcW w:type="dxa" w:w="2160"/>
          </w:tcPr>
          <w:p>
            <w:r>
              <w:rPr>
                <w:rFonts w:ascii="Times New Roman" w:hAnsi="Times New Roman"/>
                <w:sz w:val="20"/>
              </w:rPr>
              <w:t>100% CV detection accuracy from 0 to 506 lux across all nine bin positions (Section 4.2.1). Anti-glare ESD mats eliminate specular reflection errors. No workstation modification required.</w:t>
            </w:r>
          </w:p>
        </w:tc>
      </w:tr>
      <w:tr>
        <w:tc>
          <w:tcPr>
            <w:tcW w:type="dxa" w:w="2160"/>
          </w:tcPr>
          <w:p>
            <w:r>
              <w:rPr>
                <w:rFonts w:ascii="Times New Roman" w:hAnsi="Times New Roman"/>
                <w:sz w:val="20"/>
              </w:rPr>
              <w:t>FR-10</w:t>
            </w:r>
          </w:p>
        </w:tc>
        <w:tc>
          <w:tcPr>
            <w:tcW w:type="dxa" w:w="2160"/>
          </w:tcPr>
          <w:p>
            <w:r>
              <w:rPr>
                <w:rFonts w:ascii="Times New Roman" w:hAnsi="Times New Roman"/>
                <w:sz w:val="20"/>
              </w:rPr>
              <w:t>Supervisor Visibility</w:t>
            </w:r>
          </w:p>
        </w:tc>
        <w:tc>
          <w:tcPr>
            <w:tcW w:type="dxa" w:w="2160"/>
          </w:tcPr>
          <w:p>
            <w:r>
              <w:rPr>
                <w:rFonts w:ascii="Times New Roman" w:hAnsi="Times New Roman"/>
                <w:sz w:val="20"/>
              </w:rPr>
              <w:t>Met</w:t>
            </w:r>
          </w:p>
        </w:tc>
        <w:tc>
          <w:tcPr>
            <w:tcW w:type="dxa" w:w="2160"/>
          </w:tcPr>
          <w:p>
            <w:r>
              <w:rPr>
                <w:rFonts w:ascii="Times New Roman" w:hAnsi="Times New Roman"/>
                <w:sz w:val="20"/>
              </w:rPr>
              <w:t>The FastAPI web server hosts live state queries accessible over the local intranet; supervisors can view any workstation remotely via a standard browser (Section 3.3.3).</w:t>
            </w:r>
          </w:p>
        </w:tc>
      </w:tr>
      <w:tr>
        <w:tc>
          <w:tcPr>
            <w:tcW w:type="dxa" w:w="2160"/>
          </w:tcPr>
          <w:p>
            <w:r>
              <w:rPr>
                <w:rFonts w:ascii="Times New Roman" w:hAnsi="Times New Roman"/>
                <w:sz w:val="20"/>
              </w:rPr>
              <w:t>FR-11</w:t>
            </w:r>
          </w:p>
        </w:tc>
        <w:tc>
          <w:tcPr>
            <w:tcW w:type="dxa" w:w="2160"/>
          </w:tcPr>
          <w:p>
            <w:r>
              <w:rPr>
                <w:rFonts w:ascii="Times New Roman" w:hAnsi="Times New Roman"/>
                <w:sz w:val="20"/>
              </w:rPr>
              <w:t>Scalability</w:t>
            </w:r>
          </w:p>
        </w:tc>
        <w:tc>
          <w:tcPr>
            <w:tcW w:type="dxa" w:w="2160"/>
          </w:tcPr>
          <w:p>
            <w:r>
              <w:rPr>
                <w:rFonts w:ascii="Times New Roman" w:hAnsi="Times New Roman"/>
                <w:sz w:val="20"/>
              </w:rPr>
              <w:t>Met</w:t>
            </w:r>
          </w:p>
        </w:tc>
        <w:tc>
          <w:tcPr>
            <w:tcW w:type="dxa" w:w="2160"/>
          </w:tcPr>
          <w:p>
            <w:r>
              <w:rPr>
                <w:rFonts w:ascii="Times New Roman" w:hAnsi="Times New Roman"/>
                <w:sz w:val="20"/>
              </w:rPr>
              <w:t>The thread-safe PipelineState architecture and low CPU utilisation (approximately one of twelve available cores under full pipeline load) support multi-station extension without per-station redesign (Section 2.1).</w:t>
            </w:r>
          </w:p>
        </w:tc>
      </w:tr>
    </w:tbl>
    <w:p/>
    <w:p>
      <w:r>
        <w:rPr>
          <w:rFonts w:ascii="Times New Roman" w:hAnsi="Times New Roman"/>
          <w:b w:val="0"/>
          <w:i/>
          <w:sz w:val="20"/>
        </w:rPr>
        <w:t>Table 5.3: Requirements validation matrix. "Met" indicates full compliance verified through testing evidence. "Partially Met" indicates a boundary condition with a documented mitigation strategy.</w:t>
      </w:r>
    </w:p>
    <w:p>
      <w:r>
        <w:br w:type="page"/>
      </w:r>
    </w:p>
    <w:p>
      <w:pPr>
        <w:pStyle w:val="Heading1"/>
      </w:pPr>
      <w:r>
        <w:t>Chapter 6: Conclusion and Future Works</w:t>
      </w:r>
    </w:p>
    <w:p>
      <w:pPr>
        <w:pStyle w:val="Heading2"/>
      </w:pPr>
      <w:r>
        <w:t>6.1 Summary</w:t>
      </w:r>
    </w:p>
    <w:p>
      <w:r>
        <w:rPr>
          <w:rFonts w:ascii="Times New Roman" w:hAnsi="Times New Roman"/>
          <w:b w:val="0"/>
          <w:i w:val="0"/>
          <w:sz w:val="24"/>
        </w:rPr>
        <w:t>The AEGIS prototype demonstrates a proof-of-concept, edge-deployed kitting-assistance system that addresses the operational gap identified in Chapter 1: the absence of real-time, part-specific error detection and corrective guidance at the manual kitting workstation. By combining computer vision (rim-centric bin detection and hand-based worker-intention tracking) with load-cell gravimetric verification, and by enforcing a sequential single-bin finite state machine, the system detects wrong-bin, out-of-sequence, quantity, and overpack errors at the moment they occur and guides the operator to correct them before the kit is completed — satisfying the core functional requirements (FR-02, FR-04, FR-05, FR-06) while running entirely on-device and augmenting, rather than replacing, the existing manual workflow.</w:t>
      </w:r>
    </w:p>
    <w:p>
      <w:r>
        <w:rPr>
          <w:rFonts w:ascii="Times New Roman" w:hAnsi="Times New Roman"/>
          <w:b w:val="0"/>
          <w:i w:val="0"/>
          <w:sz w:val="24"/>
        </w:rPr>
        <w:t>The prototype was validated across its three subsystems. The computer vision model was shown to be rim-centric — detecting bins independently of their contents — and to hold 100% detection accuracy from near-darkness to full office lighting (0 to 506 lux), satisfying the environmental robustness requirement (FR-09). The load-cell platforms were qualified as a measurement system, establishing their minimum detectable mass (0.5 g, 2.3 g, and 4.3 g for the 1 kg, 5 kg, and 10 kg configurations respectively) and, critically, the off-centre placement sensitivity of the summed three-cell platforms — limits that bound which components can be reliably counted on which bin sizes. The backend verification logic was locked by 134 passing unit tests with 98% statement coverage of the core FSM module, providing a reliable regression guard for the most critical code path.</w:t>
      </w:r>
    </w:p>
    <w:p>
      <w:r>
        <w:rPr>
          <w:rFonts w:ascii="Times New Roman" w:hAnsi="Times New Roman"/>
          <w:b w:val="0"/>
          <w:i w:val="0"/>
          <w:sz w:val="24"/>
        </w:rPr>
        <w:t>A six-operator usability study confirmed that the system communicates the kitting task exceptionally well — understanding what to pack (4.9/5) and how many to pack (5.0/5) — and is preferred over the paper baseline (4.3/5), while surfacing concrete interface weaknesses in exception communication that a subsequent HMI iteration addressed. The iteration enlarged alert typography, unified the fault banner, added explicit corrective prompts with bin and quantity specificity, and introduced a colour-coded hand-in-bin halo for immediate visual feedback.</w:t>
      </w:r>
    </w:p>
    <w:p>
      <w:r>
        <w:rPr>
          <w:rFonts w:ascii="Times New Roman" w:hAnsi="Times New Roman"/>
          <w:b w:val="0"/>
          <w:i w:val="0"/>
          <w:sz w:val="24"/>
        </w:rPr>
        <w:t>Following successful laboratory validation and the user-driven HMI redesign, TE Connectivity is considering implementing the AEGIS solution design in their industrial sandbox environment for operational testing. This sandbox trial will validate the system's long-term hardware reliability and operational effectiveness under continuous shift conditions, bridging the gap between prototype validation and production deployment.</w:t>
      </w:r>
    </w:p>
    <w:p>
      <w:pPr>
        <w:pStyle w:val="Heading2"/>
      </w:pPr>
      <w:r>
        <w:t>6.2 Scalability and Maintenance</w:t>
      </w:r>
    </w:p>
    <w:p>
      <w:r>
        <w:rPr>
          <w:rFonts w:ascii="Times New Roman" w:hAnsi="Times New Roman"/>
          <w:b w:val="0"/>
          <w:i w:val="0"/>
          <w:sz w:val="24"/>
        </w:rPr>
        <w:t>For the system to scale across manufacturing lines and across TE Connectivity's geographically distributed plants, maintenance procedures must remain accessible to plant engineers without requiring specialist machine learning or software expertise. The following design provisions support this operational requirement:</w:t>
      </w:r>
    </w:p>
    <w:p>
      <w:pPr>
        <w:pStyle w:val="ListBullet"/>
      </w:pPr>
      <w:r>
        <w:rPr>
          <w:rFonts w:ascii="Times New Roman" w:hAnsi="Times New Roman"/>
          <w:sz w:val="22"/>
        </w:rPr>
        <w:t>SKU Onboarding: Introducing a new component to the system does not require retraining any machine learning model. A technician needs only to weigh the new component on a calibrated reference scale and add its unit weight to the central inventory configuration file (YAML format). The bin-position identification approach — in which item identity is determined by which bin it resides in, rather than by visual recognition of the item itself — means that no per-component visual model or training data is needed, satisfying FR-08.</w:t>
      </w:r>
    </w:p>
    <w:p>
      <w:pPr>
        <w:pStyle w:val="ListBullet"/>
      </w:pPr>
      <w:r>
        <w:rPr>
          <w:rFonts w:ascii="Times New Roman" w:hAnsi="Times New Roman"/>
          <w:sz w:val="22"/>
        </w:rPr>
        <w:t>Station Calibration: A workstation can be calibrated in less than two minutes using the two-snapshot YOLOv8-OBB process, which automatically defines the bin geofences from the live camera feed without manual coordinate entry or specialist configuration.</w:t>
      </w:r>
    </w:p>
    <w:p>
      <w:pPr>
        <w:pStyle w:val="ListBullet"/>
      </w:pPr>
      <w:r>
        <w:rPr>
          <w:rFonts w:ascii="Times New Roman" w:hAnsi="Times New Roman"/>
          <w:sz w:val="22"/>
        </w:rPr>
        <w:t>Modular Hardware: Load cell mounts are mechanically standardised across all three capacity configurations. A failed cell can be replaced by removing four screws and swapping in a replacement of the same capacity, without changes to the frame, platform, wiring, or firmware.</w:t>
      </w:r>
    </w:p>
    <w:p>
      <w:pPr>
        <w:pStyle w:val="ListBullet"/>
      </w:pPr>
      <w:r>
        <w:rPr>
          <w:rFonts w:ascii="Times New Roman" w:hAnsi="Times New Roman"/>
          <w:sz w:val="22"/>
        </w:rPr>
        <w:t>Multi-Workstation Architecture: The system architecture leaves substantial compute headroom — the full pipeline occupies approximately one of the edge device's twelve available CPU cores under full operational load — supporting the intended multi-workstation extension (FR-11) without per-station redesign. Linking local FastAPI instances to a centralised factory supervisor dashboard would enable cross-line monitoring from a single supervisory interface.</w:t>
      </w:r>
    </w:p>
    <w:p>
      <w:pPr>
        <w:pStyle w:val="Heading2"/>
      </w:pPr>
      <w:r>
        <w:t>6.3 Ergonomic Considerations</w:t>
      </w:r>
    </w:p>
    <w:p>
      <w:r>
        <w:rPr>
          <w:rFonts w:ascii="Times New Roman" w:hAnsi="Times New Roman"/>
          <w:b w:val="0"/>
          <w:i w:val="0"/>
          <w:sz w:val="24"/>
        </w:rPr>
        <w:t>While ergonomic design was not a primary focus of the proof-of-concept prototype, the usability study surfaced two physical-interaction issues that merit consideration prior to sandbox deployment:</w:t>
      </w:r>
    </w:p>
    <w:p>
      <w:pPr>
        <w:pStyle w:val="ListBullet"/>
      </w:pPr>
      <w:r>
        <w:rPr>
          <w:rFonts w:ascii="Times New Roman" w:hAnsi="Times New Roman"/>
          <w:sz w:val="22"/>
        </w:rPr>
        <w:t>Consolidation Fatigue: Operators reported that physically lifting and transferring components from heavy completed bins into the kit container was tiring, particularly for the larger bins containing dense metallic components. Potential mitigations include replacing standard bins with tilting bin racks or gravity-fed slide-out chutes that allow components to transfer without manual lifting, reducing the physical demand per set.</w:t>
      </w:r>
    </w:p>
    <w:p>
      <w:pPr>
        <w:pStyle w:val="ListBullet"/>
      </w:pPr>
      <w:r>
        <w:rPr>
          <w:rFonts w:ascii="Times New Roman" w:hAnsi="Times New Roman"/>
          <w:sz w:val="22"/>
        </w:rPr>
        <w:t>Standing Fatigue: Operators spend extended periods standing during kitting shifts, which may contribute to the attentional decline and error susceptibility identified in the root cause analysis (Section 1.2). Incorporating a scheduled break reminder into the HMI — for example, suggesting a short rest period after every ten completed sets, as one operator recommended during the usability study — would help maintain operator alertness and reduce fatigue-related error risk over the course of a shift.</w:t>
      </w:r>
    </w:p>
    <w:p>
      <w:pPr>
        <w:pStyle w:val="Heading2"/>
      </w:pPr>
      <w:r>
        <w:t>6.4 Future Works</w:t>
      </w:r>
    </w:p>
    <w:p>
      <w:r>
        <w:rPr>
          <w:rFonts w:ascii="Times New Roman" w:hAnsi="Times New Roman"/>
          <w:b w:val="0"/>
          <w:i w:val="0"/>
          <w:sz w:val="24"/>
        </w:rPr>
        <w:t>Several directions for future development are identified, prioritised by their expected impact on operational effectiveness and feasibility of implementation:</w:t>
      </w:r>
    </w:p>
    <w:p>
      <w:pPr>
        <w:pStyle w:val="ListBullet"/>
      </w:pPr>
      <w:r>
        <w:rPr>
          <w:rFonts w:ascii="Times New Roman" w:hAnsi="Times New Roman"/>
          <w:sz w:val="22"/>
        </w:rPr>
        <w:t>Multi-Workstation Orchestration: Linking the local FastAPI instances across multiple edge devices to a centralised factory supervisor dashboard would permit real-time monitoring of all kitting lines from a single interface, providing plant-level visibility of kitting status, error rates, and operator performance metrics.</w:t>
      </w:r>
    </w:p>
    <w:p>
      <w:pPr>
        <w:pStyle w:val="ListBullet"/>
      </w:pPr>
      <w:r>
        <w:rPr>
          <w:rFonts w:ascii="Times New Roman" w:hAnsi="Times New Roman"/>
          <w:sz w:val="22"/>
        </w:rPr>
        <w:t>MES Integration: Integration with TE Connectivity's Manufacturing Execution System (MES) via Modbus TCP communications would automate work-order loading and provide bidirectional status reporting, eliminating manual order entry and enabling closed-loop production tracking.</w:t>
      </w:r>
    </w:p>
    <w:p>
      <w:pPr>
        <w:pStyle w:val="ListBullet"/>
      </w:pPr>
      <w:r>
        <w:rPr>
          <w:rFonts w:ascii="Times New Roman" w:hAnsi="Times New Roman"/>
          <w:sz w:val="22"/>
        </w:rPr>
        <w:t>Light-Item Resolution: The partial-met status of FR-04 (quantity verification for light components) suggests investigating higher-resolution load cells, alternative sensor technologies (e.g., capacitive proximity sensing or optical break-beam counters), or hybrid approaches for the lightest SKUs in the product catalogue.</w:t>
      </w:r>
    </w:p>
    <w:p>
      <w:pPr>
        <w:pStyle w:val="ListBullet"/>
      </w:pPr>
      <w:r>
        <w:rPr>
          <w:rFonts w:ascii="Times New Roman" w:hAnsi="Times New Roman"/>
          <w:sz w:val="22"/>
        </w:rPr>
        <w:t>Bin Colour Generalisation: The YOLOv8-OBB model's reduced accuracy on non-blue bin colours (Section 4.2.1) could be addressed by expanding the training dataset to include a wider range of bin colours, materials, and form factors, improving the model's generalisation for plants that do not use standardised blue bins.</w:t>
      </w:r>
    </w:p>
    <w:p>
      <w:pPr>
        <w:pStyle w:val="ListBullet"/>
      </w:pPr>
      <w:r>
        <w:rPr>
          <w:rFonts w:ascii="Times New Roman" w:hAnsi="Times New Roman"/>
          <w:sz w:val="22"/>
        </w:rPr>
        <w:t>Predictive Analytics: Aggregating kitting error data across shifts and operators would enable trend analysis — identifying which SKUs, order types, or time-of-day windows are most error-prone — supporting proactive process improvement rather than purely reactive error detection.</w:t>
      </w:r>
    </w:p>
    <w:p>
      <w:r>
        <w:br w:type="page"/>
      </w:r>
    </w:p>
    <w:p>
      <w:pPr>
        <w:pStyle w:val="Heading1"/>
      </w:pPr>
      <w:r>
        <w:t>Chapter 7: Reflections and Lessons Learned</w:t>
      </w:r>
    </w:p>
    <w:p>
      <w:r>
        <w:rPr>
          <w:rFonts w:ascii="Times New Roman" w:hAnsi="Times New Roman"/>
          <w:b w:val="0"/>
          <w:i w:val="0"/>
          <w:sz w:val="24"/>
        </w:rPr>
        <w:t>This chapter documents the principal lessons that emerged over the course of the project, drawing on both the technical development experience and the user evaluation process.</w:t>
      </w:r>
    </w:p>
    <w:p>
      <w:r>
        <w:rPr>
          <w:rFonts w:ascii="Times New Roman" w:hAnsi="Times New Roman"/>
          <w:b/>
          <w:i w:val="0"/>
          <w:sz w:val="24"/>
        </w:rPr>
        <w:t>Sensor limits shape the design.</w:t>
      </w:r>
    </w:p>
    <w:p>
      <w:r>
        <w:rPr>
          <w:rFonts w:ascii="Times New Roman" w:hAnsi="Times New Roman"/>
          <w:b w:val="0"/>
          <w:i w:val="0"/>
          <w:sz w:val="24"/>
        </w:rPr>
        <w:t>The single hardest constraint was not software but the physics of gravimetric sensing. The load cell qualification battery (Section 4.2.2) put precise numbers on it: a minimum detectable mass of approximately 0.5 g on the 1 kg platform but approximately 2.3 g and 4.3 g on the 5 kg and 10 kg platforms, and off-centre deviations of tens of grams on the summed three-cell platforms. Since the lightest components in the bill of materials weigh only approximately 3 g, those numbers — not the code — set the ceiling on what can be counted and on which platform. The lesson was to characterise the sensor early and to design around its limits, combining software mitigations (absolute-gram crediting floors, debounce windows) with operational ones (assigning light items to the smallest platform) rather than expecting the code to overcome physics.</w:t>
      </w:r>
    </w:p>
    <w:p>
      <w:r>
        <w:rPr>
          <w:rFonts w:ascii="Times New Roman" w:hAnsi="Times New Roman"/>
          <w:b/>
          <w:i w:val="0"/>
          <w:sz w:val="24"/>
        </w:rPr>
        <w:t>User testing revealed what builders could not see.</w:t>
      </w:r>
    </w:p>
    <w:p>
      <w:r>
        <w:rPr>
          <w:rFonts w:ascii="Times New Roman" w:hAnsi="Times New Roman"/>
          <w:b w:val="0"/>
          <w:i w:val="0"/>
          <w:sz w:val="24"/>
        </w:rPr>
        <w:t>Features that were obvious to the development team — alert wording, colour coding, corrective phrasing — were the very things operators struggled with most, while the elements the team considered basic (the bin grid layout mapping physical to on-screen positions) rated at ceiling. The usability study turned subjective impressions into a prioritised backlog and directly shaped a measurably better interface. Testing with real operators earlier in the development cycle would have caught these issues sooner and reduced rework. This reinforces the well-established principle that the builder's mental model of the interface diverges from the user's model, and that this divergence can only be discovered through structured evaluation with representative end users.</w:t>
      </w:r>
    </w:p>
    <w:p>
      <w:r>
        <w:rPr>
          <w:rFonts w:ascii="Times New Roman" w:hAnsi="Times New Roman"/>
          <w:b/>
          <w:i w:val="0"/>
          <w:sz w:val="24"/>
        </w:rPr>
        <w:t>Clean separation paid off.</w:t>
      </w:r>
    </w:p>
    <w:p>
      <w:r>
        <w:rPr>
          <w:rFonts w:ascii="Times New Roman" w:hAnsi="Times New Roman"/>
          <w:b w:val="0"/>
          <w:i w:val="0"/>
          <w:sz w:val="24"/>
        </w:rPr>
        <w:t>Encapsulating the verification logic as a pure, hardware-independent component — with no direct dependency on the camera, load cell hardware, or display — made it possible to test the FSM exhaustively (134 test cases, 98% coverage of the core module) and iterate on it with confidence, without requiring a physical rig in the loop. This architectural decision substantially accelerated development velocity, reduced the cost of regression testing, and provided a reliable guard against unintended behavioural changes during rapid iteration.</w:t>
      </w:r>
    </w:p>
    <w:p>
      <w:r>
        <w:rPr>
          <w:rFonts w:ascii="Times New Roman" w:hAnsi="Times New Roman"/>
          <w:b/>
          <w:i w:val="0"/>
          <w:sz w:val="24"/>
        </w:rPr>
        <w:t>Real-world robustness requires dedicated attention.</w:t>
      </w:r>
    </w:p>
    <w:p>
      <w:r>
        <w:rPr>
          <w:rFonts w:ascii="Times New Roman" w:hAnsi="Times New Roman"/>
          <w:b w:val="0"/>
          <w:i w:val="0"/>
          <w:sz w:val="24"/>
        </w:rPr>
        <w:t>Intermittent USB resets, disconnected load cells, and the shelf-lip occlusion problem were reminders that a laboratory prototype encounters messy hardware realities in deployment. Reliability and diagnosability deserve dedicated design attention — automated reconnect loops, sensor health checks, clear diagnostic logging, and graceful degradation modes — not just the happy path. The occlusion gate (Section 4.4.2) is a concrete example: a problem that was invisible during top-bin-only testing became a showstopper once the full two-tier workstation was in use, and required a targeted architectural intervention rather than a parameter tweak.</w:t>
      </w:r>
    </w:p>
    <w:p>
      <w:r>
        <w:rPr>
          <w:rFonts w:ascii="Times New Roman" w:hAnsi="Times New Roman"/>
          <w:b w:val="0"/>
          <w:i/>
          <w:sz w:val="24"/>
        </w:rPr>
        <w:t>[Individual team member reflections to be added here.]</w:t>
      </w:r>
    </w:p>
    <w:p>
      <w:r>
        <w:br w:type="page"/>
      </w:r>
    </w:p>
    <w:p>
      <w:pPr>
        <w:pStyle w:val="Heading1"/>
      </w:pPr>
      <w:r>
        <w:t>References</w:t>
      </w:r>
    </w:p>
    <w:p>
      <w:r>
        <w:rPr>
          <w:rFonts w:ascii="Times New Roman" w:hAnsi="Times New Roman"/>
          <w:sz w:val="22"/>
        </w:rPr>
        <w:t>[1]  Ultralytics, "YOLOv8 Documentation," 2024. [Online]. Available: https://github.com/ultralytics/ultralytics. [Accessed: Jul. 2026].</w:t>
      </w:r>
    </w:p>
    <w:p>
      <w:r>
        <w:rPr>
          <w:rFonts w:ascii="Times New Roman" w:hAnsi="Times New Roman"/>
          <w:sz w:val="22"/>
        </w:rPr>
        <w:t>[2]  Google, "MediaPipe Hands: On-device Real-time Hand Tracking," 2023. [Online]. Available: https://developers.google.com/mediapipe/solutions/vision/hand_landmarker. [Accessed: Jul. 2026].</w:t>
      </w:r>
    </w:p>
    <w:p>
      <w:r>
        <w:rPr>
          <w:rFonts w:ascii="Times New Roman" w:hAnsi="Times New Roman"/>
          <w:sz w:val="22"/>
        </w:rPr>
        <w:t>[3]  TE Connectivity, "Cost of Poor Quality (COPQ) Internal Manufacturing Reports," FY2025. Unpublished.</w:t>
      </w:r>
    </w:p>
    <w:p>
      <w:r>
        <w:rPr>
          <w:rFonts w:ascii="Times New Roman" w:hAnsi="Times New Roman"/>
          <w:sz w:val="22"/>
        </w:rPr>
        <w:t>[4]  Avia Semiconductor, "HX711: 24-Bit Analog-to-Digital Converter for Weigh Scales," Datasheet Rev. 1.0.</w:t>
      </w:r>
    </w:p>
    <w:p>
      <w:r>
        <w:rPr>
          <w:rFonts w:ascii="Times New Roman" w:hAnsi="Times New Roman"/>
          <w:sz w:val="22"/>
        </w:rPr>
        <w:t>[5]  Advantech, "MIC-733: AI Inference System Based on NVIDIA Jetson AGX Orin," Product Datasheet, 2024.</w:t>
      </w:r>
    </w:p>
    <w:p>
      <w:r>
        <w:rPr>
          <w:rFonts w:ascii="Times New Roman" w:hAnsi="Times New Roman"/>
          <w:sz w:val="22"/>
        </w:rPr>
        <w:t>[6]  NVIDIA, "Jetson AGX Orin Technical Reference Manual," 2023.</w:t>
      </w:r>
    </w:p>
    <w:p>
      <w:r>
        <w:rPr>
          <w:rFonts w:ascii="Times New Roman" w:hAnsi="Times New Roman"/>
          <w:sz w:val="22"/>
        </w:rPr>
        <w:t>[7]  Roboflow, "Computer Vision Annotation and Dataset Management Platform," 2024. [Online]. Available: https://roboflow.com.</w:t>
      </w:r>
    </w:p>
    <w:p>
      <w:r>
        <w:rPr>
          <w:rFonts w:ascii="Times New Roman" w:hAnsi="Times New Roman"/>
          <w:sz w:val="22"/>
        </w:rPr>
        <w:t>[8]  Espressif Systems, "ESP32 Series Datasheet," Version 4.2, 2023.</w:t>
      </w:r>
    </w:p>
    <w:p>
      <w:r>
        <w:br w:type="page"/>
      </w:r>
    </w:p>
    <w:p>
      <w:pPr>
        <w:pStyle w:val="Heading1"/>
      </w:pPr>
      <w:r>
        <w:t>Appendix</w:t>
      </w:r>
    </w:p>
    <w:p>
      <w:pPr>
        <w:pStyle w:val="Heading2"/>
      </w:pPr>
      <w:r>
        <w:t>Appendix A: Usability Study Raw Data</w:t>
      </w:r>
    </w:p>
    <w:p>
      <w:r>
        <w:rPr>
          <w:rFonts w:ascii="Times New Roman" w:hAnsi="Times New Roman"/>
          <w:b w:val="0"/>
          <w:i w:val="0"/>
          <w:sz w:val="24"/>
        </w:rPr>
        <w:t>Full logs from the usability testing sessions conducted between 8 and 13 July 2026, including per-operator Likert scale ratings, alert walkthrough transcripts, and open-ended feedback summaries for all six participants (Benny, Chloe, Ming Zhan, Song Yi, Royce, and Jack). Source document: AEGIS_User_Test_Findings_Summary.docx.</w:t>
      </w:r>
    </w:p>
    <w:p>
      <w:pPr>
        <w:pStyle w:val="Heading2"/>
      </w:pPr>
      <w:r>
        <w:t>Appendix B: Load Cell Qualification Data</w:t>
      </w:r>
    </w:p>
    <w:p>
      <w:r>
        <w:rPr>
          <w:rFonts w:ascii="Times New Roman" w:hAnsi="Times New Roman"/>
          <w:b w:val="0"/>
          <w:i w:val="0"/>
          <w:sz w:val="24"/>
        </w:rPr>
        <w:t>Full raw voltage readings, calibration ladder values, repeatability trial tables, hysteresis measurements, warm-up drift logs, creep logs, and off-centre deviation measurements for the 1 kg, 5 kg, and 10 kg platform configurations. Source document: AEGIS_LoadCell_Qualification.docx.</w:t>
      </w:r>
    </w:p>
    <w:p>
      <w:pPr>
        <w:pStyle w:val="Heading2"/>
      </w:pPr>
      <w:r>
        <w:t>Appendix C: Computer Vision Training and Evaluation Data</w:t>
      </w:r>
    </w:p>
    <w:p>
      <w:r>
        <w:rPr>
          <w:rFonts w:ascii="Times New Roman" w:hAnsi="Times New Roman"/>
          <w:b w:val="0"/>
          <w:i w:val="0"/>
          <w:sz w:val="24"/>
        </w:rPr>
        <w:t>YOLOv8-OBB training curves and final validation metrics (precision, recall, mAP50, mAP50-95) for the fullness-varied Setup V3 model. Lighting characterisation workbook: 72 bin-by-illuminance readings with detection confidence values. Source files: lighting_cv_test_backup.xlsx, AEGIS_CV_Test_Pack.xlsx.</w:t>
      </w:r>
    </w:p>
    <w:p>
      <w:pPr>
        <w:pStyle w:val="Heading2"/>
      </w:pPr>
      <w:r>
        <w:t>Appendix D: HMI Screenshots</w:t>
      </w:r>
    </w:p>
    <w:p>
      <w:pPr>
        <w:jc w:val="center"/>
      </w:pPr>
      <w:r>
        <w:rPr>
          <w:i/>
          <w:color w:val="969696"/>
          <w:sz w:val="22"/>
        </w:rPr>
        <w:t>[INSERT FIGURE HERE]</w:t>
      </w:r>
    </w:p>
    <w:p>
      <w:pPr>
        <w:spacing w:after="240"/>
        <w:jc w:val="center"/>
      </w:pPr>
      <w:r>
        <w:rPr>
          <w:rFonts w:ascii="Times New Roman" w:hAnsi="Times New Roman"/>
          <w:i/>
          <w:sz w:val="20"/>
        </w:rPr>
        <w:t>Figure A.1: Pre-iteration HMI showing the bin grid, small-font error banners, and 0-indexed bin labels.</w:t>
      </w:r>
    </w:p>
    <w:p>
      <w:pPr>
        <w:jc w:val="center"/>
      </w:pPr>
      <w:r>
        <w:rPr>
          <w:i/>
          <w:color w:val="969696"/>
          <w:sz w:val="22"/>
        </w:rPr>
        <w:t>[INSERT FIGURE HERE]</w:t>
      </w:r>
    </w:p>
    <w:p>
      <w:pPr>
        <w:spacing w:after="240"/>
        <w:jc w:val="center"/>
      </w:pPr>
      <w:r>
        <w:rPr>
          <w:rFonts w:ascii="Times New Roman" w:hAnsi="Times New Roman"/>
          <w:i/>
          <w:sz w:val="20"/>
        </w:rPr>
        <w:t>Figure A.2: Post-iteration HMI showing the redesigned fault banner, colour-coded hand halo, 1-indexed labels, and sets-remaining progress indicator.</w:t>
      </w:r>
    </w:p>
    <w:p>
      <w:pPr>
        <w:pStyle w:val="Heading2"/>
      </w:pPr>
      <w:r>
        <w:t>Appendix E: Unit Test Summary</w:t>
      </w:r>
    </w:p>
    <w:p>
      <w:r>
        <w:rPr>
          <w:rFonts w:ascii="Times New Roman" w:hAnsi="Times New Roman"/>
          <w:b w:val="0"/>
          <w:i w:val="0"/>
          <w:sz w:val="24"/>
        </w:rPr>
        <w:t>Full pytest output for the 134-test backend verification suite, including per-module pass counts and pytest-cov coverage report. Source: pytest terminal output captured during final test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