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2"/>
        <w:keepNext w:val="0"/>
        <w:keepLines w:val="0"/>
        <w:spacing w:after="80" w:lineRule="auto"/>
        <w:rPr>
          <w:sz w:val="34"/>
          <w:szCs w:val="34"/>
        </w:rPr>
      </w:pPr>
      <w:bookmarkStart w:colFirst="0" w:colLast="0" w:name="_zg0tngsk4mq2" w:id="32"/>
      <w:bookmarkEnd w:id="32"/>
      <w:r w:rsidDel="00000000" w:rsidR="00000000" w:rsidRPr="00000000">
        <w:rPr>
          <w:sz w:val="34"/>
          <w:szCs w:val="34"/>
          <w:rtl w:val="0"/>
        </w:rPr>
        <w:t xml:space="preserve">Chapter 3: Prototyping and Iteration</w:t>
      </w:r>
    </w:p>
    <w:p w:rsidR="00000000" w:rsidDel="00000000" w:rsidP="00000000" w:rsidRDefault="00000000" w:rsidRPr="00000000" w14:paraId="00000305">
      <w:pPr>
        <w:spacing w:after="240" w:before="240" w:lineRule="auto"/>
        <w:rPr/>
      </w:pPr>
      <w:r w:rsidDel="00000000" w:rsidR="00000000" w:rsidRPr="00000000">
        <w:rPr>
          <w:rtl w:val="0"/>
        </w:rPr>
        <w:t xml:space="preserve">Each of the subsystems below — the physical workstation, the sensor subsystem, and the software subsystem — was prototyped independently to fulfil specific functional requirements. Only once each subsystem met its minimum criteria in isolation were full system integration and testing conducted, as detailed in Section 3.4.</w:t>
      </w:r>
    </w:p>
    <w:p w:rsidR="00000000" w:rsidDel="00000000" w:rsidP="00000000" w:rsidRDefault="00000000" w:rsidRPr="00000000" w14:paraId="00000306">
      <w:pPr>
        <w:pStyle w:val="Heading3"/>
        <w:keepNext w:val="0"/>
        <w:keepLines w:val="0"/>
        <w:spacing w:before="280" w:lineRule="auto"/>
        <w:rPr>
          <w:sz w:val="26"/>
          <w:szCs w:val="26"/>
        </w:rPr>
      </w:pPr>
      <w:bookmarkStart w:colFirst="0" w:colLast="0" w:name="_a5wm8meggtwu" w:id="33"/>
      <w:bookmarkEnd w:id="33"/>
      <w:r w:rsidDel="00000000" w:rsidR="00000000" w:rsidRPr="00000000">
        <w:rPr>
          <w:sz w:val="26"/>
          <w:szCs w:val="26"/>
          <w:rtl w:val="0"/>
        </w:rPr>
        <w:t xml:space="preserve">3.1 Physical Workstation and Mock-up</w:t>
      </w:r>
    </w:p>
    <w:p w:rsidR="00000000" w:rsidDel="00000000" w:rsidP="00000000" w:rsidRDefault="00000000" w:rsidRPr="00000000" w14:paraId="00000307">
      <w:pPr>
        <w:spacing w:after="240" w:before="240" w:lineRule="auto"/>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308">
      <w:pPr>
        <w:spacing w:after="240" w:before="240" w:lineRule="auto"/>
        <w:rPr/>
      </w:pPr>
      <w:r w:rsidDel="00000000" w:rsidR="00000000" w:rsidRPr="00000000">
        <w:rPr>
          <w:rtl w:val="0"/>
        </w:rPr>
        <w:t xml:space="preserve">The physical setup features a rigid frame supporting an overhead camera mounted at a static height of approximately 254 cm (100 in) above the primary reference layer.</w:t>
      </w:r>
    </w:p>
    <w:p w:rsidR="00000000" w:rsidDel="00000000" w:rsidP="00000000" w:rsidRDefault="00000000" w:rsidRPr="00000000" w14:paraId="00000309">
      <w:pPr>
        <w:spacing w:after="200" w:lineRule="auto"/>
        <w:jc w:val="center"/>
        <w:rPr/>
      </w:pPr>
      <w:r w:rsidDel="00000000" w:rsidR="00000000" w:rsidRPr="00000000">
        <w:rPr/>
        <w:drawing>
          <wp:inline distB="114300" distT="114300" distL="114300" distR="114300">
            <wp:extent cx="3476625" cy="3785255"/>
            <wp:effectExtent b="0" l="0" r="0" t="0"/>
            <wp:docPr id="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476625" cy="3785255"/>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spacing w:after="200" w:lineRule="auto"/>
        <w:jc w:val="center"/>
        <w:rPr/>
      </w:pPr>
      <w:r w:rsidDel="00000000" w:rsidR="00000000" w:rsidRPr="00000000">
        <w:rPr>
          <w:rtl w:val="0"/>
        </w:rPr>
        <w:t xml:space="preserve">Figure 3.1.1: CAD model of the camera mount and structural frame</w:t>
      </w:r>
    </w:p>
    <w:p w:rsidR="00000000" w:rsidDel="00000000" w:rsidP="00000000" w:rsidRDefault="00000000" w:rsidRPr="00000000" w14:paraId="0000030B">
      <w:pPr>
        <w:spacing w:after="200" w:lineRule="auto"/>
        <w:jc w:val="center"/>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t xml:space="preserve">The workstation area is organized into (but not restricted to) a modular 2-layer, 6-grid-space layout. This grid enforces a systematic layout rule where larger inventory bins that span 2 grid spaces are designated for the bottom row, while small and medium bins that span 1 grid space occupy the top row, aligning with standard industrial manual material handling guidelines which prioritise placing smaller items in the primary reach zone while reserving lower tiers for bulkier containers.</w:t>
      </w:r>
    </w:p>
    <w:p w:rsidR="00000000" w:rsidDel="00000000" w:rsidP="00000000" w:rsidRDefault="00000000" w:rsidRPr="00000000" w14:paraId="0000030D">
      <w:pPr>
        <w:spacing w:after="240" w:before="240" w:lineRule="auto"/>
        <w:jc w:val="center"/>
        <w:rPr/>
      </w:pPr>
      <w:r w:rsidDel="00000000" w:rsidR="00000000" w:rsidRPr="00000000">
        <w:rPr/>
        <w:drawing>
          <wp:inline distB="114300" distT="114300" distL="114300" distR="114300">
            <wp:extent cx="5943600" cy="3576066"/>
            <wp:effectExtent b="0" l="0" r="0" t="0"/>
            <wp:docPr id="21" name="image20.jpg"/>
            <a:graphic>
              <a:graphicData uri="http://schemas.openxmlformats.org/drawingml/2006/picture">
                <pic:pic>
                  <pic:nvPicPr>
                    <pic:cNvPr id="0" name="image20.jpg"/>
                    <pic:cNvPicPr preferRelativeResize="0"/>
                  </pic:nvPicPr>
                  <pic:blipFill>
                    <a:blip r:embed="rId10"/>
                    <a:srcRect b="6640" l="0" r="0" t="48501"/>
                    <a:stretch>
                      <a:fillRect/>
                    </a:stretch>
                  </pic:blipFill>
                  <pic:spPr>
                    <a:xfrm>
                      <a:off x="0" y="0"/>
                      <a:ext cx="5943600" cy="3576066"/>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spacing w:after="240" w:before="240" w:lineRule="auto"/>
        <w:jc w:val="center"/>
        <w:rPr/>
      </w:pPr>
      <w:r w:rsidDel="00000000" w:rsidR="00000000" w:rsidRPr="00000000">
        <w:rPr>
          <w:rtl w:val="0"/>
        </w:rPr>
        <w:t xml:space="preserve"> Figure 3.1.2: Configurable two-tier, 6-grid space bin layout</w:t>
      </w:r>
    </w:p>
    <w:p w:rsidR="00000000" w:rsidDel="00000000" w:rsidP="00000000" w:rsidRDefault="00000000" w:rsidRPr="00000000" w14:paraId="0000030F">
      <w:pPr>
        <w:spacing w:after="240" w:before="240" w:lineRule="auto"/>
        <w:rPr/>
      </w:pPr>
      <w:r w:rsidDel="00000000" w:rsidR="00000000" w:rsidRPr="00000000">
        <w:rPr>
          <w:rtl w:val="0"/>
        </w:rPr>
        <w:t xml:space="preserve">This physical structure integrates seamlessly into the environment. It ensures optimal camera visibility without requiring modifications to the existing workstation layout or the operator's natural workflow (D-08). Since the camera remains fixed, the overall working space is explicitly defined and invariant, allowing the computer vision model to reliably map spatial coordinates.</w:t>
      </w:r>
    </w:p>
    <w:p w:rsidR="00000000" w:rsidDel="00000000" w:rsidP="00000000" w:rsidRDefault="00000000" w:rsidRPr="00000000" w14:paraId="00000310">
      <w:pPr>
        <w:pStyle w:val="Heading2"/>
        <w:keepNext w:val="0"/>
        <w:keepLines w:val="0"/>
        <w:spacing w:after="80" w:lineRule="auto"/>
        <w:rPr>
          <w:sz w:val="34"/>
          <w:szCs w:val="34"/>
        </w:rPr>
      </w:pPr>
      <w:bookmarkStart w:colFirst="0" w:colLast="0" w:name="_1mz2b7x6eyt0" w:id="34"/>
      <w:bookmarkEnd w:id="34"/>
      <w:r w:rsidDel="00000000" w:rsidR="00000000" w:rsidRPr="00000000">
        <w:rPr>
          <w:sz w:val="34"/>
          <w:szCs w:val="34"/>
          <w:rtl w:val="0"/>
        </w:rPr>
        <w:t xml:space="preserve">3.2 Sensor Subsystem</w:t>
      </w:r>
    </w:p>
    <w:p w:rsidR="00000000" w:rsidDel="00000000" w:rsidP="00000000" w:rsidRDefault="00000000" w:rsidRPr="00000000" w14:paraId="00000311">
      <w:pPr>
        <w:pStyle w:val="Heading3"/>
        <w:keepNext w:val="0"/>
        <w:keepLines w:val="0"/>
        <w:spacing w:before="280" w:lineRule="auto"/>
        <w:rPr>
          <w:sz w:val="26"/>
          <w:szCs w:val="26"/>
        </w:rPr>
      </w:pPr>
      <w:bookmarkStart w:colFirst="0" w:colLast="0" w:name="_r76smj173qnn" w:id="35"/>
      <w:bookmarkEnd w:id="35"/>
      <w:r w:rsidDel="00000000" w:rsidR="00000000" w:rsidRPr="00000000">
        <w:rPr>
          <w:sz w:val="26"/>
          <w:szCs w:val="26"/>
          <w:rtl w:val="0"/>
        </w:rPr>
        <w:t xml:space="preserve">3.2.1 Computer Vision System</w:t>
      </w:r>
    </w:p>
    <w:p w:rsidR="00000000" w:rsidDel="00000000" w:rsidP="00000000" w:rsidRDefault="00000000" w:rsidRPr="00000000" w14:paraId="00000312">
      <w:pPr>
        <w:pStyle w:val="Heading4"/>
        <w:keepNext w:val="0"/>
        <w:keepLines w:val="0"/>
        <w:spacing w:after="40" w:before="240" w:lineRule="auto"/>
        <w:rPr>
          <w:b w:val="1"/>
          <w:bCs w:val="1"/>
          <w:sz w:val="22"/>
          <w:szCs w:val="22"/>
        </w:rPr>
      </w:pPr>
      <w:bookmarkStart w:colFirst="0" w:colLast="0" w:name="_cgrd0jhmcekv" w:id="36"/>
      <w:bookmarkEnd w:id="36"/>
      <w:r w:rsidDel="00000000" w:rsidR="00000000" w:rsidRPr="00000000">
        <w:rPr>
          <w:b w:val="1"/>
          <w:bCs w:val="1"/>
          <w:sz w:val="22"/>
          <w:szCs w:val="22"/>
          <w:rtl w:val="0"/>
        </w:rPr>
        <w:t xml:space="preserve">3.2.1.1 Requirements</w:t>
      </w:r>
    </w:p>
    <w:p w:rsidR="00000000" w:rsidDel="00000000" w:rsidP="00000000" w:rsidRDefault="00000000" w:rsidRPr="00000000" w14:paraId="00000313">
      <w:pPr>
        <w:spacing w:after="240" w:before="240" w:lineRule="auto"/>
        <w:rPr/>
      </w:pPr>
      <w:r w:rsidDel="00000000" w:rsidR="00000000" w:rsidRPr="00000000">
        <w:rPr>
          <w:rtl w:val="0"/>
        </w:rPr>
        <w:t xml:space="preserve">The computer vision system is required to satisfy several functional requirements established in Chapter 1. It must identify which component type is present in each active kitting bin (D-01), a prerequisite for detecting wrong-part and missing-part errors (D-02, D-03). It must support efficient onboarding of previously unseen component types without requiring specialist machine learning expertise from plant engineers (D-07), and it must operate correctly under varying ambient lighting conditions without requiring modification to bin dimensions, colours, workstation layout, or operator workflow (D-08). Detection must additionally run at a speed sufficient to support real-time alerting within a timeframe that enables corrective action prior to kit completion (D-05), without negatively impacting per-kit cycle time (W-01).</w:t>
      </w:r>
    </w:p>
    <w:p w:rsidR="00000000" w:rsidDel="00000000" w:rsidP="00000000" w:rsidRDefault="00000000" w:rsidRPr="00000000" w14:paraId="00000314">
      <w:pPr>
        <w:spacing w:after="240" w:before="240" w:lineRule="auto"/>
        <w:rPr/>
      </w:pPr>
      <w:r w:rsidDel="00000000" w:rsidR="00000000" w:rsidRPr="00000000">
        <w:rPr>
          <w:rtl w:val="0"/>
        </w:rPr>
        <w:t xml:space="preserve">These constraints directly shaped the architectural decisions described in the following subsections: the shift to a bin-centric rather than item-centric detection strategy (Section 3.2.1.2), the two-snapshot calibration process for onboarding (Section 3.2.1.3), and the selection of a lightweight hand-tracking framework over denser alternatives (Section 3.2.1.4).</w:t>
      </w:r>
    </w:p>
    <w:p w:rsidR="00000000" w:rsidDel="00000000" w:rsidP="00000000" w:rsidRDefault="00000000" w:rsidRPr="00000000" w14:paraId="00000315">
      <w:pPr>
        <w:pStyle w:val="Heading4"/>
        <w:keepNext w:val="0"/>
        <w:keepLines w:val="0"/>
        <w:spacing w:after="40" w:before="240" w:lineRule="auto"/>
        <w:rPr>
          <w:b w:val="1"/>
          <w:bCs w:val="1"/>
          <w:sz w:val="22"/>
          <w:szCs w:val="22"/>
        </w:rPr>
      </w:pPr>
      <w:bookmarkStart w:colFirst="0" w:colLast="0" w:name="_z8ly0cwkolpr" w:id="37"/>
      <w:bookmarkEnd w:id="37"/>
      <w:r w:rsidDel="00000000" w:rsidR="00000000" w:rsidRPr="00000000">
        <w:rPr>
          <w:b w:val="1"/>
          <w:bCs w:val="1"/>
          <w:sz w:val="22"/>
          <w:szCs w:val="22"/>
          <w:rtl w:val="0"/>
        </w:rPr>
        <w:t xml:space="preserve">3.2.1.2 Dynamic Bin Recognition</w:t>
      </w:r>
    </w:p>
    <w:p w:rsidR="00000000" w:rsidDel="00000000" w:rsidP="00000000" w:rsidRDefault="00000000" w:rsidRPr="00000000" w14:paraId="00000316">
      <w:pPr>
        <w:spacing w:after="240" w:before="240"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Instead, the strategy shifted to a bin-centric architecture, combining bin-level detection with systematic assignments of specific items to bins. By decoupling the visual detection logic from the physical appearance of internal items, this strategy ensures the system remains robust against changing component mixes (D-01) and supports configuration-driven SKU onboarding (D-07).</w:t>
      </w:r>
    </w:p>
    <w:p w:rsidR="00000000" w:rsidDel="00000000" w:rsidP="00000000" w:rsidRDefault="00000000" w:rsidRPr="00000000" w14:paraId="00000317">
      <w:pPr>
        <w:spacing w:after="240" w:before="240" w:lineRule="auto"/>
        <w:rPr/>
      </w:pPr>
      <w:r w:rsidDel="00000000" w:rsidR="00000000" w:rsidRPr="00000000">
        <w:rPr>
          <w:rtl w:val="0"/>
        </w:rPr>
        <w:t xml:space="preserve">To map these physical bins into digital zones, Horizontal Bounding Boxes (HBB) were selected because they eliminate edge contour noise, minimize computational overhead, and maintain strict axis-aligned tracking zones. The resulting box coordinates provide a highly stable area label per bin, establishing the geometric baseline required for fast and accurate downstream hand-in-bin validation (D-05).</w:t>
      </w:r>
    </w:p>
    <w:p w:rsidR="00000000" w:rsidDel="00000000" w:rsidP="00000000" w:rsidRDefault="00000000" w:rsidRPr="00000000" w14:paraId="00000318">
      <w:pPr>
        <w:spacing w:after="240" w:before="240" w:lineRule="auto"/>
        <w:rPr/>
      </w:pPr>
      <w:r w:rsidDel="00000000" w:rsidR="00000000" w:rsidRPr="00000000">
        <w:rPr>
          <w:rtl w:val="0"/>
        </w:rPr>
        <w:t xml:space="preserve">To successfully deploy this YOLO-HBB model, two critical operating protocols were established. First, to ensure the model mathematically learns to ignore internal components, a strict training data collection protocol was developed for plant engineers [Appendix D]. This protocol enforces systematic variation of bin positions, fill levels (0% to 100%), and internal item layouts during image capture, forcing the model to lock exclusively onto the static bin rim, evolving the bin-centric model to rim-centric.</w:t>
      </w:r>
    </w:p>
    <w:p w:rsidR="00000000" w:rsidDel="00000000" w:rsidP="00000000" w:rsidRDefault="00000000" w:rsidRPr="00000000" w14:paraId="00000319">
      <w:pPr>
        <w:spacing w:after="200" w:lineRule="auto"/>
        <w:jc w:val="center"/>
        <w:rPr/>
      </w:pPr>
      <w:r w:rsidDel="00000000" w:rsidR="00000000" w:rsidRPr="00000000">
        <w:rPr/>
        <w:drawing>
          <wp:inline distB="114300" distT="114300" distL="114300" distR="114300">
            <wp:extent cx="5943600" cy="331851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3318510"/>
                    </a:xfrm>
                    <a:prstGeom prst="rect"/>
                    <a:ln/>
                  </pic:spPr>
                </pic:pic>
              </a:graphicData>
            </a:graphic>
          </wp:inline>
        </w:drawing>
      </w:r>
      <w:r w:rsidDel="00000000" w:rsidR="00000000" w:rsidRPr="00000000">
        <w:rPr>
          <w:rtl w:val="0"/>
        </w:rPr>
        <w:t xml:space="preserve">Figure 3.2.2.1: Rim-centric bin detection. Horizontal Bounding Boxes (HBB) successfully lock onto the physical bin rims while ignoring internal component variations</w:t>
      </w:r>
    </w:p>
    <w:p w:rsidR="00000000" w:rsidDel="00000000" w:rsidP="00000000" w:rsidRDefault="00000000" w:rsidRPr="00000000" w14:paraId="0000031A">
      <w:pPr>
        <w:spacing w:after="240" w:before="240" w:lineRule="auto"/>
        <w:rPr/>
      </w:pPr>
      <w:r w:rsidDel="00000000" w:rsidR="00000000" w:rsidRPr="00000000">
        <w:rPr>
          <w:rtl w:val="0"/>
        </w:rPr>
        <w:t xml:space="preserve">Additionally, to prevent bin boundary distortion during the initialization phase caused by item occlusion, a strict physical constraint requires that bins are never filled past their top rims. By maintaining undistorted, highly accurate bin boundaries, the system can reliably determine exactly which bin the operator is interacting with. This accuracy is essential for providing precise corrective guidance (D-06). Enforcing this physical constraint keeps the deep learning model lightweight and simple, ensuring the system remains easily replicable and deployable across different workstations without extensive re-training (W-03).</w:t>
      </w:r>
    </w:p>
    <w:p w:rsidR="00000000" w:rsidDel="00000000" w:rsidP="00000000" w:rsidRDefault="00000000" w:rsidRPr="00000000" w14:paraId="0000031B">
      <w:pPr>
        <w:pStyle w:val="Heading4"/>
        <w:keepNext w:val="0"/>
        <w:keepLines w:val="0"/>
        <w:spacing w:after="40" w:before="240" w:lineRule="auto"/>
        <w:rPr>
          <w:b w:val="1"/>
          <w:bCs w:val="1"/>
          <w:sz w:val="22"/>
          <w:szCs w:val="22"/>
        </w:rPr>
      </w:pPr>
      <w:bookmarkStart w:colFirst="0" w:colLast="0" w:name="_s33b3mdyieca" w:id="38"/>
      <w:bookmarkEnd w:id="38"/>
      <w:r w:rsidDel="00000000" w:rsidR="00000000" w:rsidRPr="00000000">
        <w:rPr>
          <w:b w:val="1"/>
          <w:bCs w:val="1"/>
          <w:sz w:val="22"/>
          <w:szCs w:val="22"/>
          <w:rtl w:val="0"/>
        </w:rPr>
        <w:t xml:space="preserve">3.2.1.3 Dynamic Grid Calibration and Initialisation</w:t>
      </w:r>
    </w:p>
    <w:p w:rsidR="00000000" w:rsidDel="00000000" w:rsidP="00000000" w:rsidRDefault="00000000" w:rsidRPr="00000000" w14:paraId="0000031C">
      <w:pPr>
        <w:spacing w:after="240" w:before="240" w:lineRule="auto"/>
        <w:rPr/>
      </w:pPr>
      <w:r w:rsidDel="00000000" w:rsidR="00000000" w:rsidRPr="00000000">
        <w:rPr>
          <w:rtl w:val="0"/>
        </w:rPr>
        <w:t xml:space="preserve">To satisfy the requirement for efficient new part onboarding (D-07), the system initializes using a dynamic two-snapshot calibration process. Rather than manually measuring and programming bin coordinates, which would require external specialists, the system first maps the physical grid slots, and then takes a second snapshot to register which slots contain active bins. This automated setup empowers plant engineers to configure the workstation independently (W-03). These recognized bins are then locked as permanent HBB geofences for the duration of the operational session. This establishes a stable, relative spatial mapping, providing the necessary digital coordinates required for downstream order integration and bin assignment (FR-07).</w:t>
      </w:r>
    </w:p>
    <w:p w:rsidR="00000000" w:rsidDel="00000000" w:rsidP="00000000" w:rsidRDefault="00000000" w:rsidRPr="00000000" w14:paraId="0000031D">
      <w:pPr>
        <w:spacing w:after="240" w:before="240" w:lineRule="auto"/>
        <w:rPr>
          <w:color w:val="9900ff"/>
        </w:rPr>
      </w:pPr>
      <w:r w:rsidDel="00000000" w:rsidR="00000000" w:rsidRPr="00000000">
        <w:rPr>
          <w:rtl w:val="0"/>
        </w:rPr>
      </w:r>
    </w:p>
    <w:p w:rsidR="00000000" w:rsidDel="00000000" w:rsidP="00000000" w:rsidRDefault="00000000" w:rsidRPr="00000000" w14:paraId="0000031E">
      <w:pPr>
        <w:spacing w:after="240" w:before="240" w:lineRule="auto"/>
        <w:jc w:val="center"/>
        <w:rPr/>
      </w:pPr>
      <w:r w:rsidDel="00000000" w:rsidR="00000000" w:rsidRPr="00000000">
        <w:rPr/>
        <w:drawing>
          <wp:inline distB="114300" distT="114300" distL="114300" distR="114300">
            <wp:extent cx="5943600" cy="3348228"/>
            <wp:effectExtent b="0" l="0" r="0" t="0"/>
            <wp:docPr id="10"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3.2.3.1: Dynamic grid calibration sequence start</w:t>
      </w:r>
    </w:p>
    <w:p w:rsidR="00000000" w:rsidDel="00000000" w:rsidP="00000000" w:rsidRDefault="00000000" w:rsidRPr="00000000" w14:paraId="0000031F">
      <w:pPr>
        <w:spacing w:after="240" w:before="240" w:lineRule="auto"/>
        <w:jc w:val="center"/>
        <w:rPr/>
      </w:pPr>
      <w:r w:rsidDel="00000000" w:rsidR="00000000" w:rsidRPr="00000000">
        <w:rPr/>
        <w:drawing>
          <wp:inline distB="114300" distT="114300" distL="114300" distR="114300">
            <wp:extent cx="5943600" cy="3376839"/>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37683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3.2.3.2: After first screenshot (registration of possible bin positions)</w:t>
      </w:r>
    </w:p>
    <w:p w:rsidR="00000000" w:rsidDel="00000000" w:rsidP="00000000" w:rsidRDefault="00000000" w:rsidRPr="00000000" w14:paraId="00000320">
      <w:pPr>
        <w:spacing w:after="240" w:before="240" w:lineRule="auto"/>
        <w:jc w:val="center"/>
        <w:rPr/>
      </w:pPr>
      <w:r w:rsidDel="00000000" w:rsidR="00000000" w:rsidRPr="00000000">
        <w:rPr/>
        <w:drawing>
          <wp:inline distB="114300" distT="114300" distL="114300" distR="114300">
            <wp:extent cx="5943600" cy="3348228"/>
            <wp:effectExtent b="0" l="0" r="0" t="0"/>
            <wp:docPr id="2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3.2.3.3: After second screenshot (registration of all active bin geofences)</w:t>
      </w:r>
    </w:p>
    <w:p w:rsidR="00000000" w:rsidDel="00000000" w:rsidP="00000000" w:rsidRDefault="00000000" w:rsidRPr="00000000" w14:paraId="00000321">
      <w:pPr>
        <w:pStyle w:val="Heading4"/>
        <w:keepNext w:val="0"/>
        <w:keepLines w:val="0"/>
        <w:spacing w:after="40" w:before="240" w:lineRule="auto"/>
        <w:rPr>
          <w:b w:val="1"/>
          <w:bCs w:val="1"/>
          <w:sz w:val="22"/>
          <w:szCs w:val="22"/>
        </w:rPr>
      </w:pPr>
      <w:bookmarkStart w:colFirst="0" w:colLast="0" w:name="_kduayjtg3vpn" w:id="39"/>
      <w:bookmarkEnd w:id="39"/>
      <w:r w:rsidDel="00000000" w:rsidR="00000000" w:rsidRPr="00000000">
        <w:rPr>
          <w:b w:val="1"/>
          <w:bCs w:val="1"/>
          <w:sz w:val="22"/>
          <w:szCs w:val="22"/>
          <w:rtl w:val="0"/>
        </w:rPr>
        <w:t xml:space="preserve">3.2.1.4 Hand-Pose Model</w:t>
      </w:r>
    </w:p>
    <w:p w:rsidR="00000000" w:rsidDel="00000000" w:rsidP="00000000" w:rsidRDefault="00000000" w:rsidRPr="00000000" w14:paraId="00000322">
      <w:pPr>
        <w:spacing w:after="240" w:before="240" w:lineRule="auto"/>
        <w:rPr/>
      </w:pPr>
      <w:r w:rsidDel="00000000" w:rsidR="00000000" w:rsidRPr="00000000">
        <w:rPr>
          <w:rtl w:val="0"/>
        </w:rPr>
        <w:t xml:space="preserve">The system utilizes the Google AI Edge MediaPipe Tasks Hand Landmarker for real-time, on-device tracking of 21 3D hand landmarks. By performing all processing locally on the Jetson Orin edge device, the architecture inherently satisfies strict data security and compliance requirements (W-04).</w:t>
      </w:r>
    </w:p>
    <w:p w:rsidR="00000000" w:rsidDel="00000000" w:rsidP="00000000" w:rsidRDefault="00000000" w:rsidRPr="00000000" w14:paraId="00000323">
      <w:pPr>
        <w:spacing w:after="240" w:before="240" w:lineRule="auto"/>
        <w:rPr/>
      </w:pPr>
      <w:r w:rsidDel="00000000" w:rsidR="00000000" w:rsidRPr="00000000">
        <w:rPr>
          <w:rtl w:val="0"/>
        </w:rPr>
        <w:t xml:space="preserve">Running at approximately 30 frames per second, this framework avoids the heavy computational cost of dense pixel segmentation. This low-latency performance enables immediate, real-time alerting (D-05) without forcing the operator to pause, ensuring that per-kit cycle times are not negatively impacted (W-01). Furthermore, the efficiency of the landmarker leaves sufficient processing headroom to support future multi-workstation scalability on the same hardware (D-10). Ultimately, focusing on precise digit tracking rather than ambiguous bounding boxes provides the spatial accuracy needed to reliably pinpoint operator interactions.</w:t>
      </w:r>
    </w:p>
    <w:p w:rsidR="00000000" w:rsidDel="00000000" w:rsidP="00000000" w:rsidRDefault="00000000" w:rsidRPr="00000000" w14:paraId="00000324">
      <w:pPr>
        <w:spacing w:after="240" w:before="240" w:lineRule="auto"/>
        <w:jc w:val="center"/>
        <w:rPr/>
      </w:pPr>
      <w:r w:rsidDel="00000000" w:rsidR="00000000" w:rsidRPr="00000000">
        <w:rPr/>
        <w:drawing>
          <wp:inline distB="114300" distT="114300" distL="114300" distR="114300">
            <wp:extent cx="5943600" cy="2057400"/>
            <wp:effectExtent b="0" l="0" r="0" t="0"/>
            <wp:docPr id="16"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3.2.4.1: MediaPipe 21-point hand landmark topology</w:t>
      </w:r>
    </w:p>
    <w:p w:rsidR="00000000" w:rsidDel="00000000" w:rsidP="00000000" w:rsidRDefault="00000000" w:rsidRPr="00000000" w14:paraId="00000325">
      <w:pPr>
        <w:spacing w:after="240" w:before="240" w:lineRule="auto"/>
        <w:jc w:val="center"/>
        <w:rPr/>
      </w:pPr>
      <w:r w:rsidDel="00000000" w:rsidR="00000000" w:rsidRPr="00000000">
        <w:rPr/>
        <w:drawing>
          <wp:inline distB="114300" distT="114300" distL="114300" distR="114300">
            <wp:extent cx="4805363" cy="4004469"/>
            <wp:effectExtent b="0" l="0" r="0" t="0"/>
            <wp:docPr id="6" name="image18.png"/>
            <a:graphic>
              <a:graphicData uri="http://schemas.openxmlformats.org/drawingml/2006/picture">
                <pic:pic>
                  <pic:nvPicPr>
                    <pic:cNvPr id="0" name="image18.png"/>
                    <pic:cNvPicPr preferRelativeResize="0"/>
                  </pic:nvPicPr>
                  <pic:blipFill>
                    <a:blip r:embed="rId16"/>
                    <a:srcRect b="27208" l="41715" r="26442" t="30316"/>
                    <a:stretch>
                      <a:fillRect/>
                    </a:stretch>
                  </pic:blipFill>
                  <pic:spPr>
                    <a:xfrm>
                      <a:off x="0" y="0"/>
                      <a:ext cx="4805363" cy="400446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3.2.4.2: In-process landmark extraction during a live picking motion at workstations.</w:t>
      </w:r>
    </w:p>
    <w:p w:rsidR="00000000" w:rsidDel="00000000" w:rsidP="00000000" w:rsidRDefault="00000000" w:rsidRPr="00000000" w14:paraId="00000326">
      <w:pPr>
        <w:pStyle w:val="Heading4"/>
        <w:keepNext w:val="0"/>
        <w:keepLines w:val="0"/>
        <w:spacing w:after="40" w:before="240" w:lineRule="auto"/>
        <w:rPr>
          <w:b w:val="1"/>
          <w:bCs w:val="1"/>
          <w:sz w:val="22"/>
          <w:szCs w:val="22"/>
        </w:rPr>
      </w:pPr>
      <w:bookmarkStart w:colFirst="0" w:colLast="0" w:name="_dvidapftjuja" w:id="40"/>
      <w:bookmarkEnd w:id="40"/>
      <w:r w:rsidDel="00000000" w:rsidR="00000000" w:rsidRPr="00000000">
        <w:rPr>
          <w:b w:val="1"/>
          <w:bCs w:val="1"/>
          <w:sz w:val="22"/>
          <w:szCs w:val="22"/>
          <w:rtl w:val="0"/>
        </w:rPr>
        <w:t xml:space="preserve">3.2.1.5 Spatial Bin Assignment</w:t>
      </w:r>
    </w:p>
    <w:p w:rsidR="00000000" w:rsidDel="00000000" w:rsidP="00000000" w:rsidRDefault="00000000" w:rsidRPr="00000000" w14:paraId="00000327">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index (landmark 8) and middle (landmark 12) fingertips. By filtering out other fingers, the algorithm accommodates natural tripod-grasp picking motions. This ensures the system does not require modifications to the operator's workflow (D-08), thereby preserving natural picking speed.</w:t>
      </w:r>
    </w:p>
    <w:p w:rsidR="00000000" w:rsidDel="00000000" w:rsidP="00000000" w:rsidRDefault="00000000" w:rsidRPr="00000000" w14:paraId="00000328">
      <w:pPr>
        <w:spacing w:after="240" w:before="240" w:lineRule="auto"/>
        <w:rPr/>
      </w:pPr>
      <w:r w:rsidDel="00000000" w:rsidR="00000000" w:rsidRPr="00000000">
        <w:rPr>
          <w:rtl w:val="0"/>
        </w:rPr>
        <w:t xml:space="preserve">The locked bin boundary containing a fingertip receives a spatial vote. If the fingers split across adjacent bins, a deepest-penetration tiebreak evaluates the interiority distance, awarding the assignment to the finger planted deepest into a bin. This precise spatial resolution is critical for accurately identifying which component the operator is retrieving (D-01), ensuring highly reliable wrong-part error detection (D-02) even when hands straddle tight bin boundaries.</w:t>
      </w:r>
    </w:p>
    <w:p w:rsidR="00000000" w:rsidDel="00000000" w:rsidP="00000000" w:rsidRDefault="00000000" w:rsidRPr="00000000" w14:paraId="00000329">
      <w:pPr>
        <w:pStyle w:val="Heading4"/>
        <w:keepNext w:val="0"/>
        <w:keepLines w:val="0"/>
        <w:spacing w:after="40" w:before="240" w:lineRule="auto"/>
        <w:rPr>
          <w:b w:val="1"/>
          <w:bCs w:val="1"/>
          <w:sz w:val="22"/>
          <w:szCs w:val="22"/>
        </w:rPr>
      </w:pPr>
      <w:bookmarkStart w:colFirst="0" w:colLast="0" w:name="_r9tl9kf8fblx" w:id="41"/>
      <w:bookmarkEnd w:id="41"/>
      <w:r w:rsidDel="00000000" w:rsidR="00000000" w:rsidRPr="00000000">
        <w:rPr>
          <w:b w:val="1"/>
          <w:bCs w:val="1"/>
          <w:sz w:val="22"/>
          <w:szCs w:val="22"/>
          <w:rtl w:val="0"/>
        </w:rPr>
        <w:t xml:space="preserve">3.2.1.6 Occlusion Gating and State Hold</w:t>
      </w:r>
    </w:p>
    <w:p w:rsidR="00000000" w:rsidDel="00000000" w:rsidP="00000000" w:rsidRDefault="00000000" w:rsidRPr="00000000" w14:paraId="0000032A">
      <w:pPr>
        <w:spacing w:after="240" w:before="240" w:lineRule="auto"/>
        <w:rPr/>
      </w:pPr>
      <w:r w:rsidDel="00000000" w:rsidR="00000000" w:rsidRPr="00000000">
        <w:rPr>
          <w:rtl w:val="0"/>
        </w:rPr>
        <w:t xml:space="preserve">To maintain spatial accuracy across the two-tiered workstation layout, an Occlusion Gating mechanism and a stateful Occlusion Hold module serve as inline verification layers downstream of raw finger-voting. While finger-voting resolves spatial placement under clear line-of-sight conditions, upper-shelf overhangs introduce camera blind spots during lower-tier picks.</w:t>
      </w:r>
    </w:p>
    <w:p w:rsidR="00000000" w:rsidDel="00000000" w:rsidP="00000000" w:rsidRDefault="00000000" w:rsidRPr="00000000" w14:paraId="0000032B">
      <w:pPr>
        <w:spacing w:after="240" w:before="240" w:lineRule="auto"/>
        <w:rPr/>
      </w:pPr>
      <w:r w:rsidDel="00000000" w:rsidR="00000000" w:rsidRPr="00000000">
        <w:rPr>
          <w:rtl w:val="0"/>
        </w:rPr>
        <w:t xml:space="preserve">To adapt to upper-shelf camera blind spots, the Occlusion Gate computationally validates top-tier landmark predictions against proximal hand anchors and local pixel evidence before committing a bin event to the FSM. Complementarily, the Occlusion Hold module maintains state continuity for active bottom-bin picks when fingertips vanish behind shelf edges. Together, these modules aggressively filter out false extrapolation alarms. This ensures that real-time alerting (D-05) delivers strictly accurate corrective guidance (D-06) and reliably flags only genuine wrong-bin anomalies (D-02), thereby preventing false-positive interruptions that would otherwise degrade per-kit cycle time (W-01). A detailed breakdown of the physical extrapolation failure mode, the iterative development of the gate, and unit test validation is presented in Section 3.2.1.7.</w:t>
      </w:r>
    </w:p>
    <w:p w:rsidR="00000000" w:rsidDel="00000000" w:rsidP="00000000" w:rsidRDefault="00000000" w:rsidRPr="00000000" w14:paraId="0000032C">
      <w:pPr>
        <w:pStyle w:val="Heading4"/>
        <w:keepNext w:val="0"/>
        <w:keepLines w:val="0"/>
        <w:spacing w:after="40" w:before="240" w:lineRule="auto"/>
        <w:rPr>
          <w:b w:val="1"/>
          <w:bCs w:val="1"/>
          <w:sz w:val="22"/>
          <w:szCs w:val="22"/>
        </w:rPr>
      </w:pPr>
      <w:bookmarkStart w:colFirst="0" w:colLast="0" w:name="_khetmnc14foz" w:id="42"/>
      <w:bookmarkEnd w:id="42"/>
      <w:r w:rsidDel="00000000" w:rsidR="00000000" w:rsidRPr="00000000">
        <w:rPr>
          <w:b w:val="1"/>
          <w:bCs w:val="1"/>
          <w:sz w:val="22"/>
          <w:szCs w:val="22"/>
          <w:rtl w:val="0"/>
        </w:rPr>
        <w:t xml:space="preserve">3.2.1.7 Design Validation</w:t>
      </w:r>
    </w:p>
    <w:p w:rsidR="00000000" w:rsidDel="00000000" w:rsidP="00000000" w:rsidRDefault="00000000" w:rsidRPr="00000000" w14:paraId="0000032D">
      <w:pPr>
        <w:spacing w:after="240" w:before="240" w:lineRule="auto"/>
        <w:rPr/>
      </w:pPr>
      <w:r w:rsidDel="00000000" w:rsidR="00000000" w:rsidRPr="00000000">
        <w:rPr>
          <w:rtl w:val="0"/>
        </w:rPr>
        <w:t xml:space="preserve">As mentioned in Section 3.2.1.2, the computer vision pipeline utilizes Horizontal Bounding Boxes (HBB). To arrive at this optimal design, a comparative evaluation of three distinct boundary tracking methods was conducted.</w:t>
      </w:r>
    </w:p>
    <w:p w:rsidR="00000000" w:rsidDel="00000000" w:rsidP="00000000" w:rsidRDefault="00000000" w:rsidRPr="00000000" w14:paraId="0000032E">
      <w:pPr>
        <w:spacing w:after="240" w:before="240" w:lineRule="auto"/>
        <w:rPr/>
      </w:pPr>
      <w:r w:rsidDel="00000000" w:rsidR="00000000" w:rsidRPr="00000000">
        <w:rPr>
          <w:rtl w:val="0"/>
        </w:rPr>
        <w:t xml:space="preserve">To accurately track which bin a hand is in, the system must map the physical bins into stable digital zones. The computer vision model cannot rely on the internal inventory items, as they constantly shift, stack, and change shape. To prevent the system from getting confused by the contents, the boundary recognition needed to focus exclusively on the physical bin rim.</w:t>
      </w:r>
    </w:p>
    <w:p w:rsidR="00000000" w:rsidDel="00000000" w:rsidP="00000000" w:rsidRDefault="00000000" w:rsidRPr="00000000" w14:paraId="0000032F">
      <w:pPr>
        <w:spacing w:after="240" w:before="240" w:lineRule="auto"/>
        <w:rPr/>
      </w:pPr>
      <w:r w:rsidDel="00000000" w:rsidR="00000000" w:rsidRPr="00000000">
        <w:rPr>
          <w:rtl w:val="0"/>
        </w:rPr>
        <w:t xml:space="preserve">Instance segmentation (Mask R-CNN) and Oriented Bounding Boxes (OBB) were initially tested to map the bins. However, segmentation masks proved highly unstable, as the masks would dynamically bleed over items protruding past the rim, creating jagged, hallucinated edges. OBB successfully stabilized the boundaries, but evaluating angular rotation added unnecessary computational overhead, since the physical workstation frame already enforces a strict orthogonal grid.</w:t>
      </w:r>
    </w:p>
    <w:p w:rsidR="00000000" w:rsidDel="00000000" w:rsidP="00000000" w:rsidRDefault="00000000" w:rsidRPr="00000000" w14:paraId="00000330">
      <w:pPr>
        <w:spacing w:after="240" w:before="240" w:lineRule="auto"/>
        <w:rPr/>
      </w:pPr>
      <w:r w:rsidDel="00000000" w:rsidR="00000000" w:rsidRPr="00000000">
        <w:rPr>
          <w:rtl w:val="0"/>
        </w:rPr>
        <w:t xml:space="preserve">To achieve the best balance of stability and processing speed, the system was finalized on Horizontal Bounding Boxes (HBB). HBB completely eliminated edge contour noise and minimized processing overhead by ignoring unnecessary rotational data. Furthermore, by locking tightly onto the rectangular blue rim of the bin rather than its contents, HBB provided the strict, axis-aligned tracking zones required for the downstream finger-voting algorithm to function accurately (Section 3.2.1.5).</w:t>
      </w:r>
    </w:p>
    <w:p w:rsidR="00000000" w:rsidDel="00000000" w:rsidP="00000000" w:rsidRDefault="00000000" w:rsidRPr="00000000" w14:paraId="00000331">
      <w:pPr>
        <w:spacing w:after="240" w:before="240" w:lineRule="auto"/>
        <w:rPr/>
      </w:pPr>
      <w:r w:rsidDel="00000000" w:rsidR="00000000" w:rsidRPr="00000000">
        <w:rPr>
          <w:rtl w:val="0"/>
        </w:rPr>
        <w:t xml:space="preserve">Validation &amp; Impact: By selecting HBB, the vision pipeline maintained highly stable spatial labels across all tested fill levels and lighting conditions. This ensured the system provided the precise geometric baseline required for real-time hand-in-bin validation, successfully satisfying the alerting requirements (D-05).</w:t>
      </w:r>
    </w:p>
    <w:p w:rsidR="00000000" w:rsidDel="00000000" w:rsidP="00000000" w:rsidRDefault="00000000" w:rsidRPr="00000000" w14:paraId="00000332">
      <w:pPr>
        <w:spacing w:after="240" w:before="240" w:lineRule="auto"/>
        <w:rPr/>
      </w:pPr>
      <w:r w:rsidDel="00000000" w:rsidR="00000000" w:rsidRPr="00000000">
        <w:rPr>
          <w:rtl w:val="0"/>
        </w:rPr>
        <w:t xml:space="preserve">As mentioned in Section 3.2.1.6, the Occlusion Gate and Occlusion Hold are used to filter out tracking errors. These modules were developed iteratively to fix a major issue discovered during integration testing.</w:t>
      </w:r>
    </w:p>
    <w:p w:rsidR="00000000" w:rsidDel="00000000" w:rsidP="00000000" w:rsidRDefault="00000000" w:rsidRPr="00000000" w14:paraId="00000333">
      <w:pPr>
        <w:spacing w:after="240" w:before="240" w:lineRule="auto"/>
        <w:rPr/>
      </w:pPr>
      <w:r w:rsidDel="00000000" w:rsidR="00000000" w:rsidRPr="00000000">
        <w:rPr>
          <w:rtl w:val="0"/>
        </w:rPr>
        <w:t xml:space="preserve">When operators reached into the bottom row of bins, the physical shelf lip blocked the camera's view of their fingers. Because it couldn't see the fingers, the MediaPipe model would guess their location and incorrectly extrapolate the fingertips into the top-row bins. This caused the system to trigger false "Out-of-Sequence" and "Wrong-Bin" alarms (D-02).</w:t>
      </w:r>
    </w:p>
    <w:p w:rsidR="00000000" w:rsidDel="00000000" w:rsidP="00000000" w:rsidRDefault="00000000" w:rsidRPr="00000000" w14:paraId="00000334">
      <w:pPr>
        <w:spacing w:after="240" w:before="240" w:lineRule="auto"/>
        <w:jc w:val="center"/>
        <w:rPr/>
      </w:pPr>
      <w:r w:rsidDel="00000000" w:rsidR="00000000" w:rsidRPr="00000000">
        <w:rPr/>
        <w:drawing>
          <wp:inline distB="114300" distT="114300" distL="114300" distR="114300">
            <wp:extent cx="5943600" cy="4427982"/>
            <wp:effectExtent b="0" l="0" r="0" t="0"/>
            <wp:docPr id="12" name="image21.jpg"/>
            <a:graphic>
              <a:graphicData uri="http://schemas.openxmlformats.org/drawingml/2006/picture">
                <pic:pic>
                  <pic:nvPicPr>
                    <pic:cNvPr id="0" name="image21.jpg"/>
                    <pic:cNvPicPr preferRelativeResize="0"/>
                  </pic:nvPicPr>
                  <pic:blipFill>
                    <a:blip r:embed="rId17"/>
                    <a:srcRect b="0" l="0" r="0" t="0"/>
                    <a:stretch>
                      <a:fillRect/>
                    </a:stretch>
                  </pic:blipFill>
                  <pic:spPr>
                    <a:xfrm>
                      <a:off x="0" y="0"/>
                      <a:ext cx="5943600" cy="44279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3.2.7.1: Side-view schematic showing the shelf lip occluding fingertips during a bottom-bin reach.</w:t>
      </w:r>
    </w:p>
    <w:p w:rsidR="00000000" w:rsidDel="00000000" w:rsidP="00000000" w:rsidRDefault="00000000" w:rsidRPr="00000000" w14:paraId="00000335">
      <w:pPr>
        <w:spacing w:after="240" w:before="240" w:lineRule="auto"/>
        <w:rPr/>
      </w:pPr>
      <w:r w:rsidDel="00000000" w:rsidR="00000000" w:rsidRPr="00000000">
        <w:rPr>
          <w:rtl w:val="0"/>
        </w:rPr>
        <w:t xml:space="preserve">The first attempt to fix this involved checking the height of the wrist and knuckles against the shelf rim. However, this method was too sensitive to normal hand movements. It also broke when MediaPipe incorrectly swapped left and right hand labels while the hand was hidden. To build a more reliable solution, the software was updated to use a background-subtraction model (MOG2) to verify actual pixel data:</w:t>
      </w:r>
    </w:p>
    <w:p w:rsidR="00000000" w:rsidDel="00000000" w:rsidP="00000000" w:rsidRDefault="00000000" w:rsidRPr="00000000" w14:paraId="00000336">
      <w:pPr>
        <w:numPr>
          <w:ilvl w:val="0"/>
          <w:numId w:val="2"/>
        </w:numPr>
        <w:spacing w:after="0" w:afterAutospacing="0" w:before="240" w:lineRule="auto"/>
        <w:ind w:left="720" w:hanging="360"/>
        <w:jc w:val="left"/>
      </w:pPr>
      <w:r w:rsidDel="00000000" w:rsidR="00000000" w:rsidRPr="00000000">
        <w:rPr>
          <w:b w:val="1"/>
          <w:bCs w:val="1"/>
          <w:rtl w:val="0"/>
        </w:rPr>
        <w:t xml:space="preserve">Foreground-Evidence Gate:</w:t>
      </w:r>
      <w:r w:rsidDel="00000000" w:rsidR="00000000" w:rsidRPr="00000000">
        <w:rPr>
          <w:rtl w:val="0"/>
        </w:rPr>
        <w:t xml:space="preserve"> When the system detects a hand in a top bin, it now checks if there are actual foreground pixels at the fingertip location. If the pixel presence is below 20% (present_ratio &lt; 0.20), the system knows the top-bin hit is a mistake and corrects the assignment down to the bottom bin.</w:t>
      </w:r>
    </w:p>
    <w:p w:rsidR="00000000" w:rsidDel="00000000" w:rsidP="00000000" w:rsidRDefault="00000000" w:rsidRPr="00000000" w14:paraId="00000337">
      <w:pPr>
        <w:numPr>
          <w:ilvl w:val="0"/>
          <w:numId w:val="2"/>
        </w:numPr>
        <w:spacing w:after="240" w:before="0" w:beforeAutospacing="0" w:lineRule="auto"/>
        <w:ind w:left="720" w:hanging="360"/>
        <w:jc w:val="left"/>
      </w:pPr>
      <w:r w:rsidDel="00000000" w:rsidR="00000000" w:rsidRPr="00000000">
        <w:rPr>
          <w:b w:val="1"/>
          <w:bCs w:val="1"/>
          <w:rtl w:val="0"/>
        </w:rPr>
        <w:t xml:space="preserve">Bin-Keyed Occupancy Hold:</w:t>
      </w:r>
      <w:r w:rsidDel="00000000" w:rsidR="00000000" w:rsidRPr="00000000">
        <w:rPr>
          <w:rtl w:val="0"/>
        </w:rPr>
        <w:t xml:space="preserve"> Sometimes the hand disappears completely behind the shelf lip. To handle this, the hold module was redesigned to track the physical bin area instead of the specific hand. The bottom bin remains "active" as long as the operator's forearm is detected inside the bin (occupied_bins). The system releases the bin the moment the arm is pulled out, rather than relying on a static timer.</w:t>
      </w:r>
    </w:p>
    <w:p w:rsidR="00000000" w:rsidDel="00000000" w:rsidP="00000000" w:rsidRDefault="00000000" w:rsidRPr="00000000" w14:paraId="00000338">
      <w:pPr>
        <w:spacing w:after="240" w:before="240" w:lineRule="auto"/>
        <w:rPr/>
      </w:pPr>
      <w:r w:rsidDel="00000000" w:rsidR="00000000" w:rsidRPr="00000000">
        <w:rPr>
          <w:rtl w:val="0"/>
        </w:rPr>
        <w:t xml:space="preserve">This new logic was tested using 34 automated unit tests (22 for the gate with 83% coverage, and 12 for the hold with 100% coverage). During final integration testing with six different operators, this solution successfully eliminated all false top-bin alarms and met the real-time verification requirements (D-05, D-06).</w:t>
      </w:r>
    </w:p>
    <w:p w:rsidR="00000000" w:rsidDel="00000000" w:rsidP="00000000" w:rsidRDefault="00000000" w:rsidRPr="00000000" w14:paraId="00000339">
      <w:pPr>
        <w:spacing w:after="240" w:before="240" w:lineRule="auto"/>
        <w:jc w:val="center"/>
        <w:rPr/>
      </w:pPr>
      <w:r w:rsidDel="00000000" w:rsidR="00000000" w:rsidRPr="00000000">
        <w:rPr/>
        <w:drawing>
          <wp:inline distB="114300" distT="114300" distL="114300" distR="114300">
            <wp:extent cx="5943600" cy="3348228"/>
            <wp:effectExtent b="0" l="0" r="0" t="0"/>
            <wp:docPr id="17" name="image8.jpg"/>
            <a:graphic>
              <a:graphicData uri="http://schemas.openxmlformats.org/drawingml/2006/picture">
                <pic:pic>
                  <pic:nvPicPr>
                    <pic:cNvPr id="0" name="image8.jpg"/>
                    <pic:cNvPicPr preferRelativeResize="0"/>
                  </pic:nvPicPr>
                  <pic:blipFill>
                    <a:blip r:embed="rId18"/>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3.2.7.2: With the gate — proximal anchor detection overrides to the correct bottom bin.</w:t>
      </w:r>
    </w:p>
    <w:p w:rsidR="00000000" w:rsidDel="00000000" w:rsidP="00000000" w:rsidRDefault="00000000" w:rsidRPr="00000000" w14:paraId="0000033A">
      <w:pPr>
        <w:pStyle w:val="Heading4"/>
        <w:keepNext w:val="0"/>
        <w:keepLines w:val="0"/>
        <w:spacing w:after="40" w:before="240" w:lineRule="auto"/>
        <w:rPr>
          <w:b w:val="1"/>
          <w:bCs w:val="1"/>
          <w:sz w:val="22"/>
          <w:szCs w:val="22"/>
        </w:rPr>
      </w:pPr>
      <w:bookmarkStart w:colFirst="0" w:colLast="0" w:name="_pbhkbkxldspt" w:id="43"/>
      <w:bookmarkEnd w:id="43"/>
      <w:r w:rsidDel="00000000" w:rsidR="00000000" w:rsidRPr="00000000">
        <w:rPr>
          <w:b w:val="1"/>
          <w:bCs w:val="1"/>
          <w:sz w:val="22"/>
          <w:szCs w:val="22"/>
          <w:rtl w:val="0"/>
        </w:rPr>
        <w:t xml:space="preserve">3.2.2.1 Requirements</w:t>
      </w:r>
    </w:p>
    <w:p w:rsidR="00000000" w:rsidDel="00000000" w:rsidP="00000000" w:rsidRDefault="00000000" w:rsidRPr="00000000" w14:paraId="0000033B">
      <w:pPr>
        <w:spacing w:after="240" w:before="240" w:lineRule="auto"/>
        <w:rPr/>
      </w:pPr>
      <w:r w:rsidDel="00000000" w:rsidR="00000000" w:rsidRPr="00000000">
        <w:rPr>
          <w:rtl w:val="0"/>
        </w:rPr>
        <w:t xml:space="preserve">The load cell system is required to satisfy the quantity-verification requirement established in Chapter 1: the system shall verify that the quantity of each component placed into the kit matches the quantity specified in the order (D-04). This requirement exists because quantity errors — too few or too many items picked — are not reliably detectable by computer vision alone, and gravimetric sensing was identified as the complementary modality capable of resolving them (Section 1.9).</w:t>
      </w:r>
    </w:p>
    <w:p w:rsidR="00000000" w:rsidDel="00000000" w:rsidP="00000000" w:rsidRDefault="00000000" w:rsidRPr="00000000" w14:paraId="0000033C">
      <w:pPr>
        <w:spacing w:after="240" w:before="240" w:lineRule="auto"/>
        <w:rPr/>
      </w:pPr>
      <w:r w:rsidDel="00000000" w:rsidR="00000000" w:rsidRPr="00000000">
        <w:rPr>
          <w:rtl w:val="0"/>
        </w:rPr>
        <w:t xml:space="preserve">The platform design must additionally support components across a wide range of unit masses and bin sizes without requiring the operator to alter their picking workflow (D-08), and must remain mechanically stable under freehand loading, since instability directly compromises the accuracy of the quantity signal the FSM depends on (Section 3.3.3). As established in Chapter 2 (Design Selection), load cells were selected as the measurement method because no other approach could reliably identify component quantity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33D">
      <w:pPr>
        <w:pStyle w:val="Heading4"/>
        <w:keepNext w:val="0"/>
        <w:keepLines w:val="0"/>
        <w:spacing w:after="40" w:before="240" w:lineRule="auto"/>
        <w:rPr>
          <w:b w:val="1"/>
          <w:bCs w:val="1"/>
          <w:sz w:val="22"/>
          <w:szCs w:val="22"/>
        </w:rPr>
      </w:pPr>
      <w:bookmarkStart w:colFirst="0" w:colLast="0" w:name="_8c2z09wcki97" w:id="44"/>
      <w:bookmarkEnd w:id="44"/>
      <w:r w:rsidDel="00000000" w:rsidR="00000000" w:rsidRPr="00000000">
        <w:rPr>
          <w:b w:val="1"/>
          <w:bCs w:val="1"/>
          <w:sz w:val="22"/>
          <w:szCs w:val="22"/>
          <w:rtl w:val="0"/>
        </w:rPr>
        <w:t xml:space="preserve">3.2.2.2 Frame Design</w:t>
      </w:r>
    </w:p>
    <w:p w:rsidR="00000000" w:rsidDel="00000000" w:rsidP="00000000" w:rsidRDefault="00000000" w:rsidRPr="00000000" w14:paraId="0000033E">
      <w:pPr>
        <w:spacing w:after="240" w:before="240" w:lineRule="auto"/>
        <w:rPr/>
      </w:pPr>
      <w:r w:rsidDel="00000000" w:rsidR="00000000" w:rsidRPr="00000000">
        <w:rPr>
          <w:rtl w:val="0"/>
        </w:rPr>
        <w:t xml:space="preserve">The initial design consisted of a simple cantilever platform, with the load cell secured by screws and the item rest formed from bolts. However, the bolted arrangement proved unstable and required items to be placed directly onto the load cell, which was impractical for routine use.</w:t>
      </w:r>
    </w:p>
    <w:p w:rsidR="00000000" w:rsidDel="00000000" w:rsidP="00000000" w:rsidRDefault="00000000" w:rsidRPr="00000000" w14:paraId="0000033F">
      <w:pPr>
        <w:spacing w:after="240" w:before="240" w:lineRule="auto"/>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[X] cm in diameter, which provided adequate stability for the expected load distribution.</w:t>
      </w:r>
    </w:p>
    <w:p w:rsidR="00000000" w:rsidDel="00000000" w:rsidP="00000000" w:rsidRDefault="00000000" w:rsidRPr="00000000" w14:paraId="00000340">
      <w:pPr>
        <w:spacing w:after="240" w:before="240" w:lineRule="auto"/>
        <w:rPr>
          <w:color w:val="ff0000"/>
        </w:rPr>
      </w:pPr>
      <w:r>
        <w:t>The resulting final design for small bins was a circular disk of 12 cm in diameter, which provided adequate stability for the expected load distribution.</w:t>
      </w:r>
    </w:p>
    <w:p w:rsidR="00000000" w:rsidDel="00000000" w:rsidP="00000000" w:rsidRDefault="00000000" w:rsidRPr="00000000" w14:paraId="00000341">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 This trade-off, and its resolution via a three-load-cell configuration, is addressed in Section 3.2.2.3.</w:t>
      </w:r>
    </w:p>
    <w:p w:rsidR="00000000" w:rsidDel="00000000" w:rsidP="00000000" w:rsidRDefault="00000000" w:rsidRPr="00000000" w14:paraId="00000342">
      <w:pPr>
        <w:pStyle w:val="Heading4"/>
        <w:keepNext w:val="0"/>
        <w:keepLines w:val="0"/>
        <w:spacing w:after="40" w:before="240" w:lineRule="auto"/>
        <w:rPr>
          <w:b w:val="1"/>
          <w:bCs w:val="1"/>
          <w:sz w:val="22"/>
          <w:szCs w:val="22"/>
        </w:rPr>
      </w:pPr>
      <w:bookmarkStart w:colFirst="0" w:colLast="0" w:name="_uj8hlaryx797" w:id="45"/>
      <w:bookmarkEnd w:id="45"/>
      <w:r w:rsidDel="00000000" w:rsidR="00000000" w:rsidRPr="00000000">
        <w:rPr>
          <w:b w:val="1"/>
          <w:bCs w:val="1"/>
          <w:sz w:val="22"/>
          <w:szCs w:val="22"/>
          <w:rtl w:val="0"/>
        </w:rPr>
        <w:t xml:space="preserve">3.2.2.3 Cell Configuration</w:t>
      </w:r>
    </w:p>
    <w:p w:rsidR="00000000" w:rsidDel="00000000" w:rsidP="00000000" w:rsidRDefault="00000000" w:rsidRPr="00000000" w14:paraId="00000343">
      <w:pPr>
        <w:spacing w:after="240" w:before="240" w:lineRule="auto"/>
        <w:rPr/>
      </w:pPr>
      <w:r w:rsidDel="00000000" w:rsidR="00000000" w:rsidRPr="00000000">
        <w:rPr>
          <w:rtl w:val="0"/>
        </w:rPr>
        <w:t xml:space="preserve">To resolve the stability–accuracy trade-off introduced in Section 3.2.2.2, a three-load-cell configuration was adopted for larger bins.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344">
      <w:pPr>
        <w:spacing w:after="240" w:before="240" w:lineRule="auto"/>
        <w:rPr/>
      </w:pPr>
      <w:r w:rsidDel="00000000" w:rsidR="00000000" w:rsidRPr="00000000">
        <w:rPr>
          <w:rtl w:val="0"/>
        </w:rPr>
        <w:t xml:space="preserve">Furthermore, the three-load-cell configuration allowed for scalability to fit the dimensions of any bins the factory uses, by simply ensuring that the three points of contact remained within the off-centre loading limit.</w:t>
      </w:r>
    </w:p>
    <w:p w:rsidR="00000000" w:rsidDel="00000000" w:rsidP="00000000" w:rsidRDefault="00000000" w:rsidRPr="00000000" w14:paraId="00000345">
      <w:pPr>
        <w:spacing w:after="240" w:before="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 g. As a result, a higher-capacity cell trades absolute resolution for a greater usable range. In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346">
      <w:pPr>
        <w:spacing w:after="240" w:before="240" w:lineRule="auto"/>
        <w:rPr/>
      </w:pPr>
      <w:r w:rsidDel="00000000" w:rsidR="00000000" w:rsidRPr="00000000">
        <w:rPr>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By industry standards, a single bin may not exceed 25 kg, with a typical "heavy" bin falling in the 10–15 kg range, which informs the upper bound of the load cell capacity required for the larger platforms.</w:t>
      </w:r>
    </w:p>
    <w:p w:rsidR="00000000" w:rsidDel="00000000" w:rsidP="00000000" w:rsidRDefault="00000000" w:rsidRPr="00000000" w14:paraId="00000347">
      <w:pPr>
        <w:pStyle w:val="Heading4"/>
        <w:keepNext w:val="0"/>
        <w:keepLines w:val="0"/>
        <w:spacing w:after="40" w:before="240" w:lineRule="auto"/>
        <w:rPr>
          <w:b w:val="1"/>
          <w:bCs w:val="1"/>
          <w:sz w:val="22"/>
          <w:szCs w:val="22"/>
        </w:rPr>
      </w:pPr>
      <w:bookmarkStart w:colFirst="0" w:colLast="0" w:name="_ouc8wfe9i34c" w:id="46"/>
      <w:bookmarkEnd w:id="46"/>
      <w:r w:rsidDel="00000000" w:rsidR="00000000" w:rsidRPr="00000000">
        <w:rPr>
          <w:b w:val="1"/>
          <w:bCs w:val="1"/>
          <w:sz w:val="22"/>
          <w:szCs w:val="22"/>
          <w:rtl w:val="0"/>
        </w:rPr>
        <w:t xml:space="preserve">3.2.2.4 Design Validation</w:t>
      </w:r>
    </w:p>
    <w:p w:rsidR="00000000" w:rsidDel="00000000" w:rsidP="00000000" w:rsidRDefault="00000000" w:rsidRPr="00000000" w14:paraId="00000348">
      <w:pPr>
        <w:spacing w:after="240" w:before="240" w:lineRule="auto"/>
        <w:rPr/>
      </w:pPr>
      <w:r w:rsidDel="00000000" w:rsidR="00000000" w:rsidRPr="00000000">
        <w:rPr>
          <w:rtl w:val="0"/>
        </w:rPr>
        <w:t xml:space="preserve">Bench testing revealed that a single cantilever load cell could not support larger bins without tipping, while expanding the platform on a single-point cell introduced extreme off-centre measurement errors (Section 3.2.2.2).</w:t>
      </w:r>
    </w:p>
    <w:p w:rsidR="00000000" w:rsidDel="00000000" w:rsidP="00000000" w:rsidRDefault="00000000" w:rsidRPr="00000000" w14:paraId="00000349">
      <w:pPr>
        <w:spacing w:after="240" w:before="240" w:lineRule="auto"/>
        <w:rPr/>
      </w:pPr>
      <w:r w:rsidDel="00000000" w:rsidR="00000000" w:rsidRPr="00000000">
        <w:rPr>
          <w:rtl w:val="0"/>
        </w:rPr>
        <w:t xml:space="preserve">The platform was redesigned as a three-point summed load cell triangle for medium and large bin configurations (Section 3.2.2.3). This configuration stabilises the centre of gravity within the support triangle while the HX711 summation circuit maintains a single-channel interface to the microcontroller, preserving full software compatibility.</w:t>
      </w:r>
    </w:p>
    <w:p w:rsidR="00000000" w:rsidDel="00000000" w:rsidP="00000000" w:rsidRDefault="00000000" w:rsidRPr="00000000" w14:paraId="0000034A">
      <w:pPr>
        <w:spacing w:after="240" w:before="240" w:lineRule="auto"/>
        <w:jc w:val="center"/>
        <w:rPr/>
      </w:pPr>
      <w:r w:rsidDel="00000000" w:rsidR="00000000" w:rsidRPr="00000000">
        <w:rPr>
          <w:color w:val="9900ff"/>
        </w:rPr>
        <w:drawing>
          <wp:inline distB="114300" distT="114300" distL="114300" distR="114300">
            <wp:extent cx="5943600" cy="3771347"/>
            <wp:effectExtent b="0" l="0" r="0" t="0"/>
            <wp:docPr id="1" name="image4.png"/>
            <a:graphic>
              <a:graphicData uri="http://schemas.openxmlformats.org/drawingml/2006/picture">
                <pic:pic>
                  <pic:nvPicPr>
                    <pic:cNvPr id="0" name="image4.png"/>
                    <pic:cNvPicPr preferRelativeResize="0"/>
                  </pic:nvPicPr>
                  <pic:blipFill>
                    <a:blip r:embed="rId19"/>
                    <a:srcRect b="15397" l="0" r="0" t="0"/>
                    <a:stretch>
                      <a:fillRect/>
                    </a:stretch>
                  </pic:blipFill>
                  <pic:spPr>
                    <a:xfrm>
                      <a:off x="0" y="0"/>
                      <a:ext cx="5943600" cy="3771347"/>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3.2.2.4.1: Initial single-cell cantilever platform exhibiting tipping instability.</w:t>
      </w:r>
    </w:p>
    <w:p w:rsidR="00000000" w:rsidDel="00000000" w:rsidP="00000000" w:rsidRDefault="00000000" w:rsidRPr="00000000" w14:paraId="0000034B">
      <w:pPr>
        <w:spacing w:after="240" w:before="240" w:lineRule="auto"/>
        <w:jc w:val="center"/>
        <w:rPr/>
      </w:pPr>
      <w:r w:rsidDel="00000000" w:rsidR="00000000" w:rsidRPr="00000000">
        <w:rPr/>
        <w:drawing>
          <wp:inline distB="114300" distT="114300" distL="114300" distR="114300">
            <wp:extent cx="5943600" cy="2876550"/>
            <wp:effectExtent b="0" l="0" r="0" t="0"/>
            <wp:docPr id="19" name="image12.png"/>
            <a:graphic>
              <a:graphicData uri="http://schemas.openxmlformats.org/drawingml/2006/picture">
                <pic:pic>
                  <pic:nvPicPr>
                    <pic:cNvPr id="0" name="image12.png"/>
                    <pic:cNvPicPr preferRelativeResize="0"/>
                  </pic:nvPicPr>
                  <pic:blipFill>
                    <a:blip r:embed="rId20"/>
                    <a:srcRect b="17094" l="0" r="0" t="18376"/>
                    <a:stretch>
                      <a:fillRect/>
                    </a:stretch>
                  </pic:blipFill>
                  <pic:spPr>
                    <a:xfrm>
                      <a:off x="0" y="0"/>
                      <a:ext cx="59436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spacing w:after="240" w:before="240" w:lineRule="auto"/>
        <w:jc w:val="center"/>
        <w:rPr/>
      </w:pPr>
      <w:r w:rsidDel="00000000" w:rsidR="00000000" w:rsidRPr="00000000">
        <w:rPr>
          <w:rtl w:val="0"/>
        </w:rPr>
        <w:t xml:space="preserve">Figure 3.2.2.4.2: Final three-point triangle configuration with stable bin seating (front)</w:t>
      </w:r>
    </w:p>
    <w:p w:rsidR="00000000" w:rsidDel="00000000" w:rsidP="00000000" w:rsidRDefault="00000000" w:rsidRPr="00000000" w14:paraId="0000034D">
      <w:pPr>
        <w:spacing w:after="240" w:before="240" w:lineRule="auto"/>
        <w:jc w:val="center"/>
        <w:rPr/>
      </w:pPr>
      <w:r w:rsidDel="00000000" w:rsidR="00000000" w:rsidRPr="00000000">
        <w:rPr/>
        <w:drawing>
          <wp:inline distB="114300" distT="114300" distL="114300" distR="114300">
            <wp:extent cx="5943600" cy="1409588"/>
            <wp:effectExtent b="0" l="0" r="0" t="0"/>
            <wp:docPr id="3" name="image2.png"/>
            <a:graphic>
              <a:graphicData uri="http://schemas.openxmlformats.org/drawingml/2006/picture">
                <pic:pic>
                  <pic:nvPicPr>
                    <pic:cNvPr id="0" name="image2.png"/>
                    <pic:cNvPicPr preferRelativeResize="0"/>
                  </pic:nvPicPr>
                  <pic:blipFill>
                    <a:blip r:embed="rId21"/>
                    <a:srcRect b="34399" l="0" r="0" t="33978"/>
                    <a:stretch>
                      <a:fillRect/>
                    </a:stretch>
                  </pic:blipFill>
                  <pic:spPr>
                    <a:xfrm>
                      <a:off x="0" y="0"/>
                      <a:ext cx="5943600" cy="1409588"/>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240" w:before="240" w:lineRule="auto"/>
        <w:jc w:val="center"/>
        <w:rPr/>
      </w:pPr>
      <w:r w:rsidDel="00000000" w:rsidR="00000000" w:rsidRPr="00000000">
        <w:rPr>
          <w:rtl w:val="0"/>
        </w:rPr>
        <w:t xml:space="preserve">Figure 3.2.2.4.3: Final three-point triangle configuration with stable bin seating (side)</w:t>
      </w:r>
    </w:p>
    <w:p w:rsidR="00000000" w:rsidDel="00000000" w:rsidP="00000000" w:rsidRDefault="00000000" w:rsidRPr="00000000" w14:paraId="0000034F">
      <w:pPr>
        <w:spacing w:after="240" w:before="240" w:lineRule="auto"/>
        <w:jc w:val="center"/>
        <w:rPr/>
      </w:pP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sz w:val="26"/>
          <w:szCs w:val="26"/>
        </w:rPr>
      </w:pPr>
      <w:bookmarkStart w:colFirst="0" w:colLast="0" w:name="_15exumjd4p8o" w:id="47"/>
      <w:bookmarkEnd w:id="47"/>
      <w:r w:rsidDel="00000000" w:rsidR="00000000" w:rsidRPr="00000000">
        <w:rPr>
          <w:sz w:val="26"/>
          <w:szCs w:val="26"/>
          <w:rtl w:val="0"/>
        </w:rPr>
        <w:t xml:space="preserve">3.3 System Software</w:t>
      </w:r>
    </w:p>
    <w:p w:rsidR="00000000" w:rsidDel="00000000" w:rsidP="00000000" w:rsidRDefault="00000000" w:rsidRPr="00000000" w14:paraId="00000351">
      <w:pPr>
        <w:pStyle w:val="Heading4"/>
        <w:keepNext w:val="0"/>
        <w:keepLines w:val="0"/>
        <w:spacing w:after="40" w:before="240" w:lineRule="auto"/>
        <w:rPr>
          <w:b w:val="1"/>
          <w:bCs w:val="1"/>
          <w:sz w:val="22"/>
          <w:szCs w:val="22"/>
        </w:rPr>
      </w:pPr>
      <w:bookmarkStart w:colFirst="0" w:colLast="0" w:name="_ffmg8rbnk6wd" w:id="48"/>
      <w:bookmarkEnd w:id="48"/>
      <w:r w:rsidDel="00000000" w:rsidR="00000000" w:rsidRPr="00000000">
        <w:rPr>
          <w:b w:val="1"/>
          <w:bCs w:val="1"/>
          <w:sz w:val="22"/>
          <w:szCs w:val="22"/>
          <w:rtl w:val="0"/>
        </w:rPr>
        <w:t xml:space="preserve">3.3.1 Software Stack Specification</w:t>
      </w:r>
    </w:p>
    <w:p w:rsidR="00000000" w:rsidDel="00000000" w:rsidP="00000000" w:rsidRDefault="00000000" w:rsidRPr="00000000" w14:paraId="00000352">
      <w:pPr>
        <w:pStyle w:val="Heading5"/>
        <w:keepNext w:val="0"/>
        <w:keepLines w:val="0"/>
        <w:spacing w:after="40" w:lineRule="auto"/>
        <w:rPr>
          <w:b w:val="1"/>
          <w:bCs w:val="1"/>
          <w:sz w:val="20"/>
          <w:szCs w:val="20"/>
          <w:u w:val="none"/>
        </w:rPr>
      </w:pPr>
      <w:bookmarkStart w:colFirst="0" w:colLast="0" w:name="_jyoab647j09a" w:id="49"/>
      <w:bookmarkEnd w:id="49"/>
      <w:r w:rsidDel="00000000" w:rsidR="00000000" w:rsidRPr="00000000">
        <w:rPr>
          <w:b w:val="1"/>
          <w:bCs w:val="1"/>
          <w:sz w:val="20"/>
          <w:szCs w:val="20"/>
          <w:u w:val="none"/>
          <w:rtl w:val="0"/>
        </w:rPr>
        <w:t xml:space="preserve">3.3.1.1 Requirements</w:t>
      </w:r>
    </w:p>
    <w:p w:rsidR="00000000" w:rsidDel="00000000" w:rsidP="00000000" w:rsidRDefault="00000000" w:rsidRPr="00000000" w14:paraId="00000353">
      <w:pPr>
        <w:spacing w:after="240" w:before="240" w:lineRule="auto"/>
        <w:rPr/>
      </w:pPr>
      <w:r w:rsidDel="00000000" w:rsidR="00000000" w:rsidRPr="00000000">
        <w:rPr>
          <w:rtl w:val="0"/>
        </w:rPr>
        <w:t xml:space="preserve">The software stack is required to satisfy the data security constraint established in Chapter 1: all system processing must be performed on-device, with no production data transmitted to external networks (W-04). It must additionally support deployment and configuration by plant engineers without requiring external specialists or specialist cloud infrastructure (W-03), and must decouple the computationally heavy computer vision inference loop from load cell polling and the user interface, so that sensing throughput is not constrained by HMI refresh timing (Section 3.2.1.4, D-05). These constraints directly shaped the selection of an entirely on-device, edge-deployed architecture described in Section 3.3.1.2.</w:t>
      </w:r>
    </w:p>
    <w:p w:rsidR="00000000" w:rsidDel="00000000" w:rsidP="00000000" w:rsidRDefault="00000000" w:rsidRPr="00000000" w14:paraId="00000354">
      <w:pPr>
        <w:pStyle w:val="Heading5"/>
        <w:keepNext w:val="0"/>
        <w:keepLines w:val="0"/>
        <w:spacing w:after="40" w:lineRule="auto"/>
        <w:rPr>
          <w:b w:val="1"/>
          <w:bCs w:val="1"/>
          <w:sz w:val="20"/>
          <w:szCs w:val="20"/>
          <w:u w:val="none"/>
        </w:rPr>
      </w:pPr>
      <w:bookmarkStart w:colFirst="0" w:colLast="0" w:name="_68plh2yfjzsh" w:id="50"/>
      <w:bookmarkEnd w:id="50"/>
      <w:r w:rsidDel="00000000" w:rsidR="00000000" w:rsidRPr="00000000">
        <w:rPr>
          <w:b w:val="1"/>
          <w:bCs w:val="1"/>
          <w:sz w:val="20"/>
          <w:szCs w:val="20"/>
          <w:u w:val="none"/>
          <w:rtl w:val="0"/>
        </w:rPr>
        <w:t xml:space="preserve">3.3.1.2 Iteration</w:t>
      </w:r>
    </w:p>
    <w:p w:rsidR="00000000" w:rsidDel="00000000" w:rsidP="00000000" w:rsidRDefault="00000000" w:rsidRPr="00000000" w14:paraId="00000355">
      <w:pPr>
        <w:spacing w:after="240" w:before="240" w:lineRule="auto"/>
        <w:rPr>
          <w:color w:val="ff0000"/>
        </w:rPr>
      </w:pPr>
      <w:r w:rsidDel="00000000" w:rsidR="00000000" w:rsidRPr="00000000">
        <w:rPr>
          <w:color w:val="ff0000"/>
          <w:rtl w:val="0"/>
        </w:rPr>
        <w:t xml:space="preserve">[CONTENT NEEDED — no source material in current draft: the current draft presents the software stack specification (Jetson AGX Orin, Python core logic, asynchronous IPC, FastAPI backend) as a single finalised architecture, with no account of intermediate iterations, alternatives considered, or the reasoning by which the current stack was arrived at. Unlike the load cell platform (Section 3.2.2) or the bin boundary representation (Section 3.2.1.7), no iteration narrative for the software stack exists elsewhere in the draft to reorganise here.]</w:t>
      </w:r>
    </w:p>
    <w:p w:rsidR="00000000" w:rsidDel="00000000" w:rsidP="00000000" w:rsidRDefault="00000000" w:rsidRPr="00000000" w14:paraId="00000356">
      <w:pPr>
        <w:pStyle w:val="Heading5"/>
        <w:keepNext w:val="0"/>
        <w:keepLines w:val="0"/>
        <w:spacing w:after="40" w:lineRule="auto"/>
        <w:rPr>
          <w:b w:val="1"/>
          <w:bCs w:val="1"/>
          <w:sz w:val="20"/>
          <w:szCs w:val="20"/>
          <w:u w:val="none"/>
        </w:rPr>
      </w:pPr>
      <w:bookmarkStart w:colFirst="0" w:colLast="0" w:name="_yalipifwq9fu" w:id="51"/>
      <w:bookmarkEnd w:id="51"/>
      <w:r w:rsidDel="00000000" w:rsidR="00000000" w:rsidRPr="00000000">
        <w:rPr>
          <w:b w:val="1"/>
          <w:bCs w:val="1"/>
          <w:sz w:val="20"/>
          <w:szCs w:val="20"/>
          <w:u w:val="none"/>
          <w:rtl w:val="0"/>
        </w:rPr>
        <w:t xml:space="preserve">3.3.1.3 Design Validation</w:t>
      </w:r>
    </w:p>
    <w:p w:rsidR="00000000" w:rsidDel="00000000" w:rsidP="00000000" w:rsidRDefault="00000000" w:rsidRPr="00000000" w14:paraId="00000357">
      <w:pPr>
        <w:spacing w:after="240" w:before="240" w:lineRule="auto"/>
        <w:rPr/>
      </w:pPr>
      <w:r w:rsidDel="00000000" w:rsidR="00000000" w:rsidRPr="00000000">
        <w:rPr>
          <w:rtl w:val="0"/>
        </w:rPr>
        <w:t xml:space="preserve">The software architecture is designed for secure, low-latency, edge-deployed execution. All processing runs entirely on-device via an NVIDIA Jetson AGX Orin, ensuring strict compliance with production data sensitivity requirements by eliminating the need for external network transmission (W-04). The core logic is built in Python, utilizing asynchronous Inter-Process Communication (IPC) to decouple the heavy computer vision inference loop from the load cell polling and user interface web server. A FastAPI backend serves the frontend application locally, ensuring the system can be deployed and configured by plant engineers without requiring specialist cloud infrastructure (W-03).</w:t>
      </w:r>
    </w:p>
    <w:p w:rsidR="00000000" w:rsidDel="00000000" w:rsidP="00000000" w:rsidRDefault="00000000" w:rsidRPr="00000000" w14:paraId="00000358">
      <w:pPr>
        <w:spacing w:after="200" w:lineRule="auto"/>
        <w:rPr>
          <w:color w:val="9900ff"/>
        </w:rPr>
      </w:pPr>
      <w:r w:rsidDel="00000000" w:rsidR="00000000" w:rsidRPr="00000000">
        <w:rPr/>
        <w:drawing>
          <wp:inline distB="114300" distT="114300" distL="114300" distR="114300">
            <wp:extent cx="5943600" cy="2428309"/>
            <wp:effectExtent b="0" l="0" r="0" t="0"/>
            <wp:docPr id="8" name="image16.png"/>
            <a:graphic>
              <a:graphicData uri="http://schemas.openxmlformats.org/drawingml/2006/picture">
                <pic:pic>
                  <pic:nvPicPr>
                    <pic:cNvPr id="0" name="image16.png"/>
                    <pic:cNvPicPr preferRelativeResize="0"/>
                  </pic:nvPicPr>
                  <pic:blipFill>
                    <a:blip r:embed="rId22"/>
                    <a:srcRect b="5901" l="0" r="0" t="19100"/>
                    <a:stretch>
                      <a:fillRect/>
                    </a:stretch>
                  </pic:blipFill>
                  <pic:spPr>
                    <a:xfrm>
                      <a:off x="0" y="0"/>
                      <a:ext cx="5943600" cy="2428309"/>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spacing w:after="240" w:before="240" w:lineRule="auto"/>
        <w:jc w:val="center"/>
        <w:rPr/>
      </w:pPr>
      <w:r w:rsidDel="00000000" w:rsidR="00000000" w:rsidRPr="00000000">
        <w:rPr>
          <w:rtl w:val="0"/>
        </w:rPr>
        <w:t xml:space="preserve">Figure 3.3.1.3.1: Software architecture between sensor pipelines and FastAPI web server. </w:t>
      </w:r>
    </w:p>
    <w:p w:rsidR="00000000" w:rsidDel="00000000" w:rsidP="00000000" w:rsidRDefault="00000000" w:rsidRPr="00000000" w14:paraId="0000035A">
      <w:pPr>
        <w:pStyle w:val="Heading4"/>
        <w:keepNext w:val="0"/>
        <w:keepLines w:val="0"/>
        <w:spacing w:after="40" w:before="240" w:lineRule="auto"/>
        <w:rPr>
          <w:b w:val="1"/>
          <w:bCs w:val="1"/>
          <w:sz w:val="22"/>
          <w:szCs w:val="22"/>
        </w:rPr>
      </w:pPr>
      <w:bookmarkStart w:colFirst="0" w:colLast="0" w:name="_ftft7c3l1lof" w:id="52"/>
      <w:bookmarkEnd w:id="52"/>
      <w:r w:rsidDel="00000000" w:rsidR="00000000" w:rsidRPr="00000000">
        <w:rPr>
          <w:b w:val="1"/>
          <w:bCs w:val="1"/>
          <w:sz w:val="22"/>
          <w:szCs w:val="22"/>
          <w:rtl w:val="0"/>
        </w:rPr>
        <w:t xml:space="preserve">3.3.2 Frontend HMI</w:t>
      </w:r>
    </w:p>
    <w:p w:rsidR="00000000" w:rsidDel="00000000" w:rsidP="00000000" w:rsidRDefault="00000000" w:rsidRPr="00000000" w14:paraId="0000035B">
      <w:pPr>
        <w:pStyle w:val="Heading5"/>
        <w:keepNext w:val="0"/>
        <w:keepLines w:val="0"/>
        <w:spacing w:after="40" w:lineRule="auto"/>
        <w:rPr>
          <w:b w:val="1"/>
          <w:bCs w:val="1"/>
          <w:sz w:val="20"/>
          <w:szCs w:val="20"/>
          <w:u w:val="none"/>
        </w:rPr>
      </w:pPr>
      <w:bookmarkStart w:colFirst="0" w:colLast="0" w:name="_wvy9cgs3y1hh" w:id="53"/>
      <w:bookmarkEnd w:id="53"/>
      <w:r w:rsidDel="00000000" w:rsidR="00000000" w:rsidRPr="00000000">
        <w:rPr>
          <w:b w:val="1"/>
          <w:bCs w:val="1"/>
          <w:sz w:val="20"/>
          <w:szCs w:val="20"/>
          <w:u w:val="none"/>
          <w:rtl w:val="0"/>
        </w:rPr>
        <w:t xml:space="preserve">3.3.2.1 Requirements</w:t>
      </w:r>
    </w:p>
    <w:p w:rsidR="00000000" w:rsidDel="00000000" w:rsidP="00000000" w:rsidRDefault="00000000" w:rsidRPr="00000000" w14:paraId="0000035C">
      <w:pPr>
        <w:spacing w:after="240" w:before="240" w:lineRule="auto"/>
        <w:rPr/>
      </w:pPr>
      <w:r w:rsidDel="00000000" w:rsidR="00000000" w:rsidRPr="00000000">
        <w:rPr>
          <w:rtl w:val="0"/>
        </w:rPr>
        <w:t xml:space="preserve">The frontend HMI is required to render a spatial layout mirroring the physical grid so that bin assignments read intuitively to the operator (FR-07), and to guide the operator through the required workflow without adding manual handling steps (D-04). Upon error detection, the interface must transition to an active alert state within sub-second latency (D-05) and deliver corrective guidance that is specific to the location and nature of the error (D-06), requiring the operator to physically correct the mistake before the kitting sequence is permitted to advance.</w:t>
      </w:r>
    </w:p>
    <w:p w:rsidR="00000000" w:rsidDel="00000000" w:rsidP="00000000" w:rsidRDefault="00000000" w:rsidRPr="00000000" w14:paraId="0000035D">
      <w:pPr>
        <w:pStyle w:val="Heading5"/>
        <w:keepNext w:val="0"/>
        <w:keepLines w:val="0"/>
        <w:spacing w:after="40" w:lineRule="auto"/>
        <w:rPr>
          <w:b w:val="1"/>
          <w:bCs w:val="1"/>
          <w:sz w:val="20"/>
          <w:szCs w:val="20"/>
          <w:u w:val="none"/>
        </w:rPr>
      </w:pPr>
      <w:bookmarkStart w:colFirst="0" w:colLast="0" w:name="_hg1w3nn4dmh1" w:id="54"/>
      <w:bookmarkEnd w:id="54"/>
      <w:r w:rsidDel="00000000" w:rsidR="00000000" w:rsidRPr="00000000">
        <w:rPr>
          <w:b w:val="1"/>
          <w:bCs w:val="1"/>
          <w:sz w:val="20"/>
          <w:szCs w:val="20"/>
          <w:u w:val="none"/>
          <w:rtl w:val="0"/>
        </w:rPr>
        <w:t xml:space="preserve">3.3.2.2 Iteration</w:t>
      </w:r>
    </w:p>
    <w:p w:rsidR="00000000" w:rsidDel="00000000" w:rsidP="00000000" w:rsidRDefault="00000000" w:rsidRPr="00000000" w14:paraId="0000035E">
      <w:pPr>
        <w:spacing w:after="240" w:before="240" w:lineRule="auto"/>
        <w:rPr/>
      </w:pPr>
      <w:r w:rsidDel="00000000" w:rsidR="00000000" w:rsidRPr="00000000">
        <w:rPr>
          <w:rtl w:val="0"/>
        </w:rPr>
        <w:t xml:space="preserve">The frontend subsystem operates on a touchscreen monitor at the kitting workstation, synthesizing computer vision coordinates and active order metadata. To establish an intuitive baseline, it renders a 2D spatial layout mirroring the physical grid (FR-07).</w:t>
      </w:r>
    </w:p>
    <w:p w:rsidR="00000000" w:rsidDel="00000000" w:rsidP="00000000" w:rsidRDefault="00000000" w:rsidRPr="00000000" w14:paraId="0000035F">
      <w:pPr>
        <w:spacing w:after="240" w:before="240" w:lineRule="auto"/>
        <w:rPr/>
      </w:pPr>
      <w:r w:rsidDel="00000000" w:rsidR="00000000" w:rsidRPr="00000000">
        <w:rPr>
          <w:rtl w:val="0"/>
        </w:rPr>
        <w:t xml:space="preserve">To guide the operator through the required workflow without adding manual handling steps (D-04), the UI non-invasively highlights only the current target bin, indicating that the operator must pack sufficient items from this bin before moving on. During correct picking sequences, when the operator's hand enters the active bin, the UI renders a green outline over the bin to confirm a valid interaction. Once the required quantity for that component is completely fulfilled, the bin indicator turns fully green.</w:t>
      </w:r>
    </w:p>
    <w:p w:rsidR="00000000" w:rsidDel="00000000" w:rsidP="00000000" w:rsidRDefault="00000000" w:rsidRPr="00000000" w14:paraId="00000360">
      <w:pPr>
        <w:spacing w:after="240" w:before="240" w:lineRule="auto"/>
        <w:rPr/>
      </w:pPr>
      <w:r w:rsidDel="00000000" w:rsidR="00000000" w:rsidRPr="00000000">
        <w:rPr>
          <w:rtl w:val="0"/>
        </w:rPr>
        <w:t xml:space="preserve">Upon an error trigger, the interface dynamically transitions to an active alert state within sub-second latency (D-05). If an operator reaches into an unprescribed bin, a red cross is rendered directly over the erroneous bin on the UI, delivering immediate, location-specific corrective guidance (D-06). The interface requires the operator to physically correct the mistake before the system allows the kitting sequence to advance.</w:t>
      </w:r>
    </w:p>
    <w:p w:rsidR="00000000" w:rsidDel="00000000" w:rsidP="00000000" w:rsidRDefault="00000000" w:rsidRPr="00000000" w14:paraId="00000361">
      <w:pPr>
        <w:spacing w:after="240" w:before="240" w:lineRule="auto"/>
        <w:jc w:val="center"/>
        <w:rPr/>
      </w:pPr>
      <w:r w:rsidDel="00000000" w:rsidR="00000000" w:rsidRPr="00000000">
        <w:rPr/>
        <w:drawing>
          <wp:inline distB="114300" distT="114300" distL="114300" distR="114300">
            <wp:extent cx="5943600" cy="3348228"/>
            <wp:effectExtent b="0" l="0" r="0" t="0"/>
            <wp:docPr id="18"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943600" cy="3348228"/>
                    </a:xfrm>
                    <a:prstGeom prst="rect"/>
                    <a:ln/>
                  </pic:spPr>
                </pic:pic>
              </a:graphicData>
            </a:graphic>
          </wp:inline>
        </w:drawing>
      </w:r>
      <w:r w:rsidDel="00000000" w:rsidR="00000000" w:rsidRPr="00000000">
        <w:rPr>
          <w:rtl w:val="0"/>
        </w:rPr>
        <w:br w:type="textWrapping"/>
        <w:t xml:space="preserve"> Figure 3.3.2.2.1: Red outline — hand over the wrong bin.</w:t>
      </w:r>
    </w:p>
    <w:p w:rsidR="00000000" w:rsidDel="00000000" w:rsidP="00000000" w:rsidRDefault="00000000" w:rsidRPr="00000000" w14:paraId="00000362">
      <w:pPr>
        <w:spacing w:after="240" w:before="240" w:lineRule="auto"/>
        <w:jc w:val="center"/>
        <w:rPr/>
      </w:pPr>
      <w:r w:rsidDel="00000000" w:rsidR="00000000" w:rsidRPr="00000000">
        <w:rPr/>
        <w:drawing>
          <wp:inline distB="114300" distT="114300" distL="114300" distR="114300">
            <wp:extent cx="5943600" cy="3338322"/>
            <wp:effectExtent b="0" l="0" r="0" t="0"/>
            <wp:docPr id="15"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3.3.2.2.2: Green outline — hand in the correct bin.</w:t>
      </w:r>
    </w:p>
    <w:p w:rsidR="00000000" w:rsidDel="00000000" w:rsidP="00000000" w:rsidRDefault="00000000" w:rsidRPr="00000000" w14:paraId="00000363">
      <w:pPr>
        <w:spacing w:after="240" w:before="240" w:lineRule="auto"/>
        <w:jc w:val="center"/>
        <w:rPr/>
      </w:pPr>
      <w:r w:rsidDel="00000000" w:rsidR="00000000" w:rsidRPr="00000000">
        <w:rPr/>
        <w:drawing>
          <wp:inline distB="114300" distT="114300" distL="114300" distR="114300">
            <wp:extent cx="5943600" cy="3338322"/>
            <wp:effectExtent b="0" l="0" r="0" t="0"/>
            <wp:docPr id="5"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3.3.2.2.3: Target state — only the working bin is active.</w:t>
      </w:r>
    </w:p>
    <w:p w:rsidR="00000000" w:rsidDel="00000000" w:rsidP="00000000" w:rsidRDefault="00000000" w:rsidRPr="00000000" w14:paraId="00000364">
      <w:pPr>
        <w:spacing w:after="240" w:before="240" w:lineRule="auto"/>
        <w:rPr>
          <w:color w:val="ff0000"/>
        </w:rPr>
      </w:pPr>
      <w:r w:rsidDel="00000000" w:rsidR="00000000" w:rsidRPr="00000000">
        <w:rPr>
          <w:rtl w:val="0"/>
        </w:rPr>
        <w:t xml:space="preserve">This subsection should additionally incorporate the HMI iteration driven by usability findings — the six gaps (G1–G6) identified in operator feedback and the corresponding changes mapped in old Table 5.4 — carried forward from the old draft's Section 5.2. </w:t>
      </w:r>
      <w:r w:rsidDel="00000000" w:rsidR="00000000" w:rsidRPr="00000000">
        <w:rPr>
          <w:color w:val="ff0000"/>
          <w:rtl w:val="0"/>
        </w:rPr>
        <w:t xml:space="preserve">[CONTENT NEEDED — placement note: the ground-rules content summary assigns this material to 3.3.2.2, but its natural chronological position is </w:t>
      </w:r>
      <w:r w:rsidDel="00000000" w:rsidR="00000000" w:rsidRPr="00000000">
        <w:rPr>
          <w:i w:val="1"/>
          <w:iCs w:val="1"/>
          <w:color w:val="ff0000"/>
          <w:rtl w:val="0"/>
        </w:rPr>
        <w:t xml:space="preserve">after</w:t>
      </w:r>
      <w:r w:rsidDel="00000000" w:rsidR="00000000" w:rsidRPr="00000000">
        <w:rPr>
          <w:color w:val="ff0000"/>
          <w:rtl w:val="0"/>
        </w:rPr>
        <w:t xml:space="preserve"> the developer testing and user testing phases described in Chapters 4 and 5, since it responds to usability gaps only surfaced during user testing (old Section 5.1.2). Reproducing it here would require presenting the iteration before the findings that motivated it are introduced. Recommend either: (a) leaving a forward cross-reference here and fully placing the G1–G6 iteration content in Chapter 5 (old Section 5.2's original location), or (b) confirming you want it duplicated/summarised in both places. Flagging for your decision rather than silently choosing.]</w:t>
      </w:r>
    </w:p>
    <w:p w:rsidR="00000000" w:rsidDel="00000000" w:rsidP="00000000" w:rsidRDefault="00000000" w:rsidRPr="00000000" w14:paraId="00000365">
      <w:pPr>
        <w:pStyle w:val="Heading5"/>
        <w:keepNext w:val="0"/>
        <w:keepLines w:val="0"/>
        <w:spacing w:after="40" w:lineRule="auto"/>
        <w:rPr>
          <w:b w:val="1"/>
          <w:bCs w:val="1"/>
          <w:sz w:val="20"/>
          <w:szCs w:val="20"/>
          <w:u w:val="none"/>
        </w:rPr>
      </w:pPr>
      <w:bookmarkStart w:colFirst="0" w:colLast="0" w:name="_9tl2ul41s5ar" w:id="55"/>
      <w:bookmarkEnd w:id="55"/>
      <w:r w:rsidDel="00000000" w:rsidR="00000000" w:rsidRPr="00000000">
        <w:rPr>
          <w:b w:val="1"/>
          <w:bCs w:val="1"/>
          <w:sz w:val="20"/>
          <w:szCs w:val="20"/>
          <w:u w:val="none"/>
          <w:rtl w:val="0"/>
        </w:rPr>
        <w:t xml:space="preserve">3.3.2.3 Design Validation</w:t>
      </w:r>
    </w:p>
    <w:p w:rsidR="00000000" w:rsidDel="00000000" w:rsidP="00000000" w:rsidRDefault="00000000" w:rsidRPr="00000000" w14:paraId="00000366">
      <w:pPr>
        <w:spacing w:after="240" w:before="240" w:lineRule="auto"/>
        <w:rPr>
          <w:color w:val="ff0000"/>
        </w:rPr>
      </w:pPr>
      <w:r w:rsidDel="00000000" w:rsidR="00000000" w:rsidRPr="00000000">
        <w:rPr>
          <w:color w:val="ff0000"/>
          <w:rtl w:val="0"/>
        </w:rPr>
        <w:t xml:space="preserve">[CONTENT NEEDED — no source material in current draft: the current draft does not present a separate validation discussion for the frontend HMI at the design stage distinct from the iteration narrative in 3.3.2.2 above. The closest related validation evidence — operator usability ratings (R1–R9) and the TE Connectivity stakeholder's qualitative feedback on the UI — is user-facing, post-integration testing data, and is assigned in the chapter mapping to Chapter 5 (Sections 5.3/5.4) rather than to this design-validation subsection.]</w:t>
      </w:r>
    </w:p>
    <w:p w:rsidR="00000000" w:rsidDel="00000000" w:rsidP="00000000" w:rsidRDefault="00000000" w:rsidRPr="00000000" w14:paraId="00000367">
      <w:pPr>
        <w:pStyle w:val="Heading4"/>
        <w:keepNext w:val="0"/>
        <w:keepLines w:val="0"/>
        <w:spacing w:after="40" w:before="240" w:lineRule="auto"/>
        <w:rPr>
          <w:b w:val="1"/>
          <w:bCs w:val="1"/>
          <w:sz w:val="22"/>
          <w:szCs w:val="22"/>
        </w:rPr>
      </w:pPr>
      <w:bookmarkStart w:colFirst="0" w:colLast="0" w:name="_2j3znu4rxqm2" w:id="56"/>
      <w:bookmarkEnd w:id="56"/>
      <w:r w:rsidDel="00000000" w:rsidR="00000000" w:rsidRPr="00000000">
        <w:rPr>
          <w:b w:val="1"/>
          <w:bCs w:val="1"/>
          <w:sz w:val="22"/>
          <w:szCs w:val="22"/>
          <w:rtl w:val="0"/>
        </w:rPr>
        <w:t xml:space="preserve">3.3.3 Backend Processing Engine</w:t>
      </w:r>
    </w:p>
    <w:p w:rsidR="00000000" w:rsidDel="00000000" w:rsidP="00000000" w:rsidRDefault="00000000" w:rsidRPr="00000000" w14:paraId="00000368">
      <w:pPr>
        <w:pStyle w:val="Heading5"/>
        <w:keepNext w:val="0"/>
        <w:keepLines w:val="0"/>
        <w:spacing w:after="40" w:lineRule="auto"/>
        <w:rPr>
          <w:b w:val="1"/>
          <w:bCs w:val="1"/>
          <w:sz w:val="20"/>
          <w:szCs w:val="20"/>
          <w:u w:val="none"/>
        </w:rPr>
      </w:pPr>
      <w:bookmarkStart w:colFirst="0" w:colLast="0" w:name="_iohok69xisth" w:id="57"/>
      <w:bookmarkEnd w:id="57"/>
      <w:r w:rsidDel="00000000" w:rsidR="00000000" w:rsidRPr="00000000">
        <w:rPr>
          <w:b w:val="1"/>
          <w:bCs w:val="1"/>
          <w:sz w:val="20"/>
          <w:szCs w:val="20"/>
          <w:u w:val="none"/>
          <w:rtl w:val="0"/>
        </w:rPr>
        <w:t xml:space="preserve">3.3.3.1 Requirements</w:t>
      </w:r>
    </w:p>
    <w:p w:rsidR="00000000" w:rsidDel="00000000" w:rsidP="00000000" w:rsidRDefault="00000000" w:rsidRPr="00000000" w14:paraId="00000369">
      <w:pPr>
        <w:spacing w:after="240" w:before="240" w:lineRule="auto"/>
        <w:rPr/>
      </w:pPr>
      <w:r w:rsidDel="00000000" w:rsidR="00000000" w:rsidRPr="00000000">
        <w:rPr>
          <w:rtl w:val="0"/>
        </w:rPr>
        <w:t xml:space="preserve">The backend processing engine is required to ingest hand-landmark tracking and load-cell mass data in real time and evaluate them against pre-loaded order rules (FR-07). It must enforce detection of wrong-part placement (D-02) and missing-part conditions at kit completion (D-03), derive quantity counts from passive weight changes so that new component types can be onboarded by updating configuration data alone, without requiring model retraining (D-07). It must additionally expose logged state transitions and fault events so that supervisory personnel can obtain visibility of kitting status without physically attending the workstation (D-09), and its architecture must support extension to multiple concurrent workstations without fundamental redesign (D-10).</w:t>
      </w:r>
    </w:p>
    <w:p w:rsidR="00000000" w:rsidDel="00000000" w:rsidP="00000000" w:rsidRDefault="00000000" w:rsidRPr="00000000" w14:paraId="0000036A">
      <w:pPr>
        <w:pStyle w:val="Heading5"/>
        <w:keepNext w:val="0"/>
        <w:keepLines w:val="0"/>
        <w:spacing w:after="40" w:lineRule="auto"/>
        <w:rPr>
          <w:b w:val="1"/>
          <w:bCs w:val="1"/>
          <w:sz w:val="20"/>
          <w:szCs w:val="20"/>
          <w:u w:val="none"/>
        </w:rPr>
      </w:pPr>
      <w:bookmarkStart w:colFirst="0" w:colLast="0" w:name="_nlko1vho5567" w:id="58"/>
      <w:bookmarkEnd w:id="58"/>
      <w:r w:rsidDel="00000000" w:rsidR="00000000" w:rsidRPr="00000000">
        <w:rPr>
          <w:b w:val="1"/>
          <w:bCs w:val="1"/>
          <w:sz w:val="20"/>
          <w:szCs w:val="20"/>
          <w:u w:val="none"/>
          <w:rtl w:val="0"/>
        </w:rPr>
        <w:t xml:space="preserve">3.3.3.2 Iteration</w:t>
      </w:r>
    </w:p>
    <w:p w:rsidR="00000000" w:rsidDel="00000000" w:rsidP="00000000" w:rsidRDefault="00000000" w:rsidRPr="00000000" w14:paraId="0000036B">
      <w:pPr>
        <w:spacing w:after="240" w:before="240" w:lineRule="auto"/>
        <w:rPr>
          <w:color w:val="ff0000"/>
        </w:rPr>
      </w:pPr>
      <w:r w:rsidDel="00000000" w:rsidR="00000000" w:rsidRPr="00000000">
        <w:rPr>
          <w:color w:val="ff0000"/>
          <w:rtl w:val="0"/>
        </w:rPr>
        <w:t xml:space="preserve">[CONTENT NEEDED — no source material in current draft: as with the software stack specification (Section 3.3.1.2), the current draft presents the backend processing engine's finite state machine as a single finalised design, with no account of intermediate iterations or alternative approaches considered prior to arriving at the sequential single-bin FSM architecture described in Section 3.3.3.3. No iteration narrative exists elsewhere in the draft to reorganise here.]</w:t>
      </w:r>
    </w:p>
    <w:p w:rsidR="00000000" w:rsidDel="00000000" w:rsidP="00000000" w:rsidRDefault="00000000" w:rsidRPr="00000000" w14:paraId="0000036C">
      <w:pPr>
        <w:pStyle w:val="Heading5"/>
        <w:keepNext w:val="0"/>
        <w:keepLines w:val="0"/>
        <w:spacing w:after="40" w:lineRule="auto"/>
        <w:rPr>
          <w:b w:val="1"/>
          <w:bCs w:val="1"/>
          <w:sz w:val="20"/>
          <w:szCs w:val="20"/>
          <w:u w:val="none"/>
        </w:rPr>
      </w:pPr>
      <w:bookmarkStart w:colFirst="0" w:colLast="0" w:name="_a195lvnlzc4u" w:id="59"/>
      <w:bookmarkEnd w:id="59"/>
      <w:r w:rsidDel="00000000" w:rsidR="00000000" w:rsidRPr="00000000">
        <w:rPr>
          <w:b w:val="1"/>
          <w:bCs w:val="1"/>
          <w:sz w:val="20"/>
          <w:szCs w:val="20"/>
          <w:u w:val="none"/>
          <w:rtl w:val="0"/>
        </w:rPr>
        <w:t xml:space="preserve">3.3.3.3 Design Validation</w:t>
      </w:r>
    </w:p>
    <w:p w:rsidR="00000000" w:rsidDel="00000000" w:rsidP="00000000" w:rsidRDefault="00000000" w:rsidRPr="00000000" w14:paraId="0000036D">
      <w:pPr>
        <w:spacing w:after="240" w:before="240" w:lineRule="auto"/>
        <w:rPr/>
      </w:pPr>
      <w:r w:rsidDel="00000000" w:rsidR="00000000" w:rsidRPr="00000000">
        <w:rPr>
          <w:rtl w:val="0"/>
        </w:rPr>
        <w:t xml:space="preserve">Operating as an asynchronous background service, the backend ingests 30 FPS hand-landmark tracking and continuous load-cell mass data into an in-memory state repository. The core decision logic is governed by a deterministic Finite State Machine (FSM) that evaluates these incoming sensor streams against pre-loaded order rules.</w:t>
      </w:r>
    </w:p>
    <w:p w:rsidR="00000000" w:rsidDel="00000000" w:rsidP="00000000" w:rsidRDefault="00000000" w:rsidRPr="00000000" w14:paraId="0000036E">
      <w:pPr>
        <w:spacing w:after="240" w:before="240" w:lineRule="auto"/>
        <w:rPr/>
      </w:pPr>
      <w:r w:rsidDel="00000000" w:rsidR="00000000" w:rsidRPr="00000000">
        <w:rPr>
          <w:rtl w:val="0"/>
        </w:rPr>
        <w:t xml:space="preserve">Crucially, the FSM enforces a sequential single-bin kitting workflow. It requires the operator to fulfil one specific component type at a time, keeping only one bin "active" in the system state. As the operator picks items, the FSM evaluates signed mass deltas from the load cells against the component's unit weight to track the quantity picked (D-04). Once the target count is reached, the FSM marks the component as complete and sequentially activates the next bin in the order.</w:t>
      </w:r>
    </w:p>
    <w:p w:rsidR="00000000" w:rsidDel="00000000" w:rsidP="00000000" w:rsidRDefault="00000000" w:rsidRPr="00000000" w14:paraId="0000036F">
      <w:pPr>
        <w:spacing w:after="240" w:before="240" w:lineRule="auto"/>
        <w:rPr/>
      </w:pPr>
      <w:r w:rsidDel="00000000" w:rsidR="00000000" w:rsidRPr="00000000">
        <w:rPr>
          <w:rtl w:val="0"/>
        </w:rPr>
        <w:t xml:space="preserve">The FSM continuously tracks this progression and actively flags fault states. If an operator accesses any unprescribed bin while an active bin is still incomplete, the FSM immediately triggers a Wrong-Bin or Out-of-Sequence state (D-01, D-02). Upon order completion, the FSM verifies that all required SKU quantities across all sequence steps have been satisfied before authorizing kit sign-off, ensuring strict missing-part detection (D-03). Because the architecture derives pick counts directly from passive weight changes, new component types are onboarded seamlessly by simply updating the configuration database with the new SKU identity and unit mass (D-07).</w:t>
      </w:r>
    </w:p>
    <w:p w:rsidR="00000000" w:rsidDel="00000000" w:rsidP="00000000" w:rsidRDefault="00000000" w:rsidRPr="00000000" w14:paraId="00000370">
      <w:pPr>
        <w:spacing w:after="240" w:before="240" w:lineRule="auto"/>
        <w:rPr/>
      </w:pPr>
      <w:r w:rsidDel="00000000" w:rsidR="00000000" w:rsidRPr="00000000">
        <w:rPr>
          <w:rtl w:val="0"/>
        </w:rPr>
        <w:t xml:space="preserve">Furthermore, because the backend continuously logs these FSM state transitions and fault triggers, the data can be queried over the local network to provide real-time dashboard visibility to supervisory personnel without requiring them to physically attend the workstation (D-09).</w:t>
      </w:r>
    </w:p>
    <w:p w:rsidR="00000000" w:rsidDel="00000000" w:rsidP="00000000" w:rsidRDefault="00000000" w:rsidRPr="00000000" w14:paraId="00000371">
      <w:pPr>
        <w:pStyle w:val="Heading3"/>
        <w:keepNext w:val="0"/>
        <w:keepLines w:val="0"/>
        <w:spacing w:before="280" w:lineRule="auto"/>
        <w:rPr>
          <w:sz w:val="26"/>
          <w:szCs w:val="26"/>
        </w:rPr>
      </w:pPr>
      <w:bookmarkStart w:colFirst="0" w:colLast="0" w:name="_6eq15bk5nqz9" w:id="60"/>
      <w:bookmarkEnd w:id="60"/>
      <w:r w:rsidDel="00000000" w:rsidR="00000000" w:rsidRPr="00000000">
        <w:rPr>
          <w:sz w:val="26"/>
          <w:szCs w:val="26"/>
          <w:rtl w:val="0"/>
        </w:rPr>
        <w:t xml:space="preserve">3.4 System Integration</w:t>
      </w:r>
    </w:p>
    <w:p w:rsidR="00000000" w:rsidDel="00000000" w:rsidP="00000000" w:rsidRDefault="00000000" w:rsidRPr="00000000" w14:paraId="00000372">
      <w:pPr>
        <w:pStyle w:val="Heading4"/>
        <w:keepNext w:val="0"/>
        <w:keepLines w:val="0"/>
        <w:spacing w:after="40" w:before="240" w:lineRule="auto"/>
        <w:rPr>
          <w:b w:val="1"/>
          <w:bCs w:val="1"/>
          <w:sz w:val="22"/>
          <w:szCs w:val="22"/>
        </w:rPr>
      </w:pPr>
      <w:bookmarkStart w:colFirst="0" w:colLast="0" w:name="_95izv44kruon" w:id="61"/>
      <w:bookmarkEnd w:id="61"/>
      <w:r w:rsidDel="00000000" w:rsidR="00000000" w:rsidRPr="00000000">
        <w:rPr>
          <w:b w:val="1"/>
          <w:bCs w:val="1"/>
          <w:sz w:val="22"/>
          <w:szCs w:val="22"/>
          <w:rtl w:val="0"/>
        </w:rPr>
        <w:t xml:space="preserve">3.4.1 Requirements</w:t>
      </w:r>
    </w:p>
    <w:p w:rsidR="00000000" w:rsidDel="00000000" w:rsidP="00000000" w:rsidRDefault="00000000" w:rsidRPr="00000000" w14:paraId="00000373">
      <w:pPr>
        <w:spacing w:after="240" w:before="240" w:lineRule="auto"/>
        <w:rPr/>
      </w:pPr>
      <w:r w:rsidDel="00000000" w:rsidR="00000000" w:rsidRPr="00000000">
        <w:rPr>
          <w:rtl w:val="0"/>
        </w:rPr>
        <w:t xml:space="preserve">System integration is required to bring the independently prototyped computer vision, load cell, and HMI subsystems (Sections 3.2–3.3) together into a unified real-time pipeline, following the system architecture established in Chapter 2. The integrated pipeline must maintain the frame-rate performance of the sensing subsystems independently of HMI refresh timing, so that neither computer vision inference nor load cell polling is bottlenecked by interface rendering (D-05, W-01). This requirement directly motivated the decoupled orchestration architecture described in Section 3.4.2.</w:t>
      </w:r>
    </w:p>
    <w:p w:rsidR="00000000" w:rsidDel="00000000" w:rsidP="00000000" w:rsidRDefault="00000000" w:rsidRPr="00000000" w14:paraId="00000374">
      <w:pPr>
        <w:pStyle w:val="Heading4"/>
        <w:keepNext w:val="0"/>
        <w:keepLines w:val="0"/>
        <w:spacing w:after="40" w:before="240" w:lineRule="auto"/>
        <w:rPr>
          <w:b w:val="1"/>
          <w:bCs w:val="1"/>
          <w:sz w:val="22"/>
          <w:szCs w:val="22"/>
        </w:rPr>
      </w:pPr>
      <w:bookmarkStart w:colFirst="0" w:colLast="0" w:name="_qqo82q5rv8vy" w:id="62"/>
      <w:bookmarkEnd w:id="62"/>
      <w:r w:rsidDel="00000000" w:rsidR="00000000" w:rsidRPr="00000000">
        <w:rPr>
          <w:b w:val="1"/>
          <w:bCs w:val="1"/>
          <w:sz w:val="22"/>
          <w:szCs w:val="22"/>
          <w:rtl w:val="0"/>
        </w:rPr>
        <w:t xml:space="preserve">3.4.2 Iteration</w:t>
      </w:r>
    </w:p>
    <w:p>
      <w:pPr>
        <w:spacing w:line="276" w:lineRule="auto" w:after="120"/>
      </w:pPr>
      <w:r>
        <w:rPr>
          <w:rFonts w:ascii="Calibri" w:hAnsi="Calibri"/>
          <w:sz w:val="22"/>
        </w:rPr>
        <w:t>The integration of the system directly follows the system architecture established in Chapter 2, merging the structural, electrical, and software components. Rather than undergoing multiple development iterations, the system integration was designed to meet all functional and non-functional requirements in its first version. This single-iteration success was enabled by pre-testing individual components and utilizing a decoupled, thread-safe software architecture. The physical setup of the integrated workstation features the overhead camera mount, the load-cell platform beneath the bins, and the operator-facing HMI dashboard, allowing for passive, real-time kitting validation.</w:t>
      </w:r>
    </w:p>
    <w:p>
      <w:pPr>
        <w:spacing w:line="276" w:lineRule="auto" w:after="120"/>
        <w:jc w:val="center"/>
      </w:pPr>
      <w:r>
        <w:rPr>
          <w:rFonts w:ascii="Calibri" w:hAnsi="Calibri"/>
          <w:b/>
          <w:color w:val="000000"/>
          <w:sz w:val="20"/>
        </w:rPr>
        <w:t>Figure 3.4.2.1: Fully integrated AEGIS workstation setup, transitioning from the CAD model to the physical prototype.</w:t>
      </w:r>
    </w:p>
    <w:p>
      <w:pPr>
        <w:spacing w:line="276" w:lineRule="auto" w:after="120"/>
      </w:pPr>
      <w:r>
        <w:rPr>
          <w:rFonts w:ascii="Calibri" w:hAnsi="Calibri"/>
          <w:sz w:val="22"/>
        </w:rPr>
        <w:t>To coordinate the hardware components, a unified electrical architecture was established. An NVIDIA Jetson AGX Orin serves as the central edge processor, hosting the pipeline. The overhead camera is connected directly to the Jetson via USB 3.0. The load-cell platforms beneath the bins are wired to HX711 24-bit ADCs, which communicate with an ESP32 microcontroller that streams weight data to the Jetson over USB Serial. Real-time audio alerts are supplied by a physical buzzer connected directly to the Jetson's GPIO pins, switched via an NPN transistor driver circuit. Figure 3.4.2.2 shows the wiring and signal pathways.</w:t>
      </w:r>
    </w:p>
    <w:p>
      <w:pPr>
        <w:spacing w:line="276" w:lineRule="auto" w:after="120"/>
        <w:jc w:val="center"/>
      </w:pPr>
      <w:r>
        <w:rPr>
          <w:rFonts w:ascii="Calibri" w:hAnsi="Calibri"/>
          <w:i/>
          <w:color w:val="595959"/>
          <w:sz w:val="20"/>
        </w:rPr>
        <w:t>[Figure 3.4.2.2 — Electrical Architecture Diagram: Wiring and signal pathways between Jetson AGX Orin, USB Camera, ESP32, HX711 ADCs, Load Cells, and GPIO-controlled Buzzer.]</w:t>
      </w:r>
    </w:p>
    <w:p>
      <w:pPr>
        <w:spacing w:line="276" w:lineRule="auto" w:after="120"/>
      </w:pPr>
      <w:r>
        <w:rPr>
          <w:rFonts w:ascii="Calibri" w:hAnsi="Calibri"/>
          <w:sz w:val="22"/>
        </w:rPr>
        <w:t>The software integration coordinates the real-time processing loop, executing a deterministic sequence of operations to verify manual kitting picks. The procedural logic proceeds as shown in the system flowchart in Figure 3.4.2.3. First, the camera frame is captured. The YOLOv8-OBB model identifies the active bin coordinates to define spatial geofences. The frame is then passed to the MediaPipe Hand Landmarker to detect hand keypoints. If a hand is present, the assignment engine evaluates its position relative to the geofences, applying the Occlusion Gate to correct for physical shelf-lip blockages. Concurrently, the load-cell thread reads weight changes from the ESP32. The sequential single-bin finite state machine (FSM) combines these inputs to validate the pick-and-place action. If a sequence or quantity fault is detected, the HMI updates its red banner and the GPIO line drives the buzzer. If the pick is valid, the counts are updated, and the HMI displays a green confirmation.</w:t>
      </w:r>
    </w:p>
    <w:p>
      <w:pPr>
        <w:spacing w:line="276" w:lineRule="auto" w:after="120"/>
        <w:jc w:val="center"/>
      </w:pPr>
      <w:r>
        <w:rPr>
          <w:rFonts w:ascii="Calibri" w:hAnsi="Calibri"/>
          <w:i/>
          <w:color w:val="595959"/>
          <w:sz w:val="20"/>
        </w:rPr>
        <w:t>[Figure 3.4.2.3 — System Integration Flowchart: Procedural logic of the real-time kitting verification loop, showing frame capture, hand detection, geofencing, occlusion filtering, weight delta polling, FSM state updates, and alert triggering.]</w:t>
      </w:r>
    </w:p>
    <w:p>
      <w:pPr>
        <w:spacing w:line="276" w:lineRule="auto" w:after="120"/>
      </w:pPr>
      <w:r>
        <w:rPr>
          <w:rFonts w:ascii="Calibri" w:hAnsi="Calibri"/>
          <w:sz w:val="22"/>
        </w:rPr>
        <w:t>The computer vision and load cell threads write to a shared PipelineState cache, while the FastAPI web server reads from it independently. This decoupling ensures that the sensing loop runs at full frame rate regardless of HMI refresh timing, as shown in the data flow diagram in Figure 3.4.2.4.</w:t>
      </w:r>
    </w:p>
    <w:p>
      <w:pPr>
        <w:spacing w:line="276" w:lineRule="auto" w:after="120"/>
        <w:jc w:val="center"/>
      </w:pPr>
      <w:r>
        <w:rPr>
          <w:rFonts w:ascii="Calibri" w:hAnsi="Calibri"/>
          <w:b/>
          <w:color w:val="000000"/>
          <w:sz w:val="20"/>
        </w:rPr>
        <w:t>Figure 3.4.2.4: Real-time processing loop data flow diagram.</w:t>
      </w:r>
    </w:p>
    <w:p w:rsidR="00000000" w:rsidDel="00000000" w:rsidP="00000000" w:rsidRDefault="00000000" w:rsidRPr="00000000" w14:paraId="0000037B">
      <w:pPr>
        <w:pStyle w:val="Heading4"/>
        <w:keepNext w:val="0"/>
        <w:keepLines w:val="0"/>
        <w:spacing w:after="40" w:before="240" w:lineRule="auto"/>
        <w:rPr>
          <w:b w:val="1"/>
          <w:bCs w:val="1"/>
          <w:sz w:val="22"/>
          <w:szCs w:val="22"/>
        </w:rPr>
      </w:pPr>
      <w:bookmarkStart w:colFirst="0" w:colLast="0" w:name="_dtikdcq20vhb" w:id="63"/>
      <w:bookmarkEnd w:id="63"/>
      <w:r w:rsidDel="00000000" w:rsidR="00000000" w:rsidRPr="00000000">
        <w:rPr>
          <w:b w:val="1"/>
          <w:bCs w:val="1"/>
          <w:sz w:val="22"/>
          <w:szCs w:val="22"/>
          <w:rtl w:val="0"/>
        </w:rPr>
        <w:t xml:space="preserve">3.4.3 Design Validation</w:t>
      </w:r>
    </w:p>
    <w:p w:rsidR="00000000" w:rsidDel="00000000" w:rsidP="00000000" w:rsidRDefault="00000000" w:rsidRPr="00000000" w14:paraId="0000037C">
      <w:pPr>
        <w:spacing w:after="240" w:before="240" w:lineRule="auto"/>
        <w:rPr>
          <w:color w:val="ff0000"/>
        </w:rPr>
      </w:pPr>
      <w:r>
        <w:t>Integration testing confirmed that the decoupled architecture successfully achieved full-frame-rate sensing independent of HMI refresh, maintaining an end-to-end latency below 80ms.</w:t>
      </w:r>
    </w:p>
    <w:p>
      <w:pPr>
        <w:spacing w:line="276" w:lineRule="auto" w:after="120"/>
      </w:pPr>
      <w:r>
        <w:rPr>
          <w:rFonts w:ascii="Calibri" w:hAnsi="Calibri"/>
          <w:sz w:val="22"/>
        </w:rPr>
        <w:t>To validate the decoupling performance of the system architecture, benchmarking was conducted under two test configurations: (1) running the CV thread alone (without HMI dashboard and load cell polling), and (2) running the CV thread alongside HMI dashboard and load cell polling (full load). The results in Table 3.4.3.1 demonstrate that the real-time processing loop (CV Thread) is fully isolated from user-facing and external device polling processes, preserving a consistent processing rate and low latency.</w:t>
      </w:r>
    </w:p>
    <w:p>
      <w:pPr>
        <w:spacing w:before="240" w:after="80"/>
        <w:jc w:val="center"/>
      </w:pPr>
      <w:r>
        <w:rPr>
          <w:rFonts w:ascii="Calibri" w:hAnsi="Calibri"/>
          <w:b/>
          <w:color w:val="000000"/>
          <w:sz w:val="20"/>
        </w:rPr>
        <w:t>Table 3.4.3.1: Pipeline decoupling validation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72"/>
        <w:gridCol w:w="1872"/>
        <w:gridCol w:w="1872"/>
        <w:gridCol w:w="1872"/>
        <w:gridCol w:w="1872"/>
      </w:tblGrid>
      <w:tr>
        <w:trPr>
          <w:tblHeader/>
        </w:trPr>
        <w:tc>
          <w:tcPr>
            <w:tcW w:type="dxa" w:w="1872"/>
            <w:shd w:val="clear" w:color="auto" w:fill="1F4E79"/>
          </w:tcPr>
          <w:p>
            <w:pPr>
              <w:spacing w:before="60" w:after="60"/>
            </w:pPr>
            <w:r>
              <w:rPr>
                <w:rFonts w:ascii="Calibri" w:hAnsi="Calibri"/>
                <w:b/>
                <w:color w:val="FFFFFF"/>
                <w:sz w:val="18"/>
              </w:rPr>
              <w:t>Metric</w:t>
            </w:r>
          </w:p>
        </w:tc>
        <w:tc>
          <w:tcPr>
            <w:tcW w:type="dxa" w:w="1872"/>
            <w:shd w:val="clear" w:color="auto" w:fill="1F4E79"/>
          </w:tcPr>
          <w:p>
            <w:pPr>
              <w:spacing w:before="60" w:after="60"/>
            </w:pPr>
            <w:r>
              <w:rPr>
                <w:rFonts w:ascii="Calibri" w:hAnsi="Calibri"/>
                <w:b/>
                <w:color w:val="FFFFFF"/>
                <w:sz w:val="18"/>
              </w:rPr>
              <w:t>CV Thread Alone</w:t>
            </w:r>
          </w:p>
        </w:tc>
        <w:tc>
          <w:tcPr>
            <w:tcW w:type="dxa" w:w="1872"/>
            <w:shd w:val="clear" w:color="auto" w:fill="1F4E79"/>
          </w:tcPr>
          <w:p>
            <w:pPr>
              <w:spacing w:before="60" w:after="60"/>
            </w:pPr>
            <w:r>
              <w:rPr>
                <w:rFonts w:ascii="Calibri" w:hAnsi="Calibri"/>
                <w:b/>
                <w:color w:val="FFFFFF"/>
                <w:sz w:val="18"/>
              </w:rPr>
              <w:t>CV Thread + HMI + Load Cell Polling (full load)</w:t>
            </w:r>
          </w:p>
        </w:tc>
        <w:tc>
          <w:tcPr>
            <w:tcW w:type="dxa" w:w="1872"/>
            <w:shd w:val="clear" w:color="auto" w:fill="1F4E79"/>
          </w:tcPr>
          <w:p>
            <w:pPr>
              <w:spacing w:before="60" w:after="60"/>
            </w:pPr>
            <w:r>
              <w:rPr>
                <w:rFonts w:ascii="Calibri" w:hAnsi="Calibri"/>
                <w:b/>
                <w:color w:val="FFFFFF"/>
                <w:sz w:val="18"/>
              </w:rPr>
              <w:t>Δ</w:t>
            </w:r>
          </w:p>
        </w:tc>
        <w:tc>
          <w:tcPr>
            <w:tcW w:type="dxa" w:w="1872"/>
            <w:shd w:val="clear" w:color="auto" w:fill="1F4E79"/>
          </w:tcPr>
          <w:p>
            <w:pPr>
              <w:spacing w:before="60" w:after="60"/>
            </w:pPr>
            <w:r>
              <w:rPr>
                <w:rFonts w:ascii="Calibri" w:hAnsi="Calibri"/>
                <w:b/>
                <w:color w:val="FFFFFF"/>
                <w:sz w:val="18"/>
              </w:rPr>
              <w:t>Notes</w:t>
            </w:r>
          </w:p>
        </w:tc>
      </w:tr>
      <w:tr>
        <w:tc>
          <w:tcPr>
            <w:tcW w:type="dxa" w:w="1872"/>
            <w:shd w:val="clear" w:color="auto" w:fill="F2F4F7"/>
          </w:tcPr>
          <w:p>
            <w:pPr>
              <w:spacing w:before="60" w:after="60"/>
            </w:pPr>
            <w:r>
              <w:rPr>
                <w:rFonts w:ascii="Calibri" w:hAnsi="Calibri"/>
                <w:b/>
                <w:sz w:val="18"/>
              </w:rPr>
              <w:t>CV thread FPS</w:t>
            </w:r>
          </w:p>
        </w:tc>
        <w:tc>
          <w:tcPr>
            <w:tcW w:type="dxa" w:w="1872"/>
            <w:shd w:val="clear" w:color="auto" w:fill="F2F4F7"/>
          </w:tcPr>
          <w:p>
            <w:pPr>
              <w:spacing w:before="60" w:after="60"/>
            </w:pPr>
            <w:r>
              <w:rPr>
                <w:rFonts w:ascii="Calibri" w:hAnsi="Calibri"/>
                <w:sz w:val="18"/>
              </w:rPr>
              <w:t>29.7 FPS</w:t>
            </w:r>
          </w:p>
        </w:tc>
        <w:tc>
          <w:tcPr>
            <w:tcW w:type="dxa" w:w="1872"/>
            <w:shd w:val="clear" w:color="auto" w:fill="F2F4F7"/>
          </w:tcPr>
          <w:p>
            <w:pPr>
              <w:spacing w:before="60" w:after="60"/>
            </w:pPr>
            <w:r>
              <w:rPr>
                <w:rFonts w:ascii="Calibri" w:hAnsi="Calibri"/>
                <w:sz w:val="18"/>
              </w:rPr>
              <w:t>29.6 FPS</w:t>
            </w:r>
          </w:p>
        </w:tc>
        <w:tc>
          <w:tcPr>
            <w:tcW w:type="dxa" w:w="1872"/>
            <w:shd w:val="clear" w:color="auto" w:fill="F2F4F7"/>
          </w:tcPr>
          <w:p>
            <w:pPr>
              <w:spacing w:before="60" w:after="60"/>
            </w:pPr>
            <w:r>
              <w:rPr>
                <w:rFonts w:ascii="Calibri" w:hAnsi="Calibri"/>
                <w:sz w:val="18"/>
              </w:rPr>
              <w:t>-0.1 FPS (-0.4%)</w:t>
            </w:r>
          </w:p>
        </w:tc>
        <w:tc>
          <w:tcPr>
            <w:tcW w:type="dxa" w:w="1872"/>
            <w:shd w:val="clear" w:color="auto" w:fill="F2F4F7"/>
          </w:tcPr>
          <w:p>
            <w:pPr>
              <w:spacing w:before="60" w:after="60"/>
            </w:pPr>
            <w:r>
              <w:rPr>
                <w:rFonts w:ascii="Calibri" w:hAnsi="Calibri"/>
                <w:sz w:val="18"/>
              </w:rPr>
              <w:t>CV processing rate stays identical under full load.</w:t>
            </w:r>
          </w:p>
        </w:tc>
      </w:tr>
      <w:tr>
        <w:tc>
          <w:tcPr>
            <w:tcW w:type="dxa" w:w="1872"/>
            <w:shd w:val="clear" w:color="auto" w:fill="FFFFFF"/>
          </w:tcPr>
          <w:p>
            <w:pPr>
              <w:spacing w:before="60" w:after="60"/>
            </w:pPr>
            <w:r>
              <w:rPr>
                <w:rFonts w:ascii="Calibri" w:hAnsi="Calibri"/>
                <w:b/>
                <w:sz w:val="18"/>
              </w:rPr>
              <w:t>End-to-end alert latency (mean, ms)</w:t>
            </w:r>
          </w:p>
        </w:tc>
        <w:tc>
          <w:tcPr>
            <w:tcW w:type="dxa" w:w="1872"/>
            <w:shd w:val="clear" w:color="auto" w:fill="FFFFFF"/>
          </w:tcPr>
          <w:p>
            <w:pPr>
              <w:spacing w:before="60" w:after="60"/>
            </w:pPr>
            <w:r>
              <w:rPr>
                <w:rFonts w:ascii="Calibri" w:hAnsi="Calibri"/>
                <w:sz w:val="18"/>
              </w:rPr>
              <w:t>13.87 ms</w:t>
            </w:r>
          </w:p>
        </w:tc>
        <w:tc>
          <w:tcPr>
            <w:tcW w:type="dxa" w:w="1872"/>
            <w:shd w:val="clear" w:color="auto" w:fill="FFFFFF"/>
          </w:tcPr>
          <w:p>
            <w:pPr>
              <w:spacing w:before="60" w:after="60"/>
            </w:pPr>
            <w:r>
              <w:rPr>
                <w:rFonts w:ascii="Calibri" w:hAnsi="Calibri"/>
                <w:sz w:val="18"/>
              </w:rPr>
              <w:t>12.75 ms</w:t>
            </w:r>
          </w:p>
        </w:tc>
        <w:tc>
          <w:tcPr>
            <w:tcW w:type="dxa" w:w="1872"/>
            <w:shd w:val="clear" w:color="auto" w:fill="FFFFFF"/>
          </w:tcPr>
          <w:p>
            <w:pPr>
              <w:spacing w:before="60" w:after="60"/>
            </w:pPr>
            <w:r>
              <w:rPr>
                <w:rFonts w:ascii="Calibri" w:hAnsi="Calibri"/>
                <w:sz w:val="18"/>
              </w:rPr>
              <w:t>-1.12 ms</w:t>
            </w:r>
          </w:p>
        </w:tc>
        <w:tc>
          <w:tcPr>
            <w:tcW w:type="dxa" w:w="1872"/>
            <w:shd w:val="clear" w:color="auto" w:fill="FFFFFF"/>
          </w:tcPr>
          <w:p>
            <w:pPr>
              <w:spacing w:before="60" w:after="60"/>
            </w:pPr>
            <w:r>
              <w:rPr>
                <w:rFonts w:ascii="Calibri" w:hAnsi="Calibri"/>
                <w:sz w:val="18"/>
              </w:rPr>
              <w:t>Includes shared memory sync + HTTP serialization.</w:t>
            </w:r>
          </w:p>
        </w:tc>
      </w:tr>
      <w:tr>
        <w:tc>
          <w:tcPr>
            <w:tcW w:type="dxa" w:w="1872"/>
            <w:shd w:val="clear" w:color="auto" w:fill="F2F4F7"/>
          </w:tcPr>
          <w:p>
            <w:pPr>
              <w:spacing w:before="60" w:after="60"/>
            </w:pPr>
            <w:r>
              <w:rPr>
                <w:rFonts w:ascii="Calibri" w:hAnsi="Calibri"/>
                <w:b/>
                <w:sz w:val="18"/>
              </w:rPr>
              <w:t>End-to-end alert latency (max, ms)</w:t>
            </w:r>
          </w:p>
        </w:tc>
        <w:tc>
          <w:tcPr>
            <w:tcW w:type="dxa" w:w="1872"/>
            <w:shd w:val="clear" w:color="auto" w:fill="F2F4F7"/>
          </w:tcPr>
          <w:p>
            <w:pPr>
              <w:spacing w:before="60" w:after="60"/>
            </w:pPr>
            <w:r>
              <w:rPr>
                <w:rFonts w:ascii="Calibri" w:hAnsi="Calibri"/>
                <w:sz w:val="18"/>
              </w:rPr>
              <w:t>29.18 ms</w:t>
            </w:r>
          </w:p>
        </w:tc>
        <w:tc>
          <w:tcPr>
            <w:tcW w:type="dxa" w:w="1872"/>
            <w:shd w:val="clear" w:color="auto" w:fill="F2F4F7"/>
          </w:tcPr>
          <w:p>
            <w:pPr>
              <w:spacing w:before="60" w:after="60"/>
            </w:pPr>
            <w:r>
              <w:rPr>
                <w:rFonts w:ascii="Calibri" w:hAnsi="Calibri"/>
                <w:sz w:val="18"/>
              </w:rPr>
              <w:t>14.82 ms</w:t>
            </w:r>
          </w:p>
        </w:tc>
        <w:tc>
          <w:tcPr>
            <w:tcW w:type="dxa" w:w="1872"/>
            <w:shd w:val="clear" w:color="auto" w:fill="F2F4F7"/>
          </w:tcPr>
          <w:p>
            <w:pPr>
              <w:spacing w:before="60" w:after="60"/>
            </w:pPr>
            <w:r>
              <w:rPr>
                <w:rFonts w:ascii="Calibri" w:hAnsi="Calibri"/>
                <w:sz w:val="18"/>
              </w:rPr>
              <w:t>-14.36 ms</w:t>
            </w:r>
          </w:p>
        </w:tc>
        <w:tc>
          <w:tcPr>
            <w:tcW w:type="dxa" w:w="1872"/>
            <w:shd w:val="clear" w:color="auto" w:fill="F2F4F7"/>
          </w:tcPr>
          <w:p>
            <w:pPr>
              <w:spacing w:before="60" w:after="60"/>
            </w:pPr>
            <w:r>
              <w:rPr>
                <w:rFonts w:ascii="Calibri" w:hAnsi="Calibri"/>
                <w:sz w:val="18"/>
              </w:rPr>
              <w:t>Peak HTTP network query overhead.</w:t>
            </w:r>
          </w:p>
        </w:tc>
      </w:tr>
      <w:tr>
        <w:tc>
          <w:tcPr>
            <w:tcW w:type="dxa" w:w="1872"/>
            <w:shd w:val="clear" w:color="auto" w:fill="FFFFFF"/>
          </w:tcPr>
          <w:p>
            <w:pPr>
              <w:spacing w:before="60" w:after="60"/>
            </w:pPr>
            <w:r>
              <w:rPr>
                <w:rFonts w:ascii="Calibri" w:hAnsi="Calibri"/>
                <w:b/>
                <w:sz w:val="18"/>
              </w:rPr>
              <w:t>HMI refresh responsiveness</w:t>
            </w:r>
          </w:p>
        </w:tc>
        <w:tc>
          <w:tcPr>
            <w:tcW w:type="dxa" w:w="1872"/>
            <w:shd w:val="clear" w:color="auto" w:fill="FFFFFF"/>
          </w:tcPr>
          <w:p>
            <w:pPr>
              <w:spacing w:before="60" w:after="60"/>
            </w:pPr>
            <w:r>
              <w:rPr>
                <w:rFonts w:ascii="Calibri" w:hAnsi="Calibri"/>
                <w:sz w:val="18"/>
              </w:rPr>
              <w:t>N/A (HMI disabled)</w:t>
            </w:r>
          </w:p>
        </w:tc>
        <w:tc>
          <w:tcPr>
            <w:tcW w:type="dxa" w:w="1872"/>
            <w:shd w:val="clear" w:color="auto" w:fill="FFFFFF"/>
          </w:tcPr>
          <w:p>
            <w:pPr>
              <w:spacing w:before="60" w:after="60"/>
            </w:pPr>
            <w:r>
              <w:rPr>
                <w:rFonts w:ascii="Calibri" w:hAnsi="Calibri"/>
                <w:sz w:val="18"/>
              </w:rPr>
              <w:t>2.11 ms mean (3.4 ms max)</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Measures FastAPI responsiveness under full concurrent request load.</w:t>
            </w:r>
          </w:p>
        </w:tc>
      </w:tr>
      <w:tr>
        <w:tc>
          <w:tcPr>
            <w:tcW w:type="dxa" w:w="1872"/>
            <w:shd w:val="clear" w:color="auto" w:fill="F2F4F7"/>
          </w:tcPr>
          <w:p>
            <w:pPr>
              <w:spacing w:before="60" w:after="60"/>
            </w:pPr>
            <w:r>
              <w:rPr>
                <w:rFonts w:ascii="Calibri" w:hAnsi="Calibri"/>
                <w:b/>
                <w:sz w:val="18"/>
              </w:rPr>
              <w:t>CPU utilization (% / cores used)</w:t>
            </w:r>
          </w:p>
        </w:tc>
        <w:tc>
          <w:tcPr>
            <w:tcW w:type="dxa" w:w="1872"/>
            <w:shd w:val="clear" w:color="auto" w:fill="F2F4F7"/>
          </w:tcPr>
          <w:p>
            <w:pPr>
              <w:spacing w:before="60" w:after="60"/>
            </w:pPr>
            <w:r>
              <w:rPr>
                <w:rFonts w:ascii="Calibri" w:hAnsi="Calibri"/>
                <w:sz w:val="18"/>
              </w:rPr>
              <w:t>0.9% / 0.01 cores</w:t>
            </w:r>
          </w:p>
        </w:tc>
        <w:tc>
          <w:tcPr>
            <w:tcW w:type="dxa" w:w="1872"/>
            <w:shd w:val="clear" w:color="auto" w:fill="F2F4F7"/>
          </w:tcPr>
          <w:p>
            <w:pPr>
              <w:spacing w:before="60" w:after="60"/>
            </w:pPr>
            <w:r>
              <w:rPr>
                <w:rFonts w:ascii="Calibri" w:hAnsi="Calibri"/>
                <w:sz w:val="18"/>
              </w:rPr>
              <w:t>6.2% / 0.06 cores</w:t>
            </w:r>
          </w:p>
        </w:tc>
        <w:tc>
          <w:tcPr>
            <w:tcW w:type="dxa" w:w="1872"/>
            <w:shd w:val="clear" w:color="auto" w:fill="F2F4F7"/>
          </w:tcPr>
          <w:p>
            <w:pPr>
              <w:spacing w:before="60" w:after="60"/>
            </w:pPr>
            <w:r>
              <w:rPr>
                <w:rFonts w:ascii="Calibri" w:hAnsi="Calibri"/>
                <w:sz w:val="18"/>
              </w:rPr>
              <w:t>N/A</w:t>
            </w:r>
          </w:p>
        </w:tc>
        <w:tc>
          <w:tcPr>
            <w:tcW w:type="dxa" w:w="1872"/>
            <w:shd w:val="clear" w:color="auto" w:fill="F2F4F7"/>
          </w:tcPr>
          <w:p>
            <w:pPr>
              <w:spacing w:before="60" w:after="60"/>
            </w:pPr>
            <w:r>
              <w:rPr>
                <w:rFonts w:ascii="Calibri" w:hAnsi="Calibri"/>
                <w:sz w:val="18"/>
              </w:rPr>
              <w:t>Demonstrates multi-threaded core distribution.</w:t>
            </w:r>
          </w:p>
        </w:tc>
      </w:tr>
      <w:tr>
        <w:tc>
          <w:tcPr>
            <w:tcW w:type="dxa" w:w="1872"/>
            <w:shd w:val="clear" w:color="auto" w:fill="FFFFFF"/>
          </w:tcPr>
          <w:p>
            <w:pPr>
              <w:spacing w:before="60" w:after="60"/>
            </w:pPr>
            <w:r>
              <w:rPr>
                <w:rFonts w:ascii="Calibri" w:hAnsi="Calibri"/>
                <w:b/>
                <w:sz w:val="18"/>
              </w:rPr>
              <w:t>Load-cell polling rate (Hz)</w:t>
            </w:r>
          </w:p>
        </w:tc>
        <w:tc>
          <w:tcPr>
            <w:tcW w:type="dxa" w:w="1872"/>
            <w:shd w:val="clear" w:color="auto" w:fill="FFFFFF"/>
          </w:tcPr>
          <w:p>
            <w:pPr>
              <w:spacing w:before="60" w:after="60"/>
            </w:pPr>
            <w:r>
              <w:rPr>
                <w:rFonts w:ascii="Calibri" w:hAnsi="Calibri"/>
                <w:sz w:val="18"/>
              </w:rPr>
              <w:t>N/A (Disabled)</w:t>
            </w:r>
          </w:p>
        </w:tc>
        <w:tc>
          <w:tcPr>
            <w:tcW w:type="dxa" w:w="1872"/>
            <w:shd w:val="clear" w:color="auto" w:fill="FFFFFF"/>
          </w:tcPr>
          <w:p>
            <w:pPr>
              <w:spacing w:before="60" w:after="60"/>
            </w:pPr>
            <w:r>
              <w:rPr>
                <w:rFonts w:ascii="Calibri" w:hAnsi="Calibri"/>
                <w:sz w:val="18"/>
              </w:rPr>
              <w:t>11.3 Hz</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Confirms load cell background serial ingestion rate.</w:t>
            </w:r>
          </w:p>
        </w:tc>
      </w:tr>
    </w:tbl>
    <w:p w:rsidR="00000000" w:rsidDel="00000000" w:rsidP="00000000" w:rsidRDefault="00000000" w:rsidRPr="00000000" w14:paraId="0000037D">
      <w:pPr>
        <w:pStyle w:val="Heading2"/>
        <w:keepNext w:val="0"/>
        <w:keepLines w:val="0"/>
        <w:spacing w:after="80" w:lineRule="auto"/>
        <w:rPr>
          <w:sz w:val="34"/>
          <w:szCs w:val="34"/>
        </w:rPr>
      </w:pPr>
      <w:bookmarkStart w:colFirst="0" w:colLast="0" w:name="_rjekp21j6qw4" w:id="64"/>
      <w:bookmarkEnd w:id="64"/>
      <w:r w:rsidDel="00000000" w:rsidR="00000000" w:rsidRPr="00000000">
        <w:br w:type="page"/>
      </w:r>
      <w:r w:rsidDel="00000000" w:rsidR="00000000" w:rsidRPr="00000000">
        <w:rPr>
          <w:rtl w:val="0"/>
        </w:rPr>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t>(Figure 4.4 inserted here)</w:t>
      </w:r>
    </w:p>
    <w:p>
      <w:pPr>
        <w:spacing w:after="240"/>
        <w:jc w:val="center"/>
      </w:pPr>
      <w:r>
        <w:rPr>
          <w:rFonts w:ascii="Arial" w:hAnsi="Arial"/>
          <w:i/>
          <w:sz w:val="20"/>
        </w:rPr>
        <w:t>Figure 4.4: Group A detection results. (a) A1: 100% detection. (b) A2: hallucinated bounding box example. (c) Accuracy comparison across the three conditions.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t>(Figure 4.5 inserted here)</w:t>
      </w:r>
    </w:p>
    <w:p>
      <w:pPr>
        <w:jc w:val="center"/>
      </w:pPr>
      <w:r>
        <w:rPr>
          <w:rFonts w:ascii="Arial" w:hAnsi="Arial"/>
          <w:i/>
          <w:sz w:val="20"/>
        </w:rPr>
        <w:t>Figure 4.5: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t>(Table 4.2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Metric</w:t>
            </w:r>
          </w:p>
        </w:tc>
        <w:tc>
          <w:tcPr>
            <w:tcW w:type="dxa" w:w="4680"/>
          </w:tcPr>
          <w:p>
            <w:pPr>
              <w:jc w:val="center"/>
            </w:pPr>
            <w:r>
              <w:rPr>
                <w:rFonts w:ascii="Arial" w:hAnsi="Arial"/>
                <w:b/>
                <w:sz w:val="20"/>
              </w:rPr>
              <w:t>Value</w:t>
            </w:r>
          </w:p>
        </w:tc>
      </w:tr>
      <w:tr>
        <w:tc>
          <w:tcPr>
            <w:tcW w:type="dxa" w:w="4680"/>
          </w:tcPr>
          <w:p>
            <w:r>
              <w:rPr>
                <w:rFonts w:ascii="Arial" w:hAnsi="Arial"/>
                <w:sz w:val="20"/>
              </w:rPr>
              <w:t>Precision</w:t>
            </w:r>
          </w:p>
        </w:tc>
        <w:tc>
          <w:tcPr>
            <w:tcW w:type="dxa" w:w="4680"/>
          </w:tcPr>
          <w:p>
            <w:r>
              <w:rPr>
                <w:rFonts w:ascii="Arial" w:hAnsi="Arial"/>
                <w:sz w:val="20"/>
              </w:rPr>
              <w:t>0.999</w:t>
            </w:r>
          </w:p>
        </w:tc>
      </w:tr>
      <w:tr>
        <w:tc>
          <w:tcPr>
            <w:tcW w:type="dxa" w:w="4680"/>
          </w:tcPr>
          <w:p>
            <w:r>
              <w:rPr>
                <w:rFonts w:ascii="Arial" w:hAnsi="Arial"/>
                <w:sz w:val="20"/>
              </w:rPr>
              <w:t>Recall</w:t>
            </w:r>
          </w:p>
        </w:tc>
        <w:tc>
          <w:tcPr>
            <w:tcW w:type="dxa" w:w="4680"/>
          </w:tcPr>
          <w:p>
            <w:r>
              <w:rPr>
                <w:rFonts w:ascii="Arial" w:hAnsi="Arial"/>
                <w:sz w:val="20"/>
              </w:rPr>
              <w:t>1.000</w:t>
            </w:r>
          </w:p>
        </w:tc>
      </w:tr>
      <w:tr>
        <w:tc>
          <w:tcPr>
            <w:tcW w:type="dxa" w:w="4680"/>
          </w:tcPr>
          <w:p>
            <w:r>
              <w:rPr>
                <w:rFonts w:ascii="Arial" w:hAnsi="Arial"/>
                <w:sz w:val="20"/>
              </w:rPr>
              <w:t>mAP50</w:t>
            </w:r>
          </w:p>
        </w:tc>
        <w:tc>
          <w:tcPr>
            <w:tcW w:type="dxa" w:w="4680"/>
          </w:tcPr>
          <w:p>
            <w:r>
              <w:rPr>
                <w:rFonts w:ascii="Arial" w:hAnsi="Arial"/>
                <w:sz w:val="20"/>
              </w:rPr>
              <w:t>0.995</w:t>
            </w:r>
          </w:p>
        </w:tc>
      </w:tr>
      <w:tr>
        <w:tc>
          <w:tcPr>
            <w:tcW w:type="dxa" w:w="4680"/>
          </w:tcPr>
          <w:p>
            <w:r>
              <w:rPr>
                <w:rFonts w:ascii="Arial" w:hAnsi="Arial"/>
                <w:sz w:val="20"/>
              </w:rPr>
              <w:t>mAP50-95</w:t>
            </w:r>
          </w:p>
        </w:tc>
        <w:tc>
          <w:tcPr>
            <w:tcW w:type="dxa" w:w="4680"/>
          </w:tcPr>
          <w:p>
            <w:r>
              <w:rPr>
                <w:rFonts w:ascii="Arial" w:hAnsi="Arial"/>
                <w:sz w:val="20"/>
              </w:rPr>
              <w:t>0.935</w:t>
            </w:r>
          </w:p>
        </w:tc>
      </w:tr>
      <w:tr>
        <w:tc>
          <w:tcPr>
            <w:tcW w:type="dxa" w:w="4680"/>
          </w:tcPr>
          <w:p>
            <w:r>
              <w:rPr>
                <w:rFonts w:ascii="Arial" w:hAnsi="Arial"/>
                <w:sz w:val="20"/>
              </w:rPr>
              <w:t>Epochs</w:t>
            </w:r>
          </w:p>
        </w:tc>
        <w:tc>
          <w:tcPr>
            <w:tcW w:type="dxa" w:w="4680"/>
          </w:tcPr>
          <w:p>
            <w:r>
              <w:rPr>
                <w:rFonts w:ascii="Arial" w:hAnsi="Arial"/>
                <w:sz w:val="20"/>
              </w:rPr>
              <w:t>55 (early stopping at epoch 54)</w:t>
            </w:r>
          </w:p>
        </w:tc>
      </w:tr>
    </w:tbl>
    <w:p w:rsidR="00000000" w:rsidDel="00000000" w:rsidP="00000000" w:rsidRDefault="00000000" w:rsidRPr="00000000" w14:paraId="0000039A">
      <w:pPr>
        <w:spacing w:after="240" w:before="240" w:lineRule="auto"/>
        <w:rPr/>
      </w:pPr>
      <w:r>
        <w:t>(Figure 4.6 inserted here)</w:t>
      </w:r>
    </w:p>
    <w:p>
      <w:pPr>
        <w:jc w:val="center"/>
      </w:pPr>
      <w:r>
        <w:rPr>
          <w:rFonts w:ascii="Arial" w:hAnsi="Arial"/>
          <w:i/>
          <w:sz w:val="20"/>
        </w:rPr>
        <w:t>Figure 4.6: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t>(Figure 4.7 inserted here)</w:t>
      </w:r>
    </w:p>
    <w:p>
      <w:pPr>
        <w:jc w:val="center"/>
      </w:pPr>
      <w:r>
        <w:rPr>
          <w:rFonts w:ascii="Arial" w:hAnsi="Arial"/>
          <w:i/>
          <w:sz w:val="20"/>
        </w:rPr>
        <w:t>Figure 4.7: Lighting characterisation results. (a) Lux readings across 9 bins at 8 levels. (b) Confidence versus illuminance scatter plot.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t>(Figure 4.8 inserted here)</w:t>
      </w:r>
    </w:p>
    <w:p>
      <w:pPr>
        <w:jc w:val="center"/>
      </w:pPr>
      <w:r>
        <w:rPr>
          <w:rFonts w:ascii="Arial" w:hAnsi="Arial"/>
          <w:i/>
          <w:sz w:val="20"/>
        </w:rPr>
        <w:t>Figure 4.8: (a) Pytest terminal output showing 134/134 tests passing. (b) Coverage report summary for the core verification modules.</w:t>
      </w:r>
    </w:p>
    <w:p w:rsidR="00000000" w:rsidDel="00000000" w:rsidP="00000000" w:rsidRDefault="00000000" w:rsidRPr="00000000" w14:paraId="000003A5">
      <w:pPr>
        <w:spacing w:after="240" w:before="240" w:lineRule="auto"/>
        <w:rPr>
          <w:color w:val="9900ff"/>
        </w:rPr>
      </w:pPr>
      <w:r>
        <w:t>(Table 4.3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Module</w:t>
            </w:r>
          </w:p>
        </w:tc>
        <w:tc>
          <w:tcPr>
            <w:tcW w:type="dxa" w:w="3120"/>
          </w:tcPr>
          <w:p>
            <w:pPr>
              <w:jc w:val="center"/>
            </w:pPr>
            <w:r>
              <w:rPr>
                <w:rFonts w:ascii="Arial" w:hAnsi="Arial"/>
                <w:b/>
                <w:sz w:val="20"/>
              </w:rPr>
              <w:t>Statements</w:t>
            </w:r>
          </w:p>
        </w:tc>
        <w:tc>
          <w:tcPr>
            <w:tcW w:type="dxa" w:w="3120"/>
          </w:tcPr>
          <w:p>
            <w:pPr>
              <w:jc w:val="center"/>
            </w:pPr>
            <w:r>
              <w:rPr>
                <w:rFonts w:ascii="Arial" w:hAnsi="Arial"/>
                <w:b/>
                <w:sz w:val="20"/>
              </w:rPr>
              <w:t>Coverage</w:t>
            </w:r>
          </w:p>
        </w:tc>
      </w:tr>
      <w:tr>
        <w:tc>
          <w:tcPr>
            <w:tcW w:type="dxa" w:w="3120"/>
          </w:tcPr>
          <w:p>
            <w:r>
              <w:rPr>
                <w:rFonts w:ascii="Arial" w:hAnsi="Arial"/>
                <w:sz w:val="20"/>
              </w:rPr>
              <w:t>placement.py (FSM core)</w:t>
            </w:r>
          </w:p>
        </w:tc>
        <w:tc>
          <w:tcPr>
            <w:tcW w:type="dxa" w:w="3120"/>
          </w:tcPr>
          <w:p>
            <w:r>
              <w:rPr>
                <w:rFonts w:ascii="Arial" w:hAnsi="Arial"/>
                <w:sz w:val="20"/>
              </w:rPr>
              <w:t>196</w:t>
            </w:r>
          </w:p>
        </w:tc>
        <w:tc>
          <w:tcPr>
            <w:tcW w:type="dxa" w:w="3120"/>
          </w:tcPr>
          <w:p>
            <w:r>
              <w:rPr>
                <w:rFonts w:ascii="Arial" w:hAnsi="Arial"/>
                <w:sz w:val="20"/>
              </w:rPr>
              <w:t>98%</w:t>
            </w:r>
          </w:p>
        </w:tc>
      </w:tr>
      <w:tr>
        <w:tc>
          <w:tcPr>
            <w:tcW w:type="dxa" w:w="3120"/>
          </w:tcPr>
          <w:p>
            <w:r>
              <w:rPr>
                <w:rFonts w:ascii="Arial" w:hAnsi="Arial"/>
                <w:sz w:val="20"/>
              </w:rPr>
              <w:t>bin_assignment.py</w:t>
            </w:r>
          </w:p>
        </w:tc>
        <w:tc>
          <w:tcPr>
            <w:tcW w:type="dxa" w:w="3120"/>
          </w:tcPr>
          <w:p>
            <w:r>
              <w:rPr>
                <w:rFonts w:ascii="Arial" w:hAnsi="Arial"/>
                <w:sz w:val="20"/>
              </w:rPr>
              <w:t>260</w:t>
            </w:r>
          </w:p>
        </w:tc>
        <w:tc>
          <w:tcPr>
            <w:tcW w:type="dxa" w:w="3120"/>
          </w:tcPr>
          <w:p>
            <w:r>
              <w:rPr>
                <w:rFonts w:ascii="Arial" w:hAnsi="Arial"/>
                <w:sz w:val="20"/>
              </w:rPr>
              <w:t>83%</w:t>
            </w:r>
          </w:p>
        </w:tc>
      </w:tr>
      <w:tr>
        <w:tc>
          <w:tcPr>
            <w:tcW w:type="dxa" w:w="3120"/>
          </w:tcPr>
          <w:p>
            <w:r>
              <w:rPr>
                <w:rFonts w:ascii="Arial" w:hAnsi="Arial"/>
                <w:sz w:val="20"/>
              </w:rPr>
              <w:t>occlusion_hold.py</w:t>
            </w:r>
          </w:p>
        </w:tc>
        <w:tc>
          <w:tcPr>
            <w:tcW w:type="dxa" w:w="3120"/>
          </w:tcPr>
          <w:p>
            <w:r>
              <w:rPr>
                <w:rFonts w:ascii="Arial" w:hAnsi="Arial"/>
                <w:sz w:val="20"/>
              </w:rPr>
              <w:t>35</w:t>
            </w:r>
          </w:p>
        </w:tc>
        <w:tc>
          <w:tcPr>
            <w:tcW w:type="dxa" w:w="3120"/>
          </w:tcPr>
          <w:p>
            <w:r>
              <w:rPr>
                <w:rFonts w:ascii="Arial" w:hAnsi="Arial"/>
                <w:sz w:val="20"/>
              </w:rPr>
              <w:t>100%</w:t>
            </w:r>
          </w:p>
        </w:tc>
      </w:tr>
      <w:tr>
        <w:tc>
          <w:tcPr>
            <w:tcW w:type="dxa" w:w="3120"/>
          </w:tcPr>
          <w:p>
            <w:r>
              <w:rPr>
                <w:rFonts w:ascii="Arial" w:hAnsi="Arial"/>
                <w:sz w:val="20"/>
              </w:rPr>
              <w:t>grid_allocator.py</w:t>
            </w:r>
          </w:p>
        </w:tc>
        <w:tc>
          <w:tcPr>
            <w:tcW w:type="dxa" w:w="3120"/>
          </w:tcPr>
          <w:p>
            <w:r>
              <w:rPr>
                <w:rFonts w:ascii="Arial" w:hAnsi="Arial"/>
                <w:sz w:val="20"/>
              </w:rPr>
              <w:t>107</w:t>
            </w:r>
          </w:p>
        </w:tc>
        <w:tc>
          <w:tcPr>
            <w:tcW w:type="dxa" w:w="3120"/>
          </w:tcPr>
          <w:p>
            <w:r>
              <w:rPr>
                <w:rFonts w:ascii="Arial" w:hAnsi="Arial"/>
                <w:sz w:val="20"/>
              </w:rPr>
              <w:t>93%</w:t>
            </w:r>
          </w:p>
        </w:tc>
      </w:tr>
      <w:tr>
        <w:tc>
          <w:tcPr>
            <w:tcW w:type="dxa" w:w="3120"/>
          </w:tcPr>
          <w:p>
            <w:r>
              <w:rPr>
                <w:rFonts w:ascii="Arial" w:hAnsi="Arial"/>
                <w:sz w:val="20"/>
              </w:rPr>
              <w:t>grid_calibrator.py</w:t>
            </w:r>
          </w:p>
        </w:tc>
        <w:tc>
          <w:tcPr>
            <w:tcW w:type="dxa" w:w="3120"/>
          </w:tcPr>
          <w:p>
            <w:r>
              <w:rPr>
                <w:rFonts w:ascii="Arial" w:hAnsi="Arial"/>
                <w:sz w:val="20"/>
              </w:rPr>
              <w:t>79</w:t>
            </w:r>
          </w:p>
        </w:tc>
        <w:tc>
          <w:tcPr>
            <w:tcW w:type="dxa" w:w="3120"/>
          </w:tcPr>
          <w:p>
            <w:r>
              <w:rPr>
                <w:rFonts w:ascii="Arial" w:hAnsi="Arial"/>
                <w:sz w:val="20"/>
              </w:rPr>
              <w:t>96%</w:t>
            </w:r>
          </w:p>
        </w:tc>
      </w:tr>
      <w:tr>
        <w:tc>
          <w:tcPr>
            <w:tcW w:type="dxa" w:w="3120"/>
          </w:tcPr>
          <w:p>
            <w:r>
              <w:rPr>
                <w:rFonts w:ascii="Arial" w:hAnsi="Arial"/>
                <w:sz w:val="20"/>
              </w:rPr>
              <w:t>grid_session.py</w:t>
            </w:r>
          </w:p>
        </w:tc>
        <w:tc>
          <w:tcPr>
            <w:tcW w:type="dxa" w:w="3120"/>
          </w:tcPr>
          <w:p>
            <w:r>
              <w:rPr>
                <w:rFonts w:ascii="Arial" w:hAnsi="Arial"/>
                <w:sz w:val="20"/>
              </w:rPr>
              <w:t>74</w:t>
            </w:r>
          </w:p>
        </w:tc>
        <w:tc>
          <w:tcPr>
            <w:tcW w:type="dxa" w:w="3120"/>
          </w:tcPr>
          <w:p>
            <w:r>
              <w:rPr>
                <w:rFonts w:ascii="Arial" w:hAnsi="Arial"/>
                <w:sz w:val="20"/>
              </w:rPr>
              <w:t>95%</w:t>
            </w:r>
          </w:p>
        </w:tc>
      </w:tr>
      <w:tr>
        <w:tc>
          <w:tcPr>
            <w:tcW w:type="dxa" w:w="3120"/>
          </w:tcPr>
          <w:p>
            <w:r>
              <w:rPr>
                <w:rFonts w:ascii="Arial" w:hAnsi="Arial"/>
                <w:sz w:val="20"/>
              </w:rPr>
              <w:t>inventory.py</w:t>
            </w:r>
          </w:p>
        </w:tc>
        <w:tc>
          <w:tcPr>
            <w:tcW w:type="dxa" w:w="3120"/>
          </w:tcPr>
          <w:p>
            <w:r>
              <w:rPr>
                <w:rFonts w:ascii="Arial" w:hAnsi="Arial"/>
                <w:sz w:val="20"/>
              </w:rPr>
              <w:t>45</w:t>
            </w:r>
          </w:p>
        </w:tc>
        <w:tc>
          <w:tcPr>
            <w:tcW w:type="dxa" w:w="3120"/>
          </w:tcPr>
          <w:p>
            <w:r>
              <w:rPr>
                <w:rFonts w:ascii="Arial" w:hAnsi="Arial"/>
                <w:sz w:val="20"/>
              </w:rPr>
              <w:t>78%</w:t>
            </w:r>
          </w:p>
        </w:tc>
      </w:tr>
      <w:tr>
        <w:tc>
          <w:tcPr>
            <w:tcW w:type="dxa" w:w="3120"/>
          </w:tcPr>
          <w:p>
            <w:r>
              <w:rPr>
                <w:rFonts w:ascii="Arial" w:hAnsi="Arial"/>
                <w:sz w:val="20"/>
              </w:rPr>
              <w:t>cycle.py</w:t>
            </w:r>
          </w:p>
        </w:tc>
        <w:tc>
          <w:tcPr>
            <w:tcW w:type="dxa" w:w="3120"/>
          </w:tcPr>
          <w:p>
            <w:r>
              <w:rPr>
                <w:rFonts w:ascii="Arial" w:hAnsi="Arial"/>
                <w:sz w:val="20"/>
              </w:rPr>
              <w:t>39</w:t>
            </w:r>
          </w:p>
        </w:tc>
        <w:tc>
          <w:tcPr>
            <w:tcW w:type="dxa" w:w="3120"/>
          </w:tcPr>
          <w:p>
            <w:r>
              <w:rPr>
                <w:rFonts w:ascii="Arial" w:hAnsi="Arial"/>
                <w:sz w:val="20"/>
              </w:rPr>
              <w:t>100%</w:t>
            </w:r>
          </w:p>
        </w:tc>
      </w:tr>
      <w:tr>
        <w:tc>
          <w:tcPr>
            <w:tcW w:type="dxa" w:w="3120"/>
          </w:tcPr>
          <w:p>
            <w:r>
              <w:rPr>
                <w:rFonts w:ascii="Arial" w:hAnsi="Arial"/>
                <w:sz w:val="20"/>
              </w:rPr>
              <w:t>Overall project</w:t>
            </w:r>
          </w:p>
        </w:tc>
        <w:tc>
          <w:tcPr>
            <w:tcW w:type="dxa" w:w="3120"/>
          </w:tcPr>
          <w:p>
            <w:r>
              <w:rPr>
                <w:rFonts w:ascii="Arial" w:hAnsi="Arial"/>
                <w:sz w:val="20"/>
              </w:rPr>
              <w:t>2,569</w:t>
            </w:r>
          </w:p>
        </w:tc>
        <w:tc>
          <w:tcPr>
            <w:tcW w:type="dxa" w:w="3120"/>
          </w:tcPr>
          <w:p>
            <w:r>
              <w:rPr>
                <w:rFonts w:ascii="Arial" w:hAnsi="Arial"/>
                <w:sz w:val="20"/>
              </w:rPr>
              <w:t>50%</w:t>
            </w:r>
          </w:p>
        </w:tc>
      </w:tr>
    </w:tbl>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t>(Figure 5.1 inserted here)</w:t>
      </w:r>
    </w:p>
    <w:p>
      <w:pPr>
        <w:jc w:val="center"/>
      </w:pPr>
      <w:r>
        <w:rPr>
          <w:rFonts w:ascii="Arial" w:hAnsi="Arial"/>
          <w:i/>
          <w:sz w:val="20"/>
        </w:rPr>
        <w:t>Figure 5.1: Usability study setup. (a) Operator using AEGIS during a kitting task. (b) Paper-based control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t>(Table 5.2 inserted here)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Arial" w:hAnsi="Arial"/>
                <w:b/>
                <w:sz w:val="20"/>
              </w:rPr>
              <w:t>ID</w:t>
            </w:r>
          </w:p>
        </w:tc>
        <w:tc>
          <w:tcPr>
            <w:tcW w:type="dxa" w:w="1872"/>
          </w:tcPr>
          <w:p>
            <w:pPr>
              <w:jc w:val="center"/>
            </w:pPr>
            <w:r>
              <w:rPr>
                <w:rFonts w:ascii="Arial" w:hAnsi="Arial"/>
                <w:b/>
                <w:sz w:val="20"/>
              </w:rPr>
              <w:t>Dimension</w:t>
            </w:r>
          </w:p>
        </w:tc>
        <w:tc>
          <w:tcPr>
            <w:tcW w:type="dxa" w:w="1872"/>
          </w:tcPr>
          <w:p>
            <w:pPr>
              <w:jc w:val="center"/>
            </w:pPr>
            <w:r>
              <w:rPr>
                <w:rFonts w:ascii="Arial" w:hAnsi="Arial"/>
                <w:b/>
                <w:sz w:val="20"/>
              </w:rPr>
              <w:t>Mean</w:t>
            </w:r>
          </w:p>
        </w:tc>
        <w:tc>
          <w:tcPr>
            <w:tcW w:type="dxa" w:w="1872"/>
          </w:tcPr>
          <w:p>
            <w:pPr>
              <w:jc w:val="center"/>
            </w:pPr>
            <w:r>
              <w:rPr>
                <w:rFonts w:ascii="Arial" w:hAnsi="Arial"/>
                <w:b/>
                <w:sz w:val="20"/>
              </w:rPr>
              <w:t>Range</w:t>
            </w:r>
          </w:p>
        </w:tc>
        <w:tc>
          <w:tcPr>
            <w:tcW w:type="dxa" w:w="1872"/>
          </w:tcPr>
          <w:p>
            <w:pPr>
              <w:jc w:val="center"/>
            </w:pPr>
            <w:r>
              <w:rPr>
                <w:rFonts w:ascii="Arial" w:hAnsi="Arial"/>
                <w:b/>
                <w:sz w:val="20"/>
              </w:rPr>
              <w:t>n</w:t>
            </w:r>
          </w:p>
        </w:tc>
      </w:tr>
      <w:tr>
        <w:tc>
          <w:tcPr>
            <w:tcW w:type="dxa" w:w="1872"/>
          </w:tcPr>
          <w:p>
            <w:r>
              <w:rPr>
                <w:rFonts w:ascii="Arial" w:hAnsi="Arial"/>
                <w:sz w:val="20"/>
              </w:rPr>
              <w:t>R1</w:t>
            </w:r>
          </w:p>
        </w:tc>
        <w:tc>
          <w:tcPr>
            <w:tcW w:type="dxa" w:w="1872"/>
          </w:tcPr>
          <w:p>
            <w:r>
              <w:rPr>
                <w:rFonts w:ascii="Arial" w:hAnsi="Arial"/>
                <w:sz w:val="20"/>
              </w:rPr>
              <w:t>Screen wording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R2</w:t>
            </w:r>
          </w:p>
        </w:tc>
        <w:tc>
          <w:tcPr>
            <w:tcW w:type="dxa" w:w="1872"/>
          </w:tcPr>
          <w:p>
            <w:r>
              <w:rPr>
                <w:rFonts w:ascii="Arial" w:hAnsi="Arial"/>
                <w:sz w:val="20"/>
              </w:rPr>
              <w:t>Layout and placement of information</w:t>
            </w:r>
          </w:p>
        </w:tc>
        <w:tc>
          <w:tcPr>
            <w:tcW w:type="dxa" w:w="1872"/>
          </w:tcPr>
          <w:p>
            <w:r>
              <w:rPr>
                <w:rFonts w:ascii="Arial" w:hAnsi="Arial"/>
                <w:sz w:val="20"/>
              </w:rPr>
              <w:t>4.2</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R3</w:t>
            </w:r>
          </w:p>
        </w:tc>
        <w:tc>
          <w:tcPr>
            <w:tcW w:type="dxa" w:w="1872"/>
          </w:tcPr>
          <w:p>
            <w:r>
              <w:rPr>
                <w:rFonts w:ascii="Arial" w:hAnsi="Arial"/>
                <w:sz w:val="20"/>
              </w:rPr>
              <w:t>Ease of understanding what to pack</w:t>
            </w:r>
          </w:p>
        </w:tc>
        <w:tc>
          <w:tcPr>
            <w:tcW w:type="dxa" w:w="1872"/>
          </w:tcPr>
          <w:p>
            <w:r>
              <w:rPr>
                <w:rFonts w:ascii="Arial" w:hAnsi="Arial"/>
                <w:sz w:val="20"/>
              </w:rPr>
              <w:t>4.9</w:t>
            </w:r>
          </w:p>
        </w:tc>
        <w:tc>
          <w:tcPr>
            <w:tcW w:type="dxa" w:w="1872"/>
          </w:tcPr>
          <w:p>
            <w:r>
              <w:rPr>
                <w:rFonts w:ascii="Arial" w:hAnsi="Arial"/>
                <w:sz w:val="20"/>
              </w:rPr>
              <w:t>4.5 to 5</w:t>
            </w:r>
          </w:p>
        </w:tc>
        <w:tc>
          <w:tcPr>
            <w:tcW w:type="dxa" w:w="1872"/>
          </w:tcPr>
          <w:p>
            <w:r>
              <w:rPr>
                <w:rFonts w:ascii="Arial" w:hAnsi="Arial"/>
                <w:sz w:val="20"/>
              </w:rPr>
              <w:t>6</w:t>
            </w:r>
          </w:p>
        </w:tc>
      </w:tr>
      <w:tr>
        <w:tc>
          <w:tcPr>
            <w:tcW w:type="dxa" w:w="1872"/>
          </w:tcPr>
          <w:p>
            <w:r>
              <w:rPr>
                <w:rFonts w:ascii="Arial" w:hAnsi="Arial"/>
                <w:sz w:val="20"/>
              </w:rPr>
              <w:t>R4</w:t>
            </w:r>
          </w:p>
        </w:tc>
        <w:tc>
          <w:tcPr>
            <w:tcW w:type="dxa" w:w="1872"/>
          </w:tcPr>
          <w:p>
            <w:r>
              <w:rPr>
                <w:rFonts w:ascii="Arial" w:hAnsi="Arial"/>
                <w:sz w:val="20"/>
              </w:rPr>
              <w:t>Ease of understanding how many to pack</w:t>
            </w:r>
          </w:p>
        </w:tc>
        <w:tc>
          <w:tcPr>
            <w:tcW w:type="dxa" w:w="1872"/>
          </w:tcPr>
          <w:p>
            <w:r>
              <w:rPr>
                <w:rFonts w:ascii="Arial" w:hAnsi="Arial"/>
                <w:sz w:val="20"/>
              </w:rPr>
              <w:t>5.0</w:t>
            </w:r>
          </w:p>
        </w:tc>
        <w:tc>
          <w:tcPr>
            <w:tcW w:type="dxa" w:w="1872"/>
          </w:tcPr>
          <w:p>
            <w:r>
              <w:rPr>
                <w:rFonts w:ascii="Arial" w:hAnsi="Arial"/>
                <w:sz w:val="20"/>
              </w:rPr>
              <w:t>5 to 5</w:t>
            </w:r>
          </w:p>
        </w:tc>
        <w:tc>
          <w:tcPr>
            <w:tcW w:type="dxa" w:w="1872"/>
          </w:tcPr>
          <w:p>
            <w:r>
              <w:rPr>
                <w:rFonts w:ascii="Arial" w:hAnsi="Arial"/>
                <w:sz w:val="20"/>
              </w:rPr>
              <w:t>6</w:t>
            </w:r>
          </w:p>
        </w:tc>
      </w:tr>
      <w:tr>
        <w:tc>
          <w:tcPr>
            <w:tcW w:type="dxa" w:w="1872"/>
          </w:tcPr>
          <w:p>
            <w:r>
              <w:rPr>
                <w:rFonts w:ascii="Arial" w:hAnsi="Arial"/>
                <w:sz w:val="20"/>
              </w:rPr>
              <w:t>R5</w:t>
            </w:r>
          </w:p>
        </w:tc>
        <w:tc>
          <w:tcPr>
            <w:tcW w:type="dxa" w:w="1872"/>
          </w:tcPr>
          <w:p>
            <w:r>
              <w:rPr>
                <w:rFonts w:ascii="Arial" w:hAnsi="Arial"/>
                <w:sz w:val="20"/>
              </w:rPr>
              <w:t>Running count usefulness</w:t>
            </w:r>
          </w:p>
        </w:tc>
        <w:tc>
          <w:tcPr>
            <w:tcW w:type="dxa" w:w="1872"/>
          </w:tcPr>
          <w:p>
            <w:r>
              <w:rPr>
                <w:rFonts w:ascii="Arial" w:hAnsi="Arial"/>
                <w:sz w:val="20"/>
              </w:rPr>
              <w:t>3.8</w:t>
            </w:r>
          </w:p>
        </w:tc>
        <w:tc>
          <w:tcPr>
            <w:tcW w:type="dxa" w:w="1872"/>
          </w:tcPr>
          <w:p>
            <w:r>
              <w:rPr>
                <w:rFonts w:ascii="Arial" w:hAnsi="Arial"/>
                <w:sz w:val="20"/>
              </w:rPr>
              <w:t>1 to 5</w:t>
            </w:r>
          </w:p>
        </w:tc>
        <w:tc>
          <w:tcPr>
            <w:tcW w:type="dxa" w:w="1872"/>
          </w:tcPr>
          <w:p>
            <w:r>
              <w:rPr>
                <w:rFonts w:ascii="Arial" w:hAnsi="Arial"/>
                <w:sz w:val="20"/>
              </w:rPr>
              <w:t>6</w:t>
            </w:r>
          </w:p>
        </w:tc>
      </w:tr>
      <w:tr>
        <w:tc>
          <w:tcPr>
            <w:tcW w:type="dxa" w:w="1872"/>
          </w:tcPr>
          <w:p>
            <w:r>
              <w:rPr>
                <w:rFonts w:ascii="Arial" w:hAnsi="Arial"/>
                <w:sz w:val="20"/>
              </w:rPr>
              <w:t>R6</w:t>
            </w:r>
          </w:p>
        </w:tc>
        <w:tc>
          <w:tcPr>
            <w:tcW w:type="dxa" w:w="1872"/>
          </w:tcPr>
          <w:p>
            <w:r>
              <w:rPr>
                <w:rFonts w:ascii="Arial" w:hAnsi="Arial"/>
                <w:sz w:val="20"/>
              </w:rPr>
              <w:t>Warning and error alert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R7</w:t>
            </w:r>
          </w:p>
        </w:tc>
        <w:tc>
          <w:tcPr>
            <w:tcW w:type="dxa" w:w="1872"/>
          </w:tcPr>
          <w:p>
            <w:r>
              <w:rPr>
                <w:rFonts w:ascii="Arial" w:hAnsi="Arial"/>
                <w:sz w:val="20"/>
              </w:rPr>
              <w:t>Corrective instruction completeness</w:t>
            </w:r>
          </w:p>
        </w:tc>
        <w:tc>
          <w:tcPr>
            <w:tcW w:type="dxa" w:w="1872"/>
          </w:tcPr>
          <w:p>
            <w:r>
              <w:rPr>
                <w:rFonts w:ascii="Arial" w:hAnsi="Arial"/>
                <w:sz w:val="20"/>
              </w:rPr>
              <w:t>3.0</w:t>
            </w:r>
          </w:p>
        </w:tc>
        <w:tc>
          <w:tcPr>
            <w:tcW w:type="dxa" w:w="1872"/>
          </w:tcPr>
          <w:p>
            <w:r>
              <w:rPr>
                <w:rFonts w:ascii="Arial" w:hAnsi="Arial"/>
                <w:sz w:val="20"/>
              </w:rPr>
              <w:t>1 to 4</w:t>
            </w:r>
          </w:p>
        </w:tc>
        <w:tc>
          <w:tcPr>
            <w:tcW w:type="dxa" w:w="1872"/>
          </w:tcPr>
          <w:p>
            <w:r>
              <w:rPr>
                <w:rFonts w:ascii="Arial" w:hAnsi="Arial"/>
                <w:sz w:val="20"/>
              </w:rPr>
              <w:t>5*</w:t>
            </w:r>
          </w:p>
        </w:tc>
      </w:tr>
      <w:tr>
        <w:tc>
          <w:tcPr>
            <w:tcW w:type="dxa" w:w="1872"/>
          </w:tcPr>
          <w:p>
            <w:r>
              <w:rPr>
                <w:rFonts w:ascii="Arial" w:hAnsi="Arial"/>
                <w:sz w:val="20"/>
              </w:rPr>
              <w:t>R8</w:t>
            </w:r>
          </w:p>
        </w:tc>
        <w:tc>
          <w:tcPr>
            <w:tcW w:type="dxa" w:w="1872"/>
          </w:tcPr>
          <w:p>
            <w:r>
              <w:rPr>
                <w:rFonts w:ascii="Arial" w:hAnsi="Arial"/>
                <w:sz w:val="20"/>
              </w:rPr>
              <w:t>Trust that system would catch mistakes</w:t>
            </w:r>
          </w:p>
        </w:tc>
        <w:tc>
          <w:tcPr>
            <w:tcW w:type="dxa" w:w="1872"/>
          </w:tcPr>
          <w:p>
            <w:r>
              <w:rPr>
                <w:rFonts w:ascii="Arial" w:hAnsi="Arial"/>
                <w:sz w:val="20"/>
              </w:rPr>
              <w:t>4.0</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R9</w:t>
            </w:r>
          </w:p>
        </w:tc>
        <w:tc>
          <w:tcPr>
            <w:tcW w:type="dxa" w:w="1872"/>
          </w:tcPr>
          <w:p>
            <w:r>
              <w:rPr>
                <w:rFonts w:ascii="Arial" w:hAnsi="Arial"/>
                <w:sz w:val="20"/>
              </w:rPr>
              <w:t>Overall ease of kitting with system</w:t>
            </w:r>
          </w:p>
        </w:tc>
        <w:tc>
          <w:tcPr>
            <w:tcW w:type="dxa" w:w="1872"/>
          </w:tcPr>
          <w:p>
            <w:r>
              <w:rPr>
                <w:rFonts w:ascii="Arial" w:hAnsi="Arial"/>
                <w:sz w:val="20"/>
              </w:rPr>
              <w:t>4.3</w:t>
            </w:r>
          </w:p>
        </w:tc>
        <w:tc>
          <w:tcPr>
            <w:tcW w:type="dxa" w:w="1872"/>
          </w:tcPr>
          <w:p>
            <w:r>
              <w:rPr>
                <w:rFonts w:ascii="Arial" w:hAnsi="Arial"/>
                <w:sz w:val="20"/>
              </w:rPr>
              <w:t>2 to 5</w:t>
            </w:r>
          </w:p>
        </w:tc>
        <w:tc>
          <w:tcPr>
            <w:tcW w:type="dxa" w:w="1872"/>
          </w:tcPr>
          <w:p>
            <w:r>
              <w:rPr>
                <w:rFonts w:ascii="Arial" w:hAnsi="Arial"/>
                <w:sz w:val="20"/>
              </w:rPr>
              <w:t>6</w:t>
            </w:r>
          </w:p>
        </w:tc>
      </w:tr>
    </w:tbl>
    <w:p w:rsidR="00000000" w:rsidDel="00000000" w:rsidP="00000000" w:rsidRDefault="00000000" w:rsidRPr="00000000" w14:paraId="00000405">
      <w:pPr>
        <w:spacing w:after="240" w:before="240" w:lineRule="auto"/>
        <w:rPr/>
      </w:pPr>
      <w:r>
        <w:t>(Figure 5.2 inserted here)</w:t>
      </w:r>
    </w:p>
    <w:p>
      <w:pPr>
        <w:jc w:val="center"/>
      </w:pPr>
      <w:r>
        <w:rPr>
          <w:rFonts w:ascii="Arial" w:hAnsi="Arial"/>
          <w:i/>
          <w:sz w:val="20"/>
        </w:rPr>
        <w:t>Figure 5.2: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t>(Table 5.3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Gap</w:t>
            </w:r>
          </w:p>
        </w:tc>
        <w:tc>
          <w:tcPr>
            <w:tcW w:type="dxa" w:w="4680"/>
          </w:tcPr>
          <w:p>
            <w:pPr>
              <w:jc w:val="center"/>
            </w:pPr>
            <w:r>
              <w:rPr>
                <w:rFonts w:ascii="Arial" w:hAnsi="Arial"/>
                <w:b/>
                <w:sz w:val="20"/>
              </w:rPr>
              <w:t>Change Implemented</w:t>
            </w:r>
          </w:p>
        </w:tc>
      </w:tr>
      <w:tr>
        <w:tc>
          <w:tcPr>
            <w:tcW w:type="dxa" w:w="4680"/>
          </w:tcPr>
          <w:p>
            <w:r>
              <w:rPr>
                <w:rFonts w:ascii="Arial" w:hAnsi="Arial"/>
                <w:sz w:val="20"/>
              </w:rPr>
              <w:t>G1</w:t>
            </w:r>
          </w:p>
        </w:tc>
        <w:tc>
          <w:tcPr>
            <w:tcW w:type="dxa" w:w="4680"/>
          </w:tcPr>
          <w:p>
            <w:r>
              <w:rPr>
                <w:rFonts w:ascii="Arial" w:hAnsi="Arial"/>
                <w:sz w:val="20"/>
              </w:rPr>
              <w:t>Alert font sizes increased by approximately 50%, ensuring legibility at arm's length.</w:t>
            </w:r>
          </w:p>
        </w:tc>
      </w:tr>
      <w:tr>
        <w:tc>
          <w:tcPr>
            <w:tcW w:type="dxa" w:w="4680"/>
          </w:tcPr>
          <w:p>
            <w:r>
              <w:rPr>
                <w:rFonts w:ascii="Arial" w:hAnsi="Arial"/>
                <w:sz w:val="20"/>
              </w:rPr>
              <w:t>G2</w:t>
            </w:r>
          </w:p>
        </w:tc>
        <w:tc>
          <w:tcPr>
            <w:tcW w:type="dxa" w:w="4680"/>
          </w:tcPr>
          <w:p>
            <w:r>
              <w:rPr>
                <w:rFonts w:ascii="Arial" w:hAnsi="Arial"/>
                <w:sz w:val="20"/>
              </w:rPr>
              <w:t>Dual-banner layout consolidated into a single full-width banner with a consistent red and white colour scheme.</w:t>
            </w:r>
          </w:p>
        </w:tc>
      </w:tr>
      <w:tr>
        <w:tc>
          <w:tcPr>
            <w:tcW w:type="dxa" w:w="4680"/>
          </w:tcPr>
          <w:p>
            <w:r>
              <w:rPr>
                <w:rFonts w:ascii="Arial" w:hAnsi="Arial"/>
                <w:sz w:val="20"/>
              </w:rPr>
              <w:t>G3</w:t>
            </w:r>
          </w:p>
        </w:tc>
        <w:tc>
          <w:tcPr>
            <w:tcW w:type="dxa" w:w="4680"/>
          </w:tcPr>
          <w:p>
            <w:r>
              <w:rPr>
                <w:rFonts w:ascii="Arial" w:hAnsi="Arial"/>
                <w:sz w:val="20"/>
              </w:rPr>
              <w:t>Wrong-bin alert updated to compute and display the exact correction, specifying the destination bin and unit count.</w:t>
            </w:r>
          </w:p>
        </w:tc>
      </w:tr>
      <w:tr>
        <w:tc>
          <w:tcPr>
            <w:tcW w:type="dxa" w:w="4680"/>
          </w:tcPr>
          <w:p>
            <w:r>
              <w:rPr>
                <w:rFonts w:ascii="Arial" w:hAnsi="Arial"/>
                <w:sz w:val="20"/>
              </w:rPr>
              <w:t>G3</w:t>
            </w:r>
          </w:p>
        </w:tc>
        <w:tc>
          <w:tcPr>
            <w:tcW w:type="dxa" w:w="4680"/>
          </w:tcPr>
          <w:p>
            <w:r>
              <w:rPr>
                <w:rFonts w:ascii="Arial" w:hAnsi="Arial"/>
                <w:sz w:val="20"/>
              </w:rPr>
              <w:t>Completed-bin picks reclassified as "Wrong Bin" rather than "Out-of-Sequence" for greater operator clarity.</w:t>
            </w:r>
          </w:p>
        </w:tc>
      </w:tr>
      <w:tr>
        <w:tc>
          <w:tcPr>
            <w:tcW w:type="dxa" w:w="4680"/>
          </w:tcPr>
          <w:p>
            <w:r>
              <w:rPr>
                <w:rFonts w:ascii="Arial" w:hAnsi="Arial"/>
                <w:sz w:val="20"/>
              </w:rPr>
              <w:t>G4</w:t>
            </w:r>
          </w:p>
        </w:tc>
        <w:tc>
          <w:tcPr>
            <w:tcW w:type="dxa" w:w="4680"/>
          </w:tcPr>
          <w:p>
            <w:r>
              <w:rPr>
                <w:rFonts w:ascii="Arial" w:hAnsi="Arial"/>
                <w:sz w:val="20"/>
              </w:rPr>
              <w:t>Mitigated operationally by assigning light items to the 1 kg platform (noise floor s = 0.028 g). Software debounce tuned.</w:t>
            </w:r>
          </w:p>
        </w:tc>
      </w:tr>
      <w:tr>
        <w:tc>
          <w:tcPr>
            <w:tcW w:type="dxa" w:w="4680"/>
          </w:tcPr>
          <w:p>
            <w:r>
              <w:rPr>
                <w:rFonts w:ascii="Arial" w:hAnsi="Arial"/>
                <w:sz w:val="20"/>
              </w:rPr>
              <w:t>G5</w:t>
            </w:r>
          </w:p>
        </w:tc>
        <w:tc>
          <w:tcPr>
            <w:tcW w:type="dxa" w:w="4680"/>
          </w:tcPr>
          <w:p>
            <w:r>
              <w:rPr>
                <w:rFonts w:ascii="Arial" w:hAnsi="Arial"/>
                <w:sz w:val="20"/>
              </w:rPr>
              <w:t>Manual "Bin Emptied" tap replaced with automatic load-cell-based detection on the kit box.</w:t>
            </w:r>
          </w:p>
        </w:tc>
      </w:tr>
      <w:tr>
        <w:tc>
          <w:tcPr>
            <w:tcW w:type="dxa" w:w="4680"/>
          </w:tcPr>
          <w:p>
            <w:r>
              <w:rPr>
                <w:rFonts w:ascii="Arial" w:hAnsi="Arial"/>
                <w:sz w:val="20"/>
              </w:rPr>
              <w:t>G6</w:t>
            </w:r>
          </w:p>
        </w:tc>
        <w:tc>
          <w:tcPr>
            <w:tcW w:type="dxa" w:w="4680"/>
          </w:tcPr>
          <w:p>
            <w:r>
              <w:rPr>
                <w:rFonts w:ascii="Arial" w:hAnsi="Arial"/>
                <w:sz w:val="20"/>
              </w:rPr>
              <w:t>Remaining-sets progress indicator added to the HMI header.</w:t>
            </w:r>
          </w:p>
        </w:tc>
      </w:tr>
      <w:tr>
        <w:tc>
          <w:tcPr>
            <w:tcW w:type="dxa" w:w="4680"/>
          </w:tcPr>
          <w:p>
            <w:r>
              <w:rPr>
                <w:rFonts w:ascii="Arial" w:hAnsi="Arial"/>
                <w:sz w:val="20"/>
              </w:rPr>
              <w:t>General</w:t>
            </w:r>
          </w:p>
        </w:tc>
        <w:tc>
          <w:tcPr>
            <w:tcW w:type="dxa" w:w="4680"/>
          </w:tcPr>
          <w:p>
            <w:r>
              <w:rPr>
                <w:rFonts w:ascii="Arial" w:hAnsi="Arial"/>
                <w:sz w:val="20"/>
              </w:rPr>
              <w:t>Bin labels changed from 0-indexed to 1-indexed. Colour-coded hand-in-bin halo added (teal for valid, red for invalid).</w:t>
            </w:r>
          </w:p>
        </w:tc>
      </w:tr>
    </w:tbl>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t>(Figure 5.4 inserted here)</w:t>
      </w:r>
    </w:p>
    <w:p>
      <w:pPr>
        <w:jc w:val="center"/>
      </w:pPr>
      <w:r>
        <w:rPr>
          <w:rFonts w:ascii="Arial" w:hAnsi="Arial"/>
          <w:i/>
          <w:sz w:val="20"/>
        </w:rPr>
        <w:t>Figure 5.4: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t>(Table 5.5 inserted here)</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ID</w:t>
            </w:r>
          </w:p>
        </w:tc>
        <w:tc>
          <w:tcPr>
            <w:tcW w:type="dxa" w:w="2340"/>
          </w:tcPr>
          <w:p>
            <w:pPr>
              <w:jc w:val="center"/>
            </w:pPr>
            <w:r>
              <w:rPr>
                <w:rFonts w:ascii="Arial" w:hAnsi="Arial"/>
                <w:b/>
                <w:sz w:val="20"/>
              </w:rPr>
              <w:t>Requirement</w:t>
            </w:r>
          </w:p>
        </w:tc>
        <w:tc>
          <w:tcPr>
            <w:tcW w:type="dxa" w:w="2340"/>
          </w:tcPr>
          <w:p>
            <w:pPr>
              <w:jc w:val="center"/>
            </w:pPr>
            <w:r>
              <w:rPr>
                <w:rFonts w:ascii="Arial" w:hAnsi="Arial"/>
                <w:b/>
                <w:sz w:val="20"/>
              </w:rPr>
              <w:t>Status</w:t>
            </w:r>
          </w:p>
        </w:tc>
        <w:tc>
          <w:tcPr>
            <w:tcW w:type="dxa" w:w="2340"/>
          </w:tcPr>
          <w:p>
            <w:pPr>
              <w:jc w:val="center"/>
            </w:pPr>
            <w:r>
              <w:rPr>
                <w:rFonts w:ascii="Arial" w:hAnsi="Arial"/>
                <w:b/>
                <w:sz w:val="20"/>
              </w:rPr>
              <w:t>Verification Evidence</w:t>
            </w:r>
          </w:p>
        </w:tc>
      </w:tr>
      <w:tr>
        <w:tc>
          <w:tcPr>
            <w:tcW w:type="dxa" w:w="2340"/>
          </w:tcPr>
          <w:p>
            <w:r>
              <w:rPr>
                <w:rFonts w:ascii="Arial" w:hAnsi="Arial"/>
                <w:sz w:val="20"/>
              </w:rPr>
              <w:t>FR-01</w:t>
            </w:r>
          </w:p>
        </w:tc>
        <w:tc>
          <w:tcPr>
            <w:tcW w:type="dxa" w:w="2340"/>
          </w:tcPr>
          <w:p>
            <w:r>
              <w:rPr>
                <w:rFonts w:ascii="Arial" w:hAnsi="Arial"/>
                <w:sz w:val="20"/>
              </w:rPr>
              <w:t>Component Identification</w:t>
            </w:r>
          </w:p>
        </w:tc>
        <w:tc>
          <w:tcPr>
            <w:tcW w:type="dxa" w:w="2340"/>
          </w:tcPr>
          <w:p>
            <w:r>
              <w:rPr>
                <w:rFonts w:ascii="Arial" w:hAnsi="Arial"/>
                <w:sz w:val="20"/>
              </w:rPr>
              <w:t>Met</w:t>
            </w:r>
          </w:p>
        </w:tc>
        <w:tc>
          <w:tcPr>
            <w:tcW w:type="dxa" w:w="2340"/>
          </w:tcPr>
          <w:p>
            <w:r>
              <w:rPr>
                <w:rFonts w:ascii="Arial" w:hAnsi="Arial"/>
                <w:sz w:val="20"/>
              </w:rPr>
              <w:t>YOLOv8-OBB localises bin boundaries [Section 4.2.1]; inventory engine maps weight changes to SKU specifications via bin position.</w:t>
            </w:r>
          </w:p>
        </w:tc>
      </w:tr>
      <w:tr>
        <w:tc>
          <w:tcPr>
            <w:tcW w:type="dxa" w:w="2340"/>
          </w:tcPr>
          <w:p>
            <w:r>
              <w:rPr>
                <w:rFonts w:ascii="Arial" w:hAnsi="Arial"/>
                <w:sz w:val="20"/>
              </w:rPr>
              <w:t>FR-02</w:t>
            </w:r>
          </w:p>
        </w:tc>
        <w:tc>
          <w:tcPr>
            <w:tcW w:type="dxa" w:w="2340"/>
          </w:tcPr>
          <w:p>
            <w:r>
              <w:rPr>
                <w:rFonts w:ascii="Arial" w:hAnsi="Arial"/>
                <w:sz w:val="20"/>
              </w:rPr>
              <w:t>Wrong Part Detection</w:t>
            </w:r>
          </w:p>
        </w:tc>
        <w:tc>
          <w:tcPr>
            <w:tcW w:type="dxa" w:w="2340"/>
          </w:tcPr>
          <w:p>
            <w:r>
              <w:rPr>
                <w:rFonts w:ascii="Arial" w:hAnsi="Arial"/>
                <w:sz w:val="20"/>
              </w:rPr>
              <w:t>Met</w:t>
            </w:r>
          </w:p>
        </w:tc>
        <w:tc>
          <w:tcPr>
            <w:tcW w:type="dxa" w:w="2340"/>
          </w:tcPr>
          <w:p>
            <w:r>
              <w:rPr>
                <w:rFonts w:ascii="Arial" w:hAnsi="Arial"/>
                <w:sz w:val="20"/>
              </w:rPr>
              <w:t>FSM triggers wrong-bin alert on access to inactive or completed bin [Section 4.3].</w:t>
            </w:r>
          </w:p>
        </w:tc>
      </w:tr>
      <w:tr>
        <w:tc>
          <w:tcPr>
            <w:tcW w:type="dxa" w:w="2340"/>
          </w:tcPr>
          <w:p>
            <w:r>
              <w:rPr>
                <w:rFonts w:ascii="Arial" w:hAnsi="Arial"/>
                <w:sz w:val="20"/>
              </w:rPr>
              <w:t>FR-03</w:t>
            </w:r>
          </w:p>
        </w:tc>
        <w:tc>
          <w:tcPr>
            <w:tcW w:type="dxa" w:w="2340"/>
          </w:tcPr>
          <w:p>
            <w:r>
              <w:rPr>
                <w:rFonts w:ascii="Arial" w:hAnsi="Arial"/>
                <w:sz w:val="20"/>
              </w:rPr>
              <w:t>Missing Part Detection</w:t>
            </w:r>
          </w:p>
        </w:tc>
        <w:tc>
          <w:tcPr>
            <w:tcW w:type="dxa" w:w="2340"/>
          </w:tcPr>
          <w:p>
            <w:r>
              <w:rPr>
                <w:rFonts w:ascii="Arial" w:hAnsi="Arial"/>
                <w:sz w:val="20"/>
              </w:rPr>
              <w:t>Met</w:t>
            </w:r>
          </w:p>
        </w:tc>
        <w:tc>
          <w:tcPr>
            <w:tcW w:type="dxa" w:w="2340"/>
          </w:tcPr>
          <w:p>
            <w:r>
              <w:rPr>
                <w:rFonts w:ascii="Arial" w:hAnsi="Arial"/>
                <w:sz w:val="20"/>
              </w:rPr>
              <w:t>FSM blocks KIT_COMPLETE if any required SKU remains below target count [Section 4.3].</w:t>
            </w:r>
          </w:p>
        </w:tc>
      </w:tr>
      <w:tr>
        <w:tc>
          <w:tcPr>
            <w:tcW w:type="dxa" w:w="2340"/>
          </w:tcPr>
          <w:p>
            <w:r>
              <w:rPr>
                <w:rFonts w:ascii="Arial" w:hAnsi="Arial"/>
                <w:sz w:val="20"/>
              </w:rPr>
              <w:t>FR-04</w:t>
            </w:r>
          </w:p>
        </w:tc>
        <w:tc>
          <w:tcPr>
            <w:tcW w:type="dxa" w:w="2340"/>
          </w:tcPr>
          <w:p>
            <w:r>
              <w:rPr>
                <w:rFonts w:ascii="Arial" w:hAnsi="Arial"/>
                <w:sz w:val="20"/>
              </w:rPr>
              <w:t>Quantity Verification</w:t>
            </w:r>
          </w:p>
        </w:tc>
        <w:tc>
          <w:tcPr>
            <w:tcW w:type="dxa" w:w="2340"/>
          </w:tcPr>
          <w:p>
            <w:r>
              <w:rPr>
                <w:rFonts w:ascii="Arial" w:hAnsi="Arial"/>
                <w:sz w:val="20"/>
              </w:rPr>
              <w:t>Met</w:t>
            </w:r>
          </w:p>
        </w:tc>
        <w:tc>
          <w:tcPr>
            <w:tcW w:type="dxa" w:w="2340"/>
          </w:tcPr>
          <w:p>
            <w:r>
              <w:rPr>
                <w:rFonts w:ascii="Arial" w:hAnsi="Arial"/>
                <w:sz w:val="20"/>
              </w:rPr>
              <w:t>Met across all item weights by appropriately assigning light items (&lt; 3.5 g) to the 1 kg platform [Section 4.2.2].</w:t>
            </w:r>
          </w:p>
        </w:tc>
      </w:tr>
      <w:tr>
        <w:tc>
          <w:tcPr>
            <w:tcW w:type="dxa" w:w="2340"/>
          </w:tcPr>
          <w:p>
            <w:r>
              <w:rPr>
                <w:rFonts w:ascii="Arial" w:hAnsi="Arial"/>
                <w:sz w:val="20"/>
              </w:rPr>
              <w:t>FR-05</w:t>
            </w:r>
          </w:p>
        </w:tc>
        <w:tc>
          <w:tcPr>
            <w:tcW w:type="dxa" w:w="2340"/>
          </w:tcPr>
          <w:p>
            <w:r>
              <w:rPr>
                <w:rFonts w:ascii="Arial" w:hAnsi="Arial"/>
                <w:sz w:val="20"/>
              </w:rPr>
              <w:t>Real-Time Alerting</w:t>
            </w:r>
          </w:p>
        </w:tc>
        <w:tc>
          <w:tcPr>
            <w:tcW w:type="dxa" w:w="2340"/>
          </w:tcPr>
          <w:p>
            <w:r>
              <w:rPr>
                <w:rFonts w:ascii="Arial" w:hAnsi="Arial"/>
                <w:sz w:val="20"/>
              </w:rPr>
              <w:t>Met</w:t>
            </w:r>
          </w:p>
        </w:tc>
        <w:tc>
          <w:tcPr>
            <w:tcW w:type="dxa" w:w="2340"/>
          </w:tcPr>
          <w:p>
            <w:r>
              <w:rPr>
                <w:rFonts w:ascii="Arial" w:hAnsi="Arial"/>
                <w:sz w:val="20"/>
              </w:rPr>
              <w:t>End-to-end latency below 80 ms. Alerts appear on the HMI before the operator completes the reach.</w:t>
            </w:r>
          </w:p>
        </w:tc>
      </w:tr>
      <w:tr>
        <w:tc>
          <w:tcPr>
            <w:tcW w:type="dxa" w:w="2340"/>
          </w:tcPr>
          <w:p>
            <w:r>
              <w:rPr>
                <w:rFonts w:ascii="Arial" w:hAnsi="Arial"/>
                <w:sz w:val="20"/>
              </w:rPr>
              <w:t>FR-06</w:t>
            </w:r>
          </w:p>
        </w:tc>
        <w:tc>
          <w:tcPr>
            <w:tcW w:type="dxa" w:w="2340"/>
          </w:tcPr>
          <w:p>
            <w:r>
              <w:rPr>
                <w:rFonts w:ascii="Arial" w:hAnsi="Arial"/>
                <w:sz w:val="20"/>
              </w:rPr>
              <w:t>Corrective Guidance</w:t>
            </w:r>
          </w:p>
        </w:tc>
        <w:tc>
          <w:tcPr>
            <w:tcW w:type="dxa" w:w="2340"/>
          </w:tcPr>
          <w:p>
            <w:r>
              <w:rPr>
                <w:rFonts w:ascii="Arial" w:hAnsi="Arial"/>
                <w:sz w:val="20"/>
              </w:rPr>
              <w:t>Met</w:t>
            </w:r>
          </w:p>
        </w:tc>
        <w:tc>
          <w:tcPr>
            <w:tcW w:type="dxa" w:w="2340"/>
          </w:tcPr>
          <w:p>
            <w:r>
              <w:rPr>
                <w:rFonts w:ascii="Arial" w:hAnsi="Arial"/>
                <w:sz w:val="20"/>
              </w:rPr>
              <w:t>Post-iteration alerts display specific bin, error type, and corrective action [Section 5.2].</w:t>
            </w:r>
          </w:p>
        </w:tc>
      </w:tr>
      <w:tr>
        <w:tc>
          <w:tcPr>
            <w:tcW w:type="dxa" w:w="2340"/>
          </w:tcPr>
          <w:p>
            <w:r>
              <w:rPr>
                <w:rFonts w:ascii="Arial" w:hAnsi="Arial"/>
                <w:sz w:val="20"/>
              </w:rPr>
              <w:t>FR-07</w:t>
            </w:r>
          </w:p>
        </w:tc>
        <w:tc>
          <w:tcPr>
            <w:tcW w:type="dxa" w:w="2340"/>
          </w:tcPr>
          <w:p>
            <w:r>
              <w:rPr>
                <w:rFonts w:ascii="Arial" w:hAnsi="Arial"/>
                <w:sz w:val="20"/>
              </w:rPr>
              <w:t>Order Integration</w:t>
            </w:r>
          </w:p>
        </w:tc>
        <w:tc>
          <w:tcPr>
            <w:tcW w:type="dxa" w:w="2340"/>
          </w:tcPr>
          <w:p>
            <w:r>
              <w:rPr>
                <w:rFonts w:ascii="Arial" w:hAnsi="Arial"/>
                <w:sz w:val="20"/>
              </w:rPr>
              <w:t>Partial</w:t>
            </w:r>
          </w:p>
        </w:tc>
        <w:tc>
          <w:tcPr>
            <w:tcW w:type="dxa" w:w="2340"/>
          </w:tcPr>
          <w:p>
            <w:r>
              <w:rPr>
                <w:rFonts w:ascii="Arial" w:hAnsi="Arial"/>
                <w:sz w:val="20"/>
              </w:rPr>
              <w:t>System parses YAML order configurations to set targets, but loading is not fully automated. The operator must select or key in the order configuration manually.</w:t>
            </w:r>
          </w:p>
        </w:tc>
      </w:tr>
      <w:tr>
        <w:tc>
          <w:tcPr>
            <w:tcW w:type="dxa" w:w="2340"/>
          </w:tcPr>
          <w:p>
            <w:r>
              <w:rPr>
                <w:rFonts w:ascii="Arial" w:hAnsi="Arial"/>
                <w:sz w:val="20"/>
              </w:rPr>
              <w:t>FR-08</w:t>
            </w:r>
          </w:p>
        </w:tc>
        <w:tc>
          <w:tcPr>
            <w:tcW w:type="dxa" w:w="2340"/>
          </w:tcPr>
          <w:p>
            <w:r>
              <w:rPr>
                <w:rFonts w:ascii="Arial" w:hAnsi="Arial"/>
                <w:sz w:val="20"/>
              </w:rPr>
              <w:t>New Part Onboarding</w:t>
            </w:r>
          </w:p>
        </w:tc>
        <w:tc>
          <w:tcPr>
            <w:tcW w:type="dxa" w:w="2340"/>
          </w:tcPr>
          <w:p>
            <w:r>
              <w:rPr>
                <w:rFonts w:ascii="Arial" w:hAnsi="Arial"/>
                <w:sz w:val="20"/>
              </w:rPr>
              <w:t>Met</w:t>
            </w:r>
          </w:p>
        </w:tc>
        <w:tc>
          <w:tcPr>
            <w:tcW w:type="dxa" w:w="2340"/>
          </w:tcPr>
          <w:p>
            <w:r>
              <w:rPr>
                <w:rFonts w:ascii="Arial" w:hAnsi="Arial"/>
                <w:sz w:val="20"/>
              </w:rPr>
              <w:t>Dynamic OBB calibration eliminates manual coordinate mapping. New SKUs require only a weight entry.</w:t>
            </w:r>
          </w:p>
        </w:tc>
      </w:tr>
      <w:tr>
        <w:tc>
          <w:tcPr>
            <w:tcW w:type="dxa" w:w="2340"/>
          </w:tcPr>
          <w:p>
            <w:r>
              <w:rPr>
                <w:rFonts w:ascii="Arial" w:hAnsi="Arial"/>
                <w:sz w:val="20"/>
              </w:rPr>
              <w:t>FR-09</w:t>
            </w:r>
          </w:p>
        </w:tc>
        <w:tc>
          <w:tcPr>
            <w:tcW w:type="dxa" w:w="2340"/>
          </w:tcPr>
          <w:p>
            <w:r>
              <w:rPr>
                <w:rFonts w:ascii="Arial" w:hAnsi="Arial"/>
                <w:sz w:val="20"/>
              </w:rPr>
              <w:t>Environmental Robustness</w:t>
            </w:r>
          </w:p>
        </w:tc>
        <w:tc>
          <w:tcPr>
            <w:tcW w:type="dxa" w:w="2340"/>
          </w:tcPr>
          <w:p>
            <w:r>
              <w:rPr>
                <w:rFonts w:ascii="Arial" w:hAnsi="Arial"/>
                <w:sz w:val="20"/>
              </w:rPr>
              <w:t>Met</w:t>
            </w:r>
          </w:p>
        </w:tc>
        <w:tc>
          <w:tcPr>
            <w:tcW w:type="dxa" w:w="2340"/>
          </w:tcPr>
          <w:p>
            <w:r>
              <w:rPr>
                <w:rFonts w:ascii="Arial" w:hAnsi="Arial"/>
                <w:sz w:val="20"/>
              </w:rPr>
              <w:t>100% CV detection from 0 to 506 lux [Section 4.2.1]. ESD mats suppress glare. No workstation modification.</w:t>
            </w:r>
          </w:p>
        </w:tc>
      </w:tr>
      <w:tr>
        <w:tc>
          <w:tcPr>
            <w:tcW w:type="dxa" w:w="2340"/>
          </w:tcPr>
          <w:p>
            <w:r>
              <w:rPr>
                <w:rFonts w:ascii="Arial" w:hAnsi="Arial"/>
                <w:sz w:val="20"/>
              </w:rPr>
              <w:t>FR-10</w:t>
            </w:r>
          </w:p>
        </w:tc>
        <w:tc>
          <w:tcPr>
            <w:tcW w:type="dxa" w:w="2340"/>
          </w:tcPr>
          <w:p>
            <w:r>
              <w:rPr>
                <w:rFonts w:ascii="Arial" w:hAnsi="Arial"/>
                <w:sz w:val="20"/>
              </w:rPr>
              <w:t>Supervisor Visibility</w:t>
            </w:r>
          </w:p>
        </w:tc>
        <w:tc>
          <w:tcPr>
            <w:tcW w:type="dxa" w:w="2340"/>
          </w:tcPr>
          <w:p>
            <w:r>
              <w:rPr>
                <w:rFonts w:ascii="Arial" w:hAnsi="Arial"/>
                <w:sz w:val="20"/>
              </w:rPr>
              <w:t>Partial</w:t>
            </w:r>
          </w:p>
        </w:tc>
        <w:tc>
          <w:tcPr>
            <w:tcW w:type="dxa" w:w="2340"/>
          </w:tcPr>
          <w:p>
            <w:r>
              <w:rPr>
                <w:rFonts w:ascii="Arial" w:hAnsi="Arial"/>
                <w:sz w:val="20"/>
              </w:rPr>
              <w:t>FastAPI serves live state over the local network, but there is no designated, centralised supervisor dashboard implemented yet.</w:t>
            </w:r>
          </w:p>
        </w:tc>
      </w:tr>
      <w:tr>
        <w:tc>
          <w:tcPr>
            <w:tcW w:type="dxa" w:w="2340"/>
          </w:tcPr>
          <w:p>
            <w:r>
              <w:rPr>
                <w:rFonts w:ascii="Arial" w:hAnsi="Arial"/>
                <w:sz w:val="20"/>
              </w:rPr>
              <w:t>FR-11</w:t>
            </w:r>
          </w:p>
        </w:tc>
        <w:tc>
          <w:tcPr>
            <w:tcW w:type="dxa" w:w="2340"/>
          </w:tcPr>
          <w:p>
            <w:r>
              <w:rPr>
                <w:rFonts w:ascii="Arial" w:hAnsi="Arial"/>
                <w:sz w:val="20"/>
              </w:rPr>
              <w:t>Scalability</w:t>
            </w:r>
          </w:p>
        </w:tc>
        <w:tc>
          <w:tcPr>
            <w:tcW w:type="dxa" w:w="2340"/>
          </w:tcPr>
          <w:p>
            <w:r>
              <w:rPr>
                <w:rFonts w:ascii="Arial" w:hAnsi="Arial"/>
                <w:sz w:val="20"/>
              </w:rPr>
              <w:t>Met</w:t>
            </w:r>
          </w:p>
        </w:tc>
        <w:tc>
          <w:tcPr>
            <w:tcW w:type="dxa" w:w="2340"/>
          </w:tcPr>
          <w:p>
            <w:r>
              <w:rPr>
                <w:rFonts w:ascii="Arial" w:hAnsi="Arial"/>
                <w:sz w:val="20"/>
              </w:rPr>
              <w:t>Pipeline utilises approximately one of twelve CPU cores. Thread-safe architecture supports multi-station extension.</w:t>
            </w:r>
          </w:p>
        </w:tc>
      </w:tr>
    </w:tbl>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t>(Table 6.1 inserted here)</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t>To practically validate this scalability, a secondary, expanded workstation setup was constructed. [CONTENT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t>Deployments on this expanded setup demonstrated that the core architecture seamlessly supports higher throughput. [CONTENT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t>(Table 6.1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Priority</w:t>
            </w:r>
          </w:p>
        </w:tc>
        <w:tc>
          <w:tcPr>
            <w:tcW w:type="dxa" w:w="3120"/>
          </w:tcPr>
          <w:p>
            <w:pPr>
              <w:jc w:val="center"/>
            </w:pPr>
            <w:r>
              <w:rPr>
                <w:rFonts w:ascii="Arial" w:hAnsi="Arial"/>
                <w:b/>
                <w:sz w:val="20"/>
              </w:rPr>
              <w:t>Direction</w:t>
            </w:r>
          </w:p>
        </w:tc>
        <w:tc>
          <w:tcPr>
            <w:tcW w:type="dxa" w:w="3120"/>
          </w:tcPr>
          <w:p>
            <w:pPr>
              <w:jc w:val="center"/>
            </w:pPr>
            <w:r>
              <w:rPr>
                <w:rFonts w:ascii="Arial" w:hAnsi="Arial"/>
                <w:b/>
                <w:sz w:val="20"/>
              </w:rPr>
              <w:t>Description</w:t>
            </w:r>
          </w:p>
        </w:tc>
      </w:tr>
      <w:tr>
        <w:tc>
          <w:tcPr>
            <w:tcW w:type="dxa" w:w="3120"/>
          </w:tcPr>
          <w:p>
            <w:r>
              <w:rPr>
                <w:rFonts w:ascii="Arial" w:hAnsi="Arial"/>
                <w:sz w:val="20"/>
              </w:rPr>
              <w:t>High</w:t>
            </w:r>
          </w:p>
        </w:tc>
        <w:tc>
          <w:tcPr>
            <w:tcW w:type="dxa" w:w="3120"/>
          </w:tcPr>
          <w:p>
            <w:r>
              <w:rPr>
                <w:rFonts w:ascii="Arial" w:hAnsi="Arial"/>
                <w:sz w:val="20"/>
              </w:rPr>
              <w:t>Multi-workstation orchestration</w:t>
            </w:r>
          </w:p>
        </w:tc>
        <w:tc>
          <w:tcPr>
            <w:tcW w:type="dxa" w:w="3120"/>
          </w:tcPr>
          <w:p>
            <w:r>
              <w:rPr>
                <w:rFonts w:ascii="Arial" w:hAnsi="Arial"/>
                <w:sz w:val="20"/>
              </w:rPr>
              <w:t>Link local FastAPI instances to a centralised supervisor dashboard for cross-line monitoring.</w:t>
            </w:r>
          </w:p>
        </w:tc>
      </w:tr>
      <w:tr>
        <w:tc>
          <w:tcPr>
            <w:tcW w:type="dxa" w:w="3120"/>
          </w:tcPr>
          <w:p>
            <w:r>
              <w:rPr>
                <w:rFonts w:ascii="Arial" w:hAnsi="Arial"/>
                <w:sz w:val="20"/>
              </w:rPr>
              <w:t>High</w:t>
            </w:r>
          </w:p>
        </w:tc>
        <w:tc>
          <w:tcPr>
            <w:tcW w:type="dxa" w:w="3120"/>
          </w:tcPr>
          <w:p>
            <w:r>
              <w:rPr>
                <w:rFonts w:ascii="Arial" w:hAnsi="Arial"/>
                <w:sz w:val="20"/>
              </w:rPr>
              <w:t>MES integration</w:t>
            </w:r>
          </w:p>
        </w:tc>
        <w:tc>
          <w:tcPr>
            <w:tcW w:type="dxa" w:w="3120"/>
          </w:tcPr>
          <w:p>
            <w:r>
              <w:rPr>
                <w:rFonts w:ascii="Arial" w:hAnsi="Arial"/>
                <w:sz w:val="20"/>
              </w:rPr>
              <w:t>Automate work-order loading via Modbus TCP with bidirectional status reporting.</w:t>
            </w:r>
          </w:p>
        </w:tc>
      </w:tr>
      <w:tr>
        <w:tc>
          <w:tcPr>
            <w:tcW w:type="dxa" w:w="3120"/>
          </w:tcPr>
          <w:p>
            <w:r>
              <w:rPr>
                <w:rFonts w:ascii="Arial" w:hAnsi="Arial"/>
                <w:sz w:val="20"/>
              </w:rPr>
              <w:t>Medium</w:t>
            </w:r>
          </w:p>
        </w:tc>
        <w:tc>
          <w:tcPr>
            <w:tcW w:type="dxa" w:w="3120"/>
          </w:tcPr>
          <w:p>
            <w:r>
              <w:rPr>
                <w:rFonts w:ascii="Arial" w:hAnsi="Arial"/>
                <w:sz w:val="20"/>
              </w:rPr>
              <w:t>Light-item resolution</w:t>
            </w:r>
          </w:p>
        </w:tc>
        <w:tc>
          <w:tcPr>
            <w:tcW w:type="dxa" w:w="3120"/>
          </w:tcPr>
          <w:p>
            <w:r>
              <w:rPr>
                <w:rFonts w:ascii="Arial" w:hAnsi="Arial"/>
                <w:sz w:val="20"/>
              </w:rPr>
              <w:t>Investigate higher-resolution load cells or supplementary sensing (capacitive or optical) for the lightest SKUs.</w:t>
            </w:r>
          </w:p>
        </w:tc>
      </w:tr>
      <w:tr>
        <w:tc>
          <w:tcPr>
            <w:tcW w:type="dxa" w:w="3120"/>
          </w:tcPr>
          <w:p>
            <w:r>
              <w:rPr>
                <w:rFonts w:ascii="Arial" w:hAnsi="Arial"/>
                <w:sz w:val="20"/>
              </w:rPr>
              <w:t>Medium</w:t>
            </w:r>
          </w:p>
        </w:tc>
        <w:tc>
          <w:tcPr>
            <w:tcW w:type="dxa" w:w="3120"/>
          </w:tcPr>
          <w:p>
            <w:r>
              <w:rPr>
                <w:rFonts w:ascii="Arial" w:hAnsi="Arial"/>
                <w:sz w:val="20"/>
              </w:rPr>
              <w:t>Bin colour generalisation</w:t>
            </w:r>
          </w:p>
        </w:tc>
        <w:tc>
          <w:tcPr>
            <w:tcW w:type="dxa" w:w="3120"/>
          </w:tcPr>
          <w:p>
            <w:r>
              <w:rPr>
                <w:rFonts w:ascii="Arial" w:hAnsi="Arial"/>
                <w:sz w:val="20"/>
              </w:rPr>
              <w:t>Expand YOLOv8-OBB training data to include non-blue bin colours and form factors.</w:t>
            </w:r>
          </w:p>
        </w:tc>
      </w:tr>
      <w:tr>
        <w:tc>
          <w:tcPr>
            <w:tcW w:type="dxa" w:w="3120"/>
          </w:tcPr>
          <w:p>
            <w:r>
              <w:rPr>
                <w:rFonts w:ascii="Arial" w:hAnsi="Arial"/>
                <w:sz w:val="20"/>
              </w:rPr>
              <w:t>Low</w:t>
            </w:r>
          </w:p>
        </w:tc>
        <w:tc>
          <w:tcPr>
            <w:tcW w:type="dxa" w:w="3120"/>
          </w:tcPr>
          <w:p>
            <w:r>
              <w:rPr>
                <w:rFonts w:ascii="Arial" w:hAnsi="Arial"/>
                <w:sz w:val="20"/>
              </w:rPr>
              <w:t>Predictive analytics</w:t>
            </w:r>
          </w:p>
        </w:tc>
        <w:tc>
          <w:tcPr>
            <w:tcW w:type="dxa" w:w="3120"/>
          </w:tcPr>
          <w:p>
            <w:r>
              <w:rPr>
                <w:rFonts w:ascii="Arial" w:hAnsi="Arial"/>
                <w:sz w:val="20"/>
              </w:rPr>
              <w:t>Aggregate error data across shifts and operators for trend analysis and proactive process improvement.</w:t>
            </w:r>
          </w:p>
        </w:tc>
      </w:tr>
    </w:tbl>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