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0"/>
      </w:pPr>
    </w:p>
    <w:p>
      <w:pPr>
        <w:spacing w:after="80" w:line="276"/>
        <w:jc w:val="center"/>
      </w:pPr>
      <w:r>
        <w:rPr>
          <w:rFonts w:ascii="맑은 고딕" w:cs="맑은 고딕" w:eastAsia="맑은 고딕" w:hAnsi="맑은 고딕"/>
          <w:b/>
          <w:bCs/>
          <w:color w:val="000000"/>
          <w:sz w:val="30"/>
          <w:szCs w:val="30"/>
        </w:rPr>
        <w:t xml:space="preserve">「정부청사관리본부 개인정보 내부 관리계획」</w:t>
      </w:r>
    </w:p>
    <w:p>
      <w:pPr>
        <w:spacing w:after="2000" w:line="276"/>
        <w:jc w:val="center"/>
      </w:pPr>
      <w:r>
        <w:rPr>
          <w:rFonts w:ascii="맑은 고딕" w:cs="맑은 고딕" w:eastAsia="맑은 고딕" w:hAnsi="맑은 고딕"/>
          <w:b/>
          <w:bCs/>
          <w:color w:val="000000"/>
          <w:sz w:val="30"/>
          <w:szCs w:val="30"/>
        </w:rPr>
        <w:t xml:space="preserve">개정 계획</w:t>
      </w:r>
    </w:p>
    <w:p>
      <w:pPr>
        <w:spacing w:after="5000" w:line="276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6"/>
          <w:szCs w:val="26"/>
        </w:rPr>
        <w:t xml:space="preserve">2026. ○.</w:t>
      </w:r>
    </w:p>
    <w:p>
      <w:pPr>
        <w:spacing w:after="80" w:line="276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4"/>
          <w:szCs w:val="24"/>
        </w:rPr>
        <w:t xml:space="preserve">관리총괄과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0" w:line="276"/>
        <w:jc w:val="center"/>
      </w:pPr>
      <w:r>
        <w:rPr>
          <w:rFonts w:ascii="맑은 고딕" w:cs="맑은 고딕" w:eastAsia="맑은 고딕" w:hAnsi="맑은 고딕"/>
          <w:b/>
          <w:bCs/>
          <w:color w:val="000000"/>
          <w:sz w:val="26"/>
          <w:szCs w:val="26"/>
        </w:rPr>
        <w:t xml:space="preserve">「정부청사관리본부 개인정보 내부 관리계획」개정 계획</w:t>
      </w:r>
    </w:p>
    <w:p>
      <w:pPr>
        <w:spacing w:after="150" w:line="276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1. 개정 배경</w:t>
      </w:r>
    </w:p>
    <w:p>
      <w:pPr>
        <w:spacing w:after="80" w:line="276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□ (필요성)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개인정보의 안전성 확보조치 기준(개인정보위 고시, '25.10.31.) 개정 및 소속기관 개인정보보호 실태점검 결과에 따른 미흡사항 반영 필요</w:t>
      </w:r>
    </w:p>
    <w:p>
      <w:pPr>
        <w:spacing w:after="80" w:line="276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 ○ 본부(행정안전부) 내부 관리계획 개정('26년)에 맞추어 법적 이행사항을 반영하고, 실태점검에서 반복 지적되는 사항을 선제적으로 보완하여 개인정보 관리 강화</w:t>
      </w:r>
    </w:p>
    <w:p>
      <w:pPr>
        <w:spacing w:after="80" w:line="276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□ (근거)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개인정보 보호법 제29조 및 같은 법 시행령 제30조, 개인정보의 안전성 확보조치 기준 제4조</w:t>
      </w:r>
    </w:p>
    <w:p>
      <w:pPr>
        <w:spacing w:before="200"/>
      </w:pPr>
    </w:p>
    <w:p>
      <w:pPr>
        <w:spacing w:after="200" w:line="276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2. 개정안 주요 내용</w:t>
      </w:r>
    </w:p>
    <w:p>
      <w:pPr>
        <w:spacing w:after="80" w:line="276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❶ </w:t>
      </w: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(법적 이행사항 반영)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 개보위「개인정보의 안전성 확보조치 기준」(시행 '25.10.31., 고시) 개정사항을 반영하여 법적 준수 의무 강화</w:t>
      </w:r>
    </w:p>
    <w:p>
      <w:pPr>
        <w:spacing w:after="80" w:line="276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 ○ 「개인정보의 안전성 확보조치 기준」에서 사용하는 '용어 정의' 추가</w:t>
      </w:r>
    </w:p>
    <w:p>
      <w:pPr>
        <w:spacing w:after="80" w:line="276"/>
        <w:ind w:left="4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   - 개인정보처리시스템, 접속기록, 비밀번호, 위험도 분석 등 14개 용어 정의를 내부 관리계획에 직접 수록하여 규정간 불일치 해소</w:t>
      </w:r>
    </w:p>
    <w:p>
      <w:pPr>
        <w:spacing w:after="80" w:line="276"/>
        <w:ind w:left="6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FF"/>
          <w:sz w:val="22"/>
          <w:szCs w:val="22"/>
        </w:rPr>
        <w:t xml:space="preserve">     (개정 Ⅰ-3)</w:t>
      </w:r>
    </w:p>
    <w:p>
      <w:pPr>
        <w:spacing w:after="80" w:line="276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 ○ 일률적으로 적용해 온 '인터넷망 차단 조치 제도 개선' 사항 반영</w:t>
      </w:r>
    </w:p>
    <w:p>
      <w:pPr>
        <w:spacing w:after="80" w:line="276"/>
        <w:ind w:left="4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   - 개인정보를 다운로드 또는 파기할 수 있는 개인정보취급자의 컴퓨터도 위험분석 후 적절한 보호조치를 적용한 경우에는 접속 허용</w:t>
      </w:r>
    </w:p>
    <w:p>
      <w:pPr>
        <w:spacing w:after="80" w:line="276"/>
        <w:ind w:left="6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FF"/>
          <w:sz w:val="22"/>
          <w:szCs w:val="22"/>
        </w:rPr>
        <w:t xml:space="preserve">     (신설 Ⅳ-3)</w:t>
      </w:r>
    </w:p>
    <w:p>
      <w:pPr>
        <w:spacing w:after="80" w:line="276"/>
        <w:ind w:left="6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     ※ 단, 민감정보·비밀번호·생체정보·고유식별정보 등 중요 개인정보는 인터넷망 차단</w:t>
      </w:r>
    </w:p>
    <w:p>
      <w:pPr>
        <w:spacing w:after="80" w:line="276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 ○ '개인정보취급자' 중심의 관리 기준을 '정당한 권한을 가진 자'로 확대</w:t>
      </w:r>
    </w:p>
    <w:p>
      <w:pPr>
        <w:spacing w:after="80" w:line="276"/>
        <w:ind w:left="4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   - 접근권한 부여, 접근통제 조치, 접속기록 보관 등 주요 안전조치 사항을 '정당한 권한을 가진 자', '시스템에 접속한 자'로 확대 적용하여 비인가자의 접근을 막고 책임추적성 강화</w:t>
      </w:r>
    </w:p>
    <w:p>
      <w:pPr>
        <w:spacing w:after="80" w:line="276"/>
        <w:ind w:left="6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FF"/>
          <w:sz w:val="22"/>
          <w:szCs w:val="22"/>
        </w:rPr>
        <w:t xml:space="preserve">     (개정 Ⅳ-1, 2, 5)</w:t>
      </w:r>
    </w:p>
    <w:p>
      <w:pPr>
        <w:spacing w:after="80" w:line="276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 ○ 접속기록의 보관 및 점검을 기관의 책임하에 관리</w:t>
      </w:r>
    </w:p>
    <w:p>
      <w:pPr>
        <w:spacing w:after="80" w:line="276"/>
        <w:ind w:left="4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   - 접속기록 및 개인정보 다운로드 상황을 확인하고 점검하는 주기·방법·사후조치절차 등을 명확하게 규정</w:t>
      </w:r>
    </w:p>
    <w:p>
      <w:pPr>
        <w:spacing w:after="80" w:line="276"/>
        <w:ind w:left="6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FF"/>
          <w:sz w:val="22"/>
          <w:szCs w:val="22"/>
        </w:rPr>
        <w:t xml:space="preserve">     (개정 Ⅳ-5)</w:t>
      </w:r>
    </w:p>
    <w:p>
      <w:pPr>
        <w:spacing w:after="80" w:line="276"/>
        <w:ind w:left="6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     ※ 분야별 책임자(부서장)는 개인정보취급자의 접속기록 등을 월1회 이상 점검 및 관리총괄과장에게 제출하고, '비정상 행위' 및 '다운로드 사유 확인' 등 후속조치 추가</w:t>
      </w:r>
    </w:p>
    <w:p>
      <w:pPr>
        <w:spacing w:before="150"/>
      </w:pPr>
    </w:p>
    <w:p>
      <w:pPr>
        <w:spacing w:after="80" w:line="276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❷ </w:t>
      </w: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(외부 평가 환류)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 개보위「개인정보 보호수준 평가결과」에서 지적된 개선 권고사항을 반영하여 선순환 체계 구축</w:t>
      </w:r>
    </w:p>
    <w:p>
      <w:pPr>
        <w:spacing w:after="80" w:line="276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 ○ '개인정보 파기' 사항을 명확하게 규정</w:t>
      </w:r>
    </w:p>
    <w:p>
      <w:pPr>
        <w:spacing w:after="80" w:line="276"/>
        <w:ind w:left="4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   - 개인정보 파기계획을 수립하고, 보유기간 경과 등 불필요 시에는 즉시(5일 이내)에 파기 등 구체화하여 안전조치 강화</w:t>
      </w:r>
    </w:p>
    <w:p>
      <w:pPr>
        <w:spacing w:after="80" w:line="276"/>
        <w:ind w:left="6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FF"/>
          <w:sz w:val="22"/>
          <w:szCs w:val="22"/>
        </w:rPr>
        <w:t xml:space="preserve">     (개정 Ⅶ-1)</w:t>
      </w:r>
    </w:p>
    <w:p>
      <w:pPr>
        <w:spacing w:after="80" w:line="276"/>
        <w:ind w:left="6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     ※ 파기계획 수립, 파기의 시기, 법령상 보관 의무가 있는 보존 방법(분리 보관) 등</w:t>
      </w:r>
    </w:p>
    <w:p>
      <w:pPr>
        <w:spacing w:before="150"/>
      </w:pPr>
    </w:p>
    <w:p>
      <w:pPr>
        <w:spacing w:after="80" w:line="276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❸ </w:t>
      </w: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(표준 위수탁 계약서 현행화)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 개인정보 처리 위탁 시 개인정보가 재유통되거나 남용될 위험에 대비하여 표준 위·수탁 계약서에 책임 소재 명확화</w:t>
      </w:r>
    </w:p>
    <w:p>
      <w:pPr>
        <w:spacing w:after="80" w:line="276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 ○ 개인정보 처리 위탁에 따른 위탁자의 관리 감독 책임 강화</w:t>
      </w:r>
    </w:p>
    <w:p>
      <w:pPr>
        <w:spacing w:after="80" w:line="276"/>
        <w:ind w:left="4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   - 표준 개인정보처리위탁 계약서에 재위탁 시 위탁자의 동의를 받도록 하고, 수탁자에 대한 교육 및 감독 등의 의무강화 명시</w:t>
      </w:r>
    </w:p>
    <w:p>
      <w:pPr>
        <w:spacing w:after="80" w:line="276"/>
        <w:ind w:left="6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FF"/>
          <w:sz w:val="22"/>
          <w:szCs w:val="22"/>
        </w:rPr>
        <w:t xml:space="preserve">     (개정 서식)</w:t>
      </w:r>
    </w:p>
    <w:p>
      <w:pPr>
        <w:spacing w:after="80" w:line="276"/>
        <w:ind w:left="6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     ※ 수탁자 범위 명시(N차 재위탁 포함), 재위탁시 위탁자 동의, 위·수탁자 공동 손해배상 등 신설</w:t>
      </w:r>
    </w:p>
    <w:p>
      <w:pPr>
        <w:spacing w:before="150"/>
      </w:pPr>
    </w:p>
    <w:p>
      <w:pPr>
        <w:spacing w:after="80" w:line="276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❹ </w:t>
      </w: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(개인정보취급자 역할·책임 구체화)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 개인정보취급자의 역할 및 책임을 구체적으로 부여</w:t>
      </w:r>
    </w:p>
    <w:p>
      <w:pPr>
        <w:spacing w:after="80" w:line="276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 ○ 개인정보취급자가 분야별 책임자의 지휘·감독을 받아야 하는 업무 9개 항목 구체적 명시</w:t>
      </w:r>
    </w:p>
    <w:p>
      <w:pPr>
        <w:spacing w:after="80" w:line="276"/>
        <w:ind w:left="6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FF"/>
          <w:sz w:val="22"/>
          <w:szCs w:val="22"/>
        </w:rPr>
        <w:t xml:space="preserve">     (개정 Ⅱ-3-다)</w:t>
      </w:r>
    </w:p>
    <w:p>
      <w:pPr>
        <w:spacing w:before="150"/>
      </w:pPr>
    </w:p>
    <w:p>
      <w:pPr>
        <w:spacing w:after="80" w:line="276"/>
        <w:jc w:val="left"/>
      </w:pPr>
      <w:r>
        <w:rPr>
          <w:rFonts w:ascii="맑은 고딕" w:cs="맑은 고딕" w:eastAsia="맑은 고딕" w:hAnsi="맑은 고딕"/>
          <w:b/>
          <w:bCs/>
          <w:color w:val="008000"/>
          <w:sz w:val="22"/>
          <w:szCs w:val="22"/>
        </w:rPr>
        <w:t xml:space="preserve">❺ </w:t>
      </w:r>
      <w:r>
        <w:rPr>
          <w:rFonts w:ascii="맑은 고딕" w:cs="맑은 고딕" w:eastAsia="맑은 고딕" w:hAnsi="맑은 고딕"/>
          <w:b/>
          <w:bCs/>
          <w:color w:val="008000"/>
          <w:sz w:val="22"/>
          <w:szCs w:val="22"/>
        </w:rPr>
        <w:t xml:space="preserve">(실태점검 지적사항 선제 대응)</w:t>
      </w:r>
      <w:r>
        <w:rPr>
          <w:rFonts w:ascii="맑은 고딕" w:cs="맑은 고딕" w:eastAsia="맑은 고딕" w:hAnsi="맑은 고딕"/>
          <w:b w:val="false"/>
          <w:bCs w:val="false"/>
          <w:color w:val="008000"/>
          <w:sz w:val="22"/>
          <w:szCs w:val="22"/>
        </w:rPr>
        <w:t xml:space="preserve"> 소속기관 대상 개인정보보호 실태점검에서 반복 지적되는 사항을 내부 관리계획에 명시하여 선제적 보완</w:t>
      </w:r>
    </w:p>
    <w:p>
      <w:pPr>
        <w:spacing w:after="80" w:line="276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8000"/>
          <w:sz w:val="22"/>
          <w:szCs w:val="22"/>
        </w:rPr>
        <w:t xml:space="preserve"> ○ 내부 관리계획 이행실태 점검 방법 구체화</w:t>
      </w:r>
    </w:p>
    <w:p>
      <w:pPr>
        <w:spacing w:after="80" w:line="276"/>
        <w:ind w:left="4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8000"/>
          <w:sz w:val="22"/>
          <w:szCs w:val="22"/>
        </w:rPr>
        <w:t xml:space="preserve">   - 이행점검표를 작성하여 분야별로 실시하고, 보호수준 자체평가와 별도 점검 의무 명시</w:t>
      </w:r>
    </w:p>
    <w:p>
      <w:pPr>
        <w:spacing w:after="80" w:line="276"/>
        <w:ind w:left="6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8000"/>
          <w:sz w:val="22"/>
          <w:szCs w:val="22"/>
        </w:rPr>
        <w:t xml:space="preserve">     (보완 Ⅱ-3-가)</w:t>
      </w:r>
    </w:p>
    <w:p>
      <w:pPr>
        <w:spacing w:after="80" w:line="276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8000"/>
          <w:sz w:val="22"/>
          <w:szCs w:val="22"/>
        </w:rPr>
        <w:t xml:space="preserve"> ○ 개별 개인정보파일별 처리방침 수립·비치 의무 명시</w:t>
      </w:r>
    </w:p>
    <w:p>
      <w:pPr>
        <w:spacing w:after="80" w:line="276"/>
        <w:ind w:left="4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8000"/>
          <w:sz w:val="22"/>
          <w:szCs w:val="22"/>
        </w:rPr>
        <w:t xml:space="preserve">   - 대표 홈페이지 단순 링크 불가, 개인정보처리시스템 또는 업무처리 장소에 직접 비치</w:t>
      </w:r>
    </w:p>
    <w:p>
      <w:pPr>
        <w:spacing w:after="80" w:line="276"/>
        <w:ind w:left="6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8000"/>
          <w:sz w:val="22"/>
          <w:szCs w:val="22"/>
        </w:rPr>
        <w:t xml:space="preserve">     (보완 Ⅱ-3-나)</w:t>
      </w:r>
    </w:p>
    <w:p>
      <w:pPr>
        <w:spacing w:after="80" w:line="276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8000"/>
          <w:sz w:val="22"/>
          <w:szCs w:val="22"/>
        </w:rPr>
        <w:t xml:space="preserve"> ○ 수탁자 관리·감독 체계 구체화</w:t>
      </w:r>
    </w:p>
    <w:p>
      <w:pPr>
        <w:spacing w:after="80" w:line="276"/>
        <w:ind w:left="4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8000"/>
          <w:sz w:val="22"/>
          <w:szCs w:val="22"/>
        </w:rPr>
        <w:t xml:space="preserve">   - 연간 관리·감독 계획 수립, 실태점검표 마련, 위탁 계약서 현행화(내부관리계획 개정 시 갱신) 의무 명시</w:t>
      </w:r>
    </w:p>
    <w:p>
      <w:pPr>
        <w:spacing w:after="80" w:line="276"/>
        <w:ind w:left="6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8000"/>
          <w:sz w:val="22"/>
          <w:szCs w:val="22"/>
        </w:rPr>
        <w:t xml:space="preserve">     (보완 Ⅲ-3-가, 나)</w:t>
      </w:r>
    </w:p>
    <w:p>
      <w:pPr>
        <w:spacing w:after="80" w:line="276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8000"/>
          <w:sz w:val="22"/>
          <w:szCs w:val="22"/>
        </w:rPr>
        <w:t xml:space="preserve"> ○ 개인정보 보호 교육의 독립 시행 명시</w:t>
      </w:r>
    </w:p>
    <w:p>
      <w:pPr>
        <w:spacing w:after="80" w:line="276"/>
        <w:ind w:left="4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8000"/>
          <w:sz w:val="22"/>
          <w:szCs w:val="22"/>
        </w:rPr>
        <w:t xml:space="preserve">   - 보안교육과 별도로 개인정보 보호에 관한 독립 항목 구성, 교육 실적 별도 기록 의무</w:t>
      </w:r>
    </w:p>
    <w:p>
      <w:pPr>
        <w:spacing w:after="80" w:line="276"/>
        <w:ind w:left="6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8000"/>
          <w:sz w:val="22"/>
          <w:szCs w:val="22"/>
        </w:rPr>
        <w:t xml:space="preserve">     (보완 Ⅲ-1)</w:t>
      </w:r>
    </w:p>
    <w:p>
      <w:pPr>
        <w:spacing w:after="80" w:line="276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8000"/>
          <w:sz w:val="22"/>
          <w:szCs w:val="22"/>
        </w:rPr>
        <w:t xml:space="preserve"> ○ 물리적 안전조치(전산실 등 출입통제 규정) 구체화</w:t>
      </w:r>
    </w:p>
    <w:p>
      <w:pPr>
        <w:spacing w:after="80" w:line="276"/>
        <w:ind w:left="4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8000"/>
          <w:sz w:val="22"/>
          <w:szCs w:val="22"/>
        </w:rPr>
        <w:t xml:space="preserve">   - 전산실·서버실·통신실 등에 대한 별도 출입통제 규정·지침 수립 의무 명시</w:t>
      </w:r>
    </w:p>
    <w:p>
      <w:pPr>
        <w:spacing w:after="80" w:line="276"/>
        <w:ind w:left="6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8000"/>
          <w:sz w:val="22"/>
          <w:szCs w:val="22"/>
        </w:rPr>
        <w:t xml:space="preserve">     (보완 Ⅴ-1)</w:t>
      </w:r>
    </w:p>
    <w:p>
      <w:pPr>
        <w:spacing w:before="150"/>
      </w:pPr>
    </w:p>
    <w:p>
      <w:pPr>
        <w:spacing w:after="80" w:line="276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❻ </w:t>
      </w: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(기타 사항)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 기타 문구 수정(용어 현행화, 띄어쓰기 등)</w:t>
      </w:r>
    </w:p>
    <w:p>
      <w:pPr>
        <w:spacing w:after="80" w:line="276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 ○ 분야별 책임자 제목에 "보호" 추가: "개인정보 분야별 책임자" → "개인정보 보호 분야별 책임자"</w:t>
      </w:r>
    </w:p>
    <w:p>
      <w:pPr>
        <w:spacing w:after="80" w:line="276"/>
        <w:ind w:left="6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FF"/>
          <w:sz w:val="22"/>
          <w:szCs w:val="22"/>
        </w:rPr>
        <w:t xml:space="preserve">     (개정 Ⅱ-3-나)</w:t>
      </w:r>
    </w:p>
    <w:p>
      <w:pPr>
        <w:spacing w:after="80" w:line="276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 ○ 재해·재난 '대응' → '대비 안전조치'로 용어 변경</w:t>
      </w:r>
    </w:p>
    <w:p>
      <w:pPr>
        <w:spacing w:after="80" w:line="276"/>
        <w:ind w:left="6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FF"/>
          <w:sz w:val="22"/>
          <w:szCs w:val="22"/>
        </w:rPr>
        <w:t xml:space="preserve">     (개정 Ⅴ-2)</w:t>
      </w:r>
    </w:p>
    <w:p>
      <w:pPr>
        <w:spacing w:after="80" w:line="276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 ○ 기술적 안전조치 조항 번호 재배열 (3.인터넷망 차단 신설에 따른 후속 번호 조정)</w:t>
      </w:r>
    </w:p>
    <w:p>
      <w:pPr>
        <w:spacing w:after="80" w:line="276"/>
        <w:ind w:left="6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FF"/>
          <w:sz w:val="22"/>
          <w:szCs w:val="22"/>
        </w:rPr>
        <w:t xml:space="preserve">     (개정 Ⅳ 전체)</w:t>
      </w:r>
    </w:p>
    <w:p>
      <w:pPr>
        <w:spacing w:after="80" w:line="276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 ○ 위험분석 제출처 '보호위원회' → '개인정보보호위원회' 정확한 명칭 사용</w:t>
      </w:r>
    </w:p>
    <w:p>
      <w:pPr>
        <w:spacing w:after="80" w:line="276"/>
        <w:ind w:left="6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FF"/>
          <w:sz w:val="22"/>
          <w:szCs w:val="22"/>
        </w:rPr>
        <w:t xml:space="preserve">     (개정 Ⅳ-8)</w:t>
      </w:r>
    </w:p>
    <w:p>
      <w:pPr>
        <w:spacing w:before="300"/>
      </w:pPr>
    </w:p>
    <w:p>
      <w:pPr>
        <w:spacing w:after="150" w:line="276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3. 추진 일정</w:t>
      </w:r>
    </w:p>
    <w:p>
      <w:pPr>
        <w:spacing w:after="80" w:line="276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 ○ 내부 관리계획 개정(안) 의견 수렴 : ~○월</w:t>
      </w:r>
    </w:p>
    <w:p>
      <w:pPr>
        <w:spacing w:after="80" w:line="276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 ○ 「정부청사관리본부 개인정보 내부 관리계획 개정(안)」보고(본부장)·시행 : ○월</w:t>
      </w:r>
    </w:p>
    <w:p>
      <w:pPr>
        <w:spacing w:after="80" w:line="276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 ○ 개정내용 전 직원 공지 및 비치 : ○월</w:t>
      </w:r>
    </w:p>
    <w:p>
      <w:r>
        <w:br w:type="page"/>
      </w:r>
    </w:p>
    <w:p>
      <w:pPr>
        <w:spacing w:after="200" w:line="276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붙임1</w:t>
      </w: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  개정 전·후 비교표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900"/>
        <w:gridCol w:w="3900"/>
      </w:tblGrid>
      <w:tr>
        <w:tc>
          <w:tcPr>
            <w:tcW w:type="dxa" w:w="1200"/>
            <w:shd w:fill="D6E4F0" w:val="clear"/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구분</w:t>
            </w:r>
          </w:p>
        </w:tc>
        <w:tc>
          <w:tcPr>
            <w:tcW w:type="dxa" w:w="3900"/>
            <w:shd w:fill="D6E4F0" w:val="clear"/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현 행 ('24년)</w:t>
            </w:r>
          </w:p>
        </w:tc>
        <w:tc>
          <w:tcPr>
            <w:tcW w:type="dxa" w:w="3900"/>
            <w:shd w:fill="D6E4F0" w:val="clear"/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개정(안)</w:t>
            </w:r>
          </w:p>
        </w:tc>
      </w:tr>
      <w:tr>
        <w:tc>
          <w:tcPr>
            <w:tcW w:type="dxa" w:w="1200"/>
            <w:shd w:fill="F2F2F2" w:val="clear"/>
            <w:vAlign w:val="center"/>
          </w:tcPr>
          <w:p>
            <w:pPr>
              <w:spacing w:after="80"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Ⅰ-3
용어 정의</w:t>
            </w:r>
          </w:p>
        </w:tc>
        <w:tc>
          <w:tcPr>
            <w:tcW w:type="dxa" w:w="3900"/>
            <w:vAlign w:val="top"/>
          </w:tcPr>
          <w:p>
            <w:pPr>
              <w:spacing w:after="8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○ 이 내부 관리계획에서 사용하는 용어 정의는 「행정안전부 개인정보 보호지침」제3조의 정의를 준용한다.</w:t>
            </w:r>
          </w:p>
        </w:tc>
        <w:tc>
          <w:tcPr>
            <w:tcW w:type="dxa" w:w="3900"/>
            <w:vAlign w:val="top"/>
          </w:tcPr>
          <w:p>
            <w:pPr>
              <w:spacing w:after="8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FF"/>
                <w:sz w:val="17"/>
                <w:szCs w:val="17"/>
              </w:rPr>
              <w:t xml:space="preserve">○ 이 내부 관리계획에서 사용하는 용어의 뜻은 다음과 같다.
① "개인정보처리시스템"이란 ...
② ~ ⑭ (14개 용어 상세 정의 신설)</w:t>
            </w:r>
          </w:p>
        </w:tc>
      </w:tr>
      <w:tr>
        <w:tc>
          <w:tcPr>
            <w:tcW w:type="dxa" w:w="1200"/>
            <w:shd w:fill="F2F2F2" w:val="clear"/>
            <w:vAlign w:val="center"/>
          </w:tcPr>
          <w:p>
            <w:pPr>
              <w:spacing w:after="80"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Ⅱ-3-나
분야별
책임자</w:t>
            </w:r>
          </w:p>
        </w:tc>
        <w:tc>
          <w:tcPr>
            <w:tcW w:type="dxa" w:w="3900"/>
            <w:vAlign w:val="top"/>
          </w:tcPr>
          <w:p>
            <w:pPr>
              <w:spacing w:after="8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○ 분야별 책임자는 업무를 목적으로 ... 관리‧감독을 하여야 한다.</w:t>
            </w:r>
          </w:p>
        </w:tc>
        <w:tc>
          <w:tcPr>
            <w:tcW w:type="dxa" w:w="3900"/>
            <w:vAlign w:val="top"/>
          </w:tcPr>
          <w:p>
            <w:pPr>
              <w:spacing w:after="8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FF"/>
                <w:sz w:val="17"/>
                <w:szCs w:val="17"/>
              </w:rPr>
              <w:t xml:space="preserve">○ 분야별 책임자는 개인정보취급자를 업무상 필요한 한도 내에서 최소한으로 두어야 하며 ... 관리‧감독을 하여야 한다.
○ (신설) 개인정보파일별 처리방침 수립·비치 의무 명시</w:t>
            </w:r>
          </w:p>
        </w:tc>
      </w:tr>
      <w:tr>
        <w:tc>
          <w:tcPr>
            <w:tcW w:type="dxa" w:w="1200"/>
            <w:shd w:fill="F2F2F2" w:val="clear"/>
            <w:vAlign w:val="center"/>
          </w:tcPr>
          <w:p>
            <w:pPr>
              <w:spacing w:after="80"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Ⅱ-3-다
취급자</w:t>
            </w:r>
          </w:p>
        </w:tc>
        <w:tc>
          <w:tcPr>
            <w:tcW w:type="dxa" w:w="3900"/>
            <w:vAlign w:val="top"/>
          </w:tcPr>
          <w:p>
            <w:pPr>
              <w:spacing w:after="8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○ 분야별 책임자는 ... 관리·감독하여야 한다.
○ 개인정보취급자는 ... 준수하여야 한다.</w:t>
            </w:r>
          </w:p>
        </w:tc>
        <w:tc>
          <w:tcPr>
            <w:tcW w:type="dxa" w:w="3900"/>
            <w:vAlign w:val="top"/>
          </w:tcPr>
          <w:p>
            <w:pPr>
              <w:spacing w:after="8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FF"/>
                <w:sz w:val="17"/>
                <w:szCs w:val="17"/>
              </w:rPr>
              <w:t xml:space="preserve">○ 개인정보취급자는 ... 지휘·감독을 받아 ... 준수하여야 한다.
○ 개인정보취급자 업무 9개 항목(①~⑨) 구체적 명시</w:t>
            </w:r>
          </w:p>
        </w:tc>
      </w:tr>
      <w:tr>
        <w:tc>
          <w:tcPr>
            <w:tcW w:type="dxa" w:w="1200"/>
            <w:shd w:fill="F2F2F2" w:val="clear"/>
            <w:vAlign w:val="center"/>
          </w:tcPr>
          <w:p>
            <w:pPr>
              <w:spacing w:after="80"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Ⅲ-1
교육</w:t>
            </w:r>
          </w:p>
        </w:tc>
        <w:tc>
          <w:tcPr>
            <w:tcW w:type="dxa" w:w="3900"/>
            <w:vAlign w:val="top"/>
          </w:tcPr>
          <w:p>
            <w:pPr>
              <w:spacing w:after="8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(해당 조항 없음)</w:t>
            </w:r>
          </w:p>
        </w:tc>
        <w:tc>
          <w:tcPr>
            <w:tcW w:type="dxa" w:w="3900"/>
            <w:vAlign w:val="top"/>
          </w:tcPr>
          <w:p>
            <w:pPr>
              <w:spacing w:after="8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8000"/>
                <w:sz w:val="17"/>
                <w:szCs w:val="17"/>
              </w:rPr>
              <w:t xml:space="preserve">(신설) 개인정보 보호 교육은 보안교육과 별도 독립 항목으로 구성, 교육 실적 별도 기록</w:t>
            </w:r>
          </w:p>
        </w:tc>
      </w:tr>
      <w:tr>
        <w:tc>
          <w:tcPr>
            <w:tcW w:type="dxa" w:w="1200"/>
            <w:shd w:fill="F2F2F2" w:val="clear"/>
            <w:vAlign w:val="center"/>
          </w:tcPr>
          <w:p>
            <w:pPr>
              <w:spacing w:after="80"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Ⅲ-3-가
위탁절차</w:t>
            </w:r>
          </w:p>
        </w:tc>
        <w:tc>
          <w:tcPr>
            <w:tcW w:type="dxa" w:w="3900"/>
            <w:vAlign w:val="top"/>
          </w:tcPr>
          <w:p>
            <w:pPr>
              <w:spacing w:after="8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○ 계약서 또는 협약서에 표준 개인정보처리위탁 계약서를 작성...</w:t>
            </w:r>
          </w:p>
        </w:tc>
        <w:tc>
          <w:tcPr>
            <w:tcW w:type="dxa" w:w="3900"/>
            <w:vAlign w:val="top"/>
          </w:tcPr>
          <w:p>
            <w:pPr>
              <w:spacing w:after="8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8000"/>
                <w:sz w:val="17"/>
                <w:szCs w:val="17"/>
              </w:rPr>
              <w:t xml:space="preserve">○ (동일)
(신설) 계약서는 서식과 동일 내용 작성, 내부관리계획 개정 시 기존 계약서도 갱신</w:t>
            </w:r>
          </w:p>
        </w:tc>
      </w:tr>
      <w:tr>
        <w:tc>
          <w:tcPr>
            <w:tcW w:type="dxa" w:w="1200"/>
            <w:shd w:fill="F2F2F2" w:val="clear"/>
            <w:vAlign w:val="center"/>
          </w:tcPr>
          <w:p>
            <w:pPr>
              <w:spacing w:after="80"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Ⅲ-3-나
위탁자
책임</w:t>
            </w:r>
          </w:p>
        </w:tc>
        <w:tc>
          <w:tcPr>
            <w:tcW w:type="dxa" w:w="3900"/>
            <w:vAlign w:val="top"/>
          </w:tcPr>
          <w:p>
            <w:pPr>
              <w:spacing w:after="8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○ ... 연 1회 이상 수탁자에 대한 ... 점검하고 ... 보고</w:t>
            </w:r>
          </w:p>
        </w:tc>
        <w:tc>
          <w:tcPr>
            <w:tcW w:type="dxa" w:w="3900"/>
            <w:vAlign w:val="top"/>
          </w:tcPr>
          <w:p>
            <w:pPr>
              <w:spacing w:after="8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8000"/>
                <w:sz w:val="17"/>
                <w:szCs w:val="17"/>
              </w:rPr>
              <w:t xml:space="preserve">○ (동일)
(신설) 연간 관리·감독 계획 수립, 실태점검표 마련
(신설) 수탁자 개인정보 교육 독립 시행·기록</w:t>
            </w:r>
          </w:p>
        </w:tc>
      </w:tr>
      <w:tr>
        <w:tc>
          <w:tcPr>
            <w:tcW w:type="dxa" w:w="1200"/>
            <w:shd w:fill="F2F2F2" w:val="clear"/>
            <w:vAlign w:val="center"/>
          </w:tcPr>
          <w:p>
            <w:pPr>
              <w:spacing w:after="80"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Ⅳ-1
접근권한</w:t>
            </w:r>
          </w:p>
        </w:tc>
        <w:tc>
          <w:tcPr>
            <w:tcW w:type="dxa" w:w="3900"/>
            <w:vAlign w:val="top"/>
          </w:tcPr>
          <w:p>
            <w:pPr>
              <w:spacing w:after="8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○ ... 접근 권한을 개인정보취급자에게만 ...
○ ... 정당한 권한을 가진 개인정보취급자 또는 정보주체만이 ...</w:t>
            </w:r>
          </w:p>
        </w:tc>
        <w:tc>
          <w:tcPr>
            <w:tcW w:type="dxa" w:w="3900"/>
            <w:vAlign w:val="top"/>
          </w:tcPr>
          <w:p>
            <w:pPr>
              <w:spacing w:after="8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FF"/>
                <w:sz w:val="17"/>
                <w:szCs w:val="17"/>
              </w:rPr>
              <w:t xml:space="preserve">○ ... 접근 권한을 업무 수행에 필요한 최소한으로 ...
○ ... 정당한 권한을 가진 자만이 ...</w:t>
            </w:r>
          </w:p>
        </w:tc>
      </w:tr>
      <w:tr>
        <w:tc>
          <w:tcPr>
            <w:tcW w:type="dxa" w:w="1200"/>
            <w:shd w:fill="F2F2F2" w:val="clear"/>
            <w:vAlign w:val="center"/>
          </w:tcPr>
          <w:p>
            <w:pPr>
              <w:spacing w:after="80"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Ⅳ-2
접근통제</w:t>
            </w:r>
          </w:p>
        </w:tc>
        <w:tc>
          <w:tcPr>
            <w:tcW w:type="dxa" w:w="3900"/>
            <w:vAlign w:val="top"/>
          </w:tcPr>
          <w:p>
            <w:pPr>
              <w:spacing w:after="8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○ ... 개인정보취급자가 ... 외부에서 접속 ...</w:t>
            </w:r>
          </w:p>
        </w:tc>
        <w:tc>
          <w:tcPr>
            <w:tcW w:type="dxa" w:w="3900"/>
            <w:vAlign w:val="top"/>
          </w:tcPr>
          <w:p>
            <w:pPr>
              <w:spacing w:after="8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FF"/>
                <w:sz w:val="17"/>
                <w:szCs w:val="17"/>
              </w:rPr>
              <w:t xml:space="preserve">○ ... 정당한 접근 권한을 가진 자(정보주체 제외)가 ... 외부에서 접속 ...</w:t>
            </w:r>
          </w:p>
        </w:tc>
      </w:tr>
      <w:tr>
        <w:tc>
          <w:tcPr>
            <w:tcW w:type="dxa" w:w="1200"/>
            <w:shd w:fill="F2F2F2" w:val="clear"/>
            <w:vAlign w:val="center"/>
          </w:tcPr>
          <w:p>
            <w:pPr>
              <w:spacing w:after="80"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Ⅳ-3
인터넷망
(신설)</w:t>
            </w:r>
          </w:p>
        </w:tc>
        <w:tc>
          <w:tcPr>
            <w:tcW w:type="dxa" w:w="3900"/>
            <w:vAlign w:val="top"/>
          </w:tcPr>
          <w:p>
            <w:pPr>
              <w:spacing w:after="8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(기존 접근통제에 일부 포함)</w:t>
            </w:r>
          </w:p>
        </w:tc>
        <w:tc>
          <w:tcPr>
            <w:tcW w:type="dxa" w:w="3900"/>
            <w:vAlign w:val="top"/>
          </w:tcPr>
          <w:p>
            <w:pPr>
              <w:spacing w:after="8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FF"/>
                <w:sz w:val="17"/>
                <w:szCs w:val="17"/>
              </w:rPr>
              <w:t xml:space="preserve">(신설) 인터넷망의 차단 조치 등
- 100만명 이상 이용자 기준
- 위험분석 예외 적용 조항 신설</w:t>
            </w:r>
          </w:p>
        </w:tc>
      </w:tr>
      <w:tr>
        <w:tc>
          <w:tcPr>
            <w:tcW w:type="dxa" w:w="1200"/>
            <w:shd w:fill="F2F2F2" w:val="clear"/>
            <w:vAlign w:val="center"/>
          </w:tcPr>
          <w:p>
            <w:pPr>
              <w:spacing w:after="80"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Ⅳ-5
접속기록</w:t>
            </w:r>
          </w:p>
        </w:tc>
        <w:tc>
          <w:tcPr>
            <w:tcW w:type="dxa" w:w="3900"/>
            <w:vAlign w:val="top"/>
          </w:tcPr>
          <w:p>
            <w:pPr>
              <w:spacing w:after="8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○ ... 1년 이상 보관
○ ... 접속기록 등을 월1회 이상 점검 ... 데이터정보화담당관에게 제출</w:t>
            </w:r>
          </w:p>
        </w:tc>
        <w:tc>
          <w:tcPr>
            <w:tcW w:type="dxa" w:w="3900"/>
            <w:vAlign w:val="top"/>
          </w:tcPr>
          <w:p>
            <w:pPr>
              <w:spacing w:after="8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FF"/>
                <w:sz w:val="17"/>
                <w:szCs w:val="17"/>
              </w:rPr>
              <w:t xml:space="preserve">○ ... 1년 이상 보관 (5만명 이상/고유식별정보 → 2년)
○ ... 접속기록 및 다운로드 상황 확인 후 ... 관리총괄과장에게 제출
- 5가지 필수사항 명시
- '비정상 행위' 대응 추가</w:t>
            </w:r>
          </w:p>
        </w:tc>
      </w:tr>
      <w:tr>
        <w:tc>
          <w:tcPr>
            <w:tcW w:type="dxa" w:w="1200"/>
            <w:shd w:fill="F2F2F2" w:val="clear"/>
            <w:vAlign w:val="center"/>
          </w:tcPr>
          <w:p>
            <w:pPr>
              <w:spacing w:after="80"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Ⅴ-1
물리적</w:t>
            </w:r>
          </w:p>
        </w:tc>
        <w:tc>
          <w:tcPr>
            <w:tcW w:type="dxa" w:w="3900"/>
            <w:vAlign w:val="top"/>
          </w:tcPr>
          <w:p>
            <w:pPr>
              <w:spacing w:after="8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○ ... 출입통제 절차를 수립ㆍ운영</w:t>
            </w:r>
          </w:p>
        </w:tc>
        <w:tc>
          <w:tcPr>
            <w:tcW w:type="dxa" w:w="3900"/>
            <w:vAlign w:val="top"/>
          </w:tcPr>
          <w:p>
            <w:pPr>
              <w:spacing w:after="8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8000"/>
                <w:sz w:val="17"/>
                <w:szCs w:val="17"/>
              </w:rPr>
              <w:t xml:space="preserve">○ (동일)
(신설) 전산실·서버실·통신실 등 별도 출입통제 규정 수립 의무 명시</w:t>
            </w:r>
          </w:p>
        </w:tc>
      </w:tr>
      <w:tr>
        <w:tc>
          <w:tcPr>
            <w:tcW w:type="dxa" w:w="1200"/>
            <w:shd w:fill="F2F2F2" w:val="clear"/>
            <w:vAlign w:val="center"/>
          </w:tcPr>
          <w:p>
            <w:pPr>
              <w:spacing w:after="80"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Ⅴ-2
재해재난</w:t>
            </w:r>
          </w:p>
        </w:tc>
        <w:tc>
          <w:tcPr>
            <w:tcW w:type="dxa" w:w="3900"/>
            <w:vAlign w:val="top"/>
          </w:tcPr>
          <w:p>
            <w:pPr>
              <w:spacing w:after="8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2. 재해·재난 대응</w:t>
            </w:r>
          </w:p>
        </w:tc>
        <w:tc>
          <w:tcPr>
            <w:tcW w:type="dxa" w:w="3900"/>
            <w:vAlign w:val="top"/>
          </w:tcPr>
          <w:p>
            <w:pPr>
              <w:spacing w:after="8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FF"/>
                <w:sz w:val="17"/>
                <w:szCs w:val="17"/>
              </w:rPr>
              <w:t xml:space="preserve">2. 재해·재난 대비 안전조치</w:t>
            </w:r>
          </w:p>
        </w:tc>
      </w:tr>
      <w:tr>
        <w:tc>
          <w:tcPr>
            <w:tcW w:type="dxa" w:w="1200"/>
            <w:shd w:fill="F2F2F2" w:val="clear"/>
            <w:vAlign w:val="center"/>
          </w:tcPr>
          <w:p>
            <w:pPr>
              <w:spacing w:after="80"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Ⅶ-1
파기</w:t>
            </w:r>
          </w:p>
        </w:tc>
        <w:tc>
          <w:tcPr>
            <w:tcW w:type="dxa" w:w="3900"/>
            <w:vAlign w:val="top"/>
          </w:tcPr>
          <w:p>
            <w:pPr>
              <w:spacing w:after="8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○ ... 불필요하게 되었을 때에는 지체 없이 파기 ...</w:t>
            </w:r>
          </w:p>
        </w:tc>
        <w:tc>
          <w:tcPr>
            <w:tcW w:type="dxa" w:w="3900"/>
            <w:vAlign w:val="top"/>
          </w:tcPr>
          <w:p>
            <w:pPr>
              <w:spacing w:after="8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FF"/>
                <w:sz w:val="17"/>
                <w:szCs w:val="17"/>
              </w:rPr>
              <w:t xml:space="preserve">○ 파기계획 수립, 5일 이내 파기
- 법령상 보존 시 분리 보관
- 공공시스템 별도 파기계획 예외
○ (신설) 파기 사유 발생 시 승인 후 파기
- 매년 일제정비 시 점검
- 위·수탁 종료 시 파기 관리</w:t>
            </w:r>
          </w:p>
        </w:tc>
      </w:tr>
      <w:tr>
        <w:tc>
          <w:tcPr>
            <w:tcW w:type="dxa" w:w="1200"/>
            <w:shd w:fill="F2F2F2" w:val="clear"/>
            <w:vAlign w:val="center"/>
          </w:tcPr>
          <w:p>
            <w:pPr>
              <w:spacing w:after="80"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서식</w:t>
            </w:r>
          </w:p>
        </w:tc>
        <w:tc>
          <w:tcPr>
            <w:tcW w:type="dxa" w:w="3900"/>
            <w:vAlign w:val="top"/>
          </w:tcPr>
          <w:p>
            <w:pPr>
              <w:spacing w:after="8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표준 개인정보처리위탁 계약서 (구 서식)</w:t>
            </w:r>
          </w:p>
        </w:tc>
        <w:tc>
          <w:tcPr>
            <w:tcW w:type="dxa" w:w="3900"/>
            <w:vAlign w:val="top"/>
          </w:tcPr>
          <w:p>
            <w:pPr>
              <w:spacing w:after="8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FF"/>
                <w:sz w:val="17"/>
                <w:szCs w:val="17"/>
              </w:rPr>
              <w:t xml:space="preserve">표준 개인정보처리위탁 계약서 (본부 '26년 전면 교체)
- 재위탁 동의 의무, 공동 손해배상 등 신설</w:t>
            </w:r>
          </w:p>
        </w:tc>
      </w:tr>
    </w:tbl>
    <w:p>
      <w:pPr>
        <w:spacing w:before="200"/>
      </w:pPr>
    </w:p>
    <w:p>
      <w:pPr>
        <w:spacing w:after="80" w:line="276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18"/>
          <w:szCs w:val="18"/>
        </w:rPr>
        <w:t xml:space="preserve">※ 색상 범례</w:t>
      </w:r>
    </w:p>
    <w:p>
      <w:pPr>
        <w:spacing w:after="80" w:line="276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FF"/>
          <w:sz w:val="18"/>
          <w:szCs w:val="18"/>
        </w:rPr>
        <w:t xml:space="preserve">■ 파란색: 본부(행정안전부) '26년 개정 반영 사항</w:t>
      </w:r>
    </w:p>
    <w:p>
      <w:pPr>
        <w:spacing w:after="80" w:line="276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8000"/>
          <w:sz w:val="18"/>
          <w:szCs w:val="18"/>
        </w:rPr>
        <w:t xml:space="preserve">■ 초록색: 실태점검 지적사항 대응을 위한 신규 보완 사항</w:t>
      </w:r>
    </w:p>
    <w:sectPr>
      <w:pgSz w:w="11906" w:h="16838" w:orient="portrait"/>
      <w:pgMar w:top="1417" w:right="1417" w:bottom="1417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2026-07-05T00:46:09.611Z</dcterms:created>
  <dcterms:modified xsi:type="dcterms:W3CDTF">2026-07-05T00:46:09.624Z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