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20"/>
        <w:jc w:val="center"/>
      </w:pPr>
      <w:r>
        <w:rPr>
          <w:rFonts w:ascii="David" w:cs="David" w:eastAsia="David" w:hAnsi="David"/>
          <w:b/>
          <w:bCs/>
          <w:color w:val="3d3529"/>
          <w:sz w:val="48"/>
          <w:szCs w:val="48"/>
          <w:rtl/>
        </w:rPr>
        <w:t xml:space="preserve">קוראים אחרת</w:t>
      </w:r>
    </w:p>
    <w:p>
      <w:pPr>
        <w:spacing w:after="80" w:before="0" w:line="320"/>
        <w:jc w:val="center"/>
      </w:pPr>
      <w:r>
        <w:rPr>
          <w:rFonts w:ascii="David" w:cs="David" w:eastAsia="David" w:hAnsi="David"/>
          <w:color w:val="6b7c5b"/>
          <w:sz w:val="28"/>
          <w:szCs w:val="28"/>
          <w:rtl/>
        </w:rPr>
        <w:t xml:space="preserve">כלי ליווי סוקרטי לקריאה אקדמית</w:t>
      </w:r>
    </w:p>
    <w:p>
      <w:pPr>
        <w:spacing w:after="120" w:before="0" w:line="320"/>
        <w:jc w:val="center"/>
      </w:pPr>
      <w:r>
        <w:rPr>
          <w:rFonts w:ascii="David" w:cs="David" w:eastAsia="David" w:hAnsi="David"/>
          <w:color w:val="8a7d6b"/>
          <w:sz w:val="22"/>
          <w:szCs w:val="22"/>
          <w:rtl/>
        </w:rPr>
        <w:t xml:space="preserve">אנתרופולוגיה בת זמנינו: מסע במרחב — רופין, תשפ"ו</w:t>
      </w:r>
    </w:p>
    <w:p>
      <w:pPr>
        <w:pBdr>
          <w:bottom w:val="single" w:color="ddd8cc" w:sz="6" w:space="1"/>
        </w:pBd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spacing w:after="8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pStyle w:val="Heading1"/>
        <w:spacing w:after="280" w:before="0" w:line="320"/>
        <w:jc w:val="right"/>
      </w:pPr>
      <w:r>
        <w:rPr>
          <w:rFonts w:ascii="David" w:cs="David" w:eastAsia="David" w:hAnsi="David"/>
          <w:b/>
          <w:bCs/>
          <w:color w:val="3d3529"/>
          <w:sz w:val="36"/>
          <w:szCs w:val="36"/>
          <w:rtl/>
        </w:rPr>
        <w:t xml:space="preserve">מה זה?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"קוראים אחרת" הוא כלי דיגיטלי שמלווה סטודנטים בקריאת מאמר אקדמי. הוא לא מחליף את הקריאה — הוא מכריח אותה לקרות. הכלי בנוי סביב עקרון פדגוגי אחד: חיכוך הוא תנאי ללמידה. אם קל מדי, לא למדת כלום.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הכלי מותאם לסילבוס של הקורס. בשלב הפיילוט, הוא בנוי סביב מאמר אחד:</w:t>
      </w:r>
    </w:p>
    <w:p>
      <w:pPr>
        <w:spacing w:after="280" w:before="0" w:line="320"/>
        <w:jc w:val="left"/>
      </w:pPr>
      <w:r>
        <w:rPr>
          <w:rFonts w:ascii="Georgia" w:cs="Georgia" w:eastAsia="Georgia" w:hAnsi="Georgia"/>
          <w:i/>
          <w:iCs/>
          <w:color w:val="5a4f40"/>
          <w:sz w:val="22"/>
          <w:szCs w:val="22"/>
        </w:rPr>
        <w:t xml:space="preserve">Tsing, Anna. "Arts of Inclusion, or How to Love a Mushroom." </w:t>
      </w:r>
      <w:r>
        <w:rPr>
          <w:rFonts w:ascii="Georgia" w:cs="Georgia" w:eastAsia="Georgia" w:hAnsi="Georgia"/>
          <w:i/>
          <w:iCs/>
          <w:color w:val="5a4f40"/>
          <w:sz w:val="22"/>
          <w:szCs w:val="22"/>
        </w:rPr>
        <w:t xml:space="preserve">Mānoa</w:t>
      </w:r>
      <w:r>
        <w:rPr>
          <w:rFonts w:ascii="Georgia" w:cs="Georgia" w:eastAsia="Georgia" w:hAnsi="Georgia"/>
          <w:color w:val="5a4f40"/>
          <w:sz w:val="22"/>
          <w:szCs w:val="22"/>
        </w:rPr>
        <w:t xml:space="preserve"> 22(2), 2010, pp. 191–203.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המאמר עוסק ברשתות פטריות תת-קרקעיות, באהבה בין מינים, במדע דמוקרטי מול "מדע מטעים", ובשאלה איך לאהוב את מה שנמצא בשוליים. הוא מתאים מצוין לפתיחת הקורס ומתחבר לנושאים של קיימות, מקומי מול גלובלי, ושוליים מול מרכז.</w:t>
      </w:r>
    </w:p>
    <w:p>
      <w:pPr>
        <w:pStyle w:val="Heading1"/>
        <w:spacing w:after="280" w:before="0" w:line="320"/>
        <w:jc w:val="right"/>
      </w:pPr>
      <w:r>
        <w:rPr>
          <w:rFonts w:ascii="David" w:cs="David" w:eastAsia="David" w:hAnsi="David"/>
          <w:b/>
          <w:bCs/>
          <w:color w:val="3d3529"/>
          <w:sz w:val="36"/>
          <w:szCs w:val="36"/>
          <w:rtl/>
        </w:rPr>
        <w:t xml:space="preserve">איך זה עובד?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הסטודנטים נכנסים לאתר ועוברים חמישה שלבים:</w:t>
      </w:r>
    </w:p>
    <w:p>
      <w:pPr>
        <w:pStyle w:val="Heading2"/>
        <w:spacing w:after="240" w:before="300" w:line="320"/>
        <w:jc w:val="right"/>
      </w:pPr>
      <w:r>
        <w:rPr>
          <w:rFonts w:ascii="David" w:cs="David" w:eastAsia="David" w:hAnsi="David"/>
          <w:b/>
          <w:bCs/>
          <w:color w:val="5a4f40"/>
          <w:sz w:val="28"/>
          <w:szCs w:val="28"/>
          <w:rtl/>
        </w:rPr>
        <w:t xml:space="preserve">שלב 1: מפת המאמר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הכלי מציג סקירה של חלקי המאמר בעברית. הסטודנטים יכולים ללחוץ על כל חלק ולקרוא תקציר. המטרה: התמצאות לפני הצלילה.</w:t>
      </w:r>
    </w:p>
    <w:p>
      <w:pPr>
        <w:pStyle w:val="Heading2"/>
        <w:spacing w:after="240" w:before="300" w:line="320"/>
        <w:jc w:val="right"/>
      </w:pPr>
      <w:r>
        <w:rPr>
          <w:rFonts w:ascii="David" w:cs="David" w:eastAsia="David" w:hAnsi="David"/>
          <w:b/>
          <w:bCs/>
          <w:color w:val="5a4f40"/>
          <w:sz w:val="28"/>
          <w:szCs w:val="28"/>
          <w:rtl/>
        </w:rPr>
        <w:t xml:space="preserve">שלב 2: מושגי מפתח וקריאת המאמר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שישה מושגים מרכזיים מוצגים ככרטיסיות שנפתחות — כל אחד עם הסבר בעברית והפניה לעמוד. במקביל, הסטודנטים יכולים לקרוא את טקסט המאמר המקורי באנגלית, עם אפשרות לפתוח תרגום לעברית לכל פסקה. כל מה שהם פותחים — נרשם.</w:t>
      </w:r>
    </w:p>
    <w:p>
      <w:pPr>
        <w:pStyle w:val="Heading2"/>
        <w:spacing w:after="240" w:before="300" w:line="320"/>
        <w:jc w:val="right"/>
      </w:pPr>
      <w:r>
        <w:rPr>
          <w:rFonts w:ascii="David" w:cs="David" w:eastAsia="David" w:hAnsi="David"/>
          <w:b/>
          <w:bCs/>
          <w:color w:val="5a4f40"/>
          <w:sz w:val="28"/>
          <w:szCs w:val="28"/>
          <w:rtl/>
        </w:rPr>
        <w:t xml:space="preserve">שלב 3: שאלות מובנות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שש שאלות בשלוש רמות, מהפשוט למורכב: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זיהוי — מהי הטענה המרכזית? מי הדמויות?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הבנה — מה ההבדל בין שני הפרויקטים? איך הרעיון מתחבר לישראל?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ביקורת — איפה אתם פוגשים "מדע מטעים" בחיים שלכם? כיצד טסינג הופכת שוליים למרכז?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כל שאלה מציגה את הקטע הרלוונטי מהמאמר בצמוד אליה. הסטודנטים חייבים לענות בכתיבה ידנית — אין אפשרות להדביק טקסט, אין אפשרות להעתיק. זה לא באג, זה עיקרון מכוון.</w:t>
      </w:r>
    </w:p>
    <w:p>
      <w:pPr>
        <w:pStyle w:val="Heading2"/>
        <w:spacing w:after="240" w:before="300" w:line="320"/>
        <w:jc w:val="right"/>
      </w:pPr>
      <w:r>
        <w:rPr>
          <w:rFonts w:ascii="David" w:cs="David" w:eastAsia="David" w:hAnsi="David"/>
          <w:b/>
          <w:bCs/>
          <w:color w:val="5a4f40"/>
          <w:sz w:val="28"/>
          <w:szCs w:val="28"/>
          <w:rtl/>
        </w:rPr>
        <w:t xml:space="preserve">שלב 4: מבחן קצר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חמש עד שמונה שאלות — בחירה מרובה, התאמה, ונכון/לא נכון עם הצדקה. בודק הבנה עובדתית (מי זה Matsiman? מה זו מיקוריזה?) ומושגית (מה טסינג מתכוונת ב"מדע מטעים"?). לא ניתן לדלג.</w:t>
      </w:r>
    </w:p>
    <w:p>
      <w:pPr>
        <w:pStyle w:val="Heading2"/>
        <w:spacing w:after="240" w:before="300" w:line="320"/>
        <w:jc w:val="right"/>
      </w:pPr>
      <w:r>
        <w:rPr>
          <w:rFonts w:ascii="David" w:cs="David" w:eastAsia="David" w:hAnsi="David"/>
          <w:b/>
          <w:bCs/>
          <w:color w:val="5a4f40"/>
          <w:sz w:val="28"/>
          <w:szCs w:val="28"/>
          <w:rtl/>
        </w:rPr>
        <w:t xml:space="preserve">שלב 5: דוח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הכלי מייצר דוח HTML שכולל: כל התשובות, תוצאות המבחן, נתוני מעורבות (כמה מושגים נפתחו, כמה תרגומים נצפו, כמה זמן הוקדש). הסטודנטים מורידים את הדוח ומגישים אותו דרך המודל.</w:t>
      </w:r>
    </w:p>
    <w:p>
      <w:pPr>
        <w:pStyle w:val="Heading1"/>
        <w:spacing w:after="280" w:before="0" w:line="320"/>
        <w:jc w:val="right"/>
      </w:pPr>
      <w:r>
        <w:rPr>
          <w:rFonts w:ascii="David" w:cs="David" w:eastAsia="David" w:hAnsi="David"/>
          <w:b/>
          <w:bCs/>
          <w:color w:val="3d3529"/>
          <w:sz w:val="36"/>
          <w:szCs w:val="36"/>
          <w:rtl/>
        </w:rPr>
        <w:t xml:space="preserve">למה חיכוך?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בעידן של בינה מלאכותית, הבעיה אינה גישה למידע — הבעיה היא שסטודנטים יכולים "לסיים" מטלה בלי שהמוח שלהם השתתף. הדבקת טקסט מ-ChatGPT לתוך תיבת טקסט אינה למידה. גם קריאה רפרופית של מאמר ומענה על שאלות עם חומר מהאינטרנט אינה למידה.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הכלי הזה מכריח תהליך: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קודם כל — להתמצא במבנה המאמר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אחר כך — להכיר מושגים לפני שקוראים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ואז — לקרוא את הטקסט עצמו, עם גישה לתרגום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ורק אז — לענות על שאלות, ביד, בלי הדבקה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ולבסוף — מבחן קצר שבודק שבאמת קראו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נדרוש גם צילומי מסך של הדוח כנספחים להגשה — כמו שדיברנו על האתנוגרפיה הדיגיטלית.</w:t>
      </w:r>
    </w:p>
    <w:p>
      <w:pPr>
        <w:pStyle w:val="Heading1"/>
        <w:spacing w:after="280" w:before="0" w:line="320"/>
        <w:jc w:val="right"/>
      </w:pPr>
      <w:r>
        <w:rPr>
          <w:rFonts w:ascii="David" w:cs="David" w:eastAsia="David" w:hAnsi="David"/>
          <w:b/>
          <w:bCs/>
          <w:color w:val="3d3529"/>
          <w:sz w:val="36"/>
          <w:szCs w:val="36"/>
          <w:rtl/>
        </w:rPr>
        <w:t xml:space="preserve">הגנה מפני שימוש בבינה מלאכותית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הכלי מגן על עצמו בכמה רמות: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חסימת דפדפני AI ובוטים: האתר מזהה וחוסם גישה מדפדפנים אוטומטיים וסוכני AI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חסימת העתקה והדבקה: בכל תיבות הכתיבה — אי אפשר להדביק טקסט, להעתיק, או לגרור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טקסט המאמר אינו ניתן לסימון: הסטודנטים לא יכולים לסמן ולהעתיק קטעים מהמאמר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הודעה גלויה: הסטודנטים רואים הסבר שזה בכוונה — "החיכוך הוא חלק מהלמידה"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>חשוב להדגיש: אף שיטת הגנה אינה מושלמת. סטודנט נחוש יכול תמיד למצוא דרך לעקוף. אבל המטרה אינה אבטחה מוחלטת — המטרה היא ליצור ברירת מחדל של מאמץ אמיתי, כך שהדרך הקלה ביותר היא פשוט לעשות את העבודה.</w:t>
      </w:r>
    </w:p>
    <w:p>
      <w:pPr>
        <w:pStyle w:val="Heading1"/>
        <w:spacing w:after="280" w:before="0" w:line="320"/>
        <w:jc w:val="right"/>
      </w:pPr>
      <w:r>
        <w:rPr>
          <w:rFonts w:ascii="David" w:cs="David" w:eastAsia="David" w:hAnsi="David"/>
          <w:b/>
          <w:bCs/>
          <w:color w:val="3d3529"/>
          <w:sz w:val="36"/>
          <w:szCs w:val="36"/>
          <w:rtl/>
        </w:rPr>
        <w:t xml:space="preserve">מה הכלי הזה לא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הוא לא צ'אטבוט שעונה לסטודנטים על המאמר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הוא לא כלי AI שמסכם או מתרגם אוטומטית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הוא לא מערכת ציונים — הציון ייקבע על ידינו, לא על ידי המכונה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הוא לא תחליף לקריאת המאמר — הוא מכריח אותה</w:t>
      </w:r>
    </w:p>
    <w:p>
      <w:pPr>
        <w:pStyle w:val="Heading1"/>
        <w:spacing w:after="280" w:before="0" w:line="320"/>
        <w:jc w:val="right"/>
      </w:pPr>
      <w:r>
        <w:rPr>
          <w:rFonts w:ascii="David" w:cs="David" w:eastAsia="David" w:hAnsi="David"/>
          <w:b/>
          <w:bCs/>
          <w:color w:val="3d3529"/>
          <w:sz w:val="36"/>
          <w:szCs w:val="36"/>
          <w:rtl/>
        </w:rPr>
        <w:t xml:space="preserve">מה אנחנו צריכות ממך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אישור על המאמר של טסינג כטקסט הפתיחה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אישור על השאלות — או שינויים ותוספות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אישור על שאלות המבחן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החלטה: האם להגיש את הדוח כמטלת אמצע או כתרגיל נפרד?</w:t>
      </w:r>
    </w:p>
    <w:p>
      <w:pPr>
        <w:spacing w:after="120" w:line="320"/>
        <w:ind w:right="360"/>
        <w:jc w:val="right"/>
      </w:pPr>
      <w:r>
        <w:rPr>
          <w:rFonts w:ascii="David" w:cs="David" w:eastAsia="David" w:hAnsi="David"/>
          <w:color w:val="333333"/>
          <w:sz w:val="24"/>
          <w:szCs w:val="24"/>
          <w:rtl/>
        </w:rPr>
        <w:t xml:space="preserve">• האם יש דגשים שהיית רוצה שהשאלות יתמקדו בהם?</w:t>
      </w:r>
    </w:p>
    <w:p>
      <w:pPr>
        <w:spacing w:after="8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pBdr>
          <w:bottom w:val="single" w:color="ddd8cc" w:sz="6" w:space="1"/>
        </w:pBd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spacing w:after="8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333333"/>
          <w:sz w:val="24"/>
          <w:szCs w:val="24"/>
          <w:rtl/>
        </w:rPr>
        <w:t xml:space="preserve"/>
      </w:r>
    </w:p>
    <w:p>
      <w:pPr>
        <w:spacing w:after="40" w:before="0" w:line="320"/>
        <w:jc w:val="right"/>
      </w:pPr>
      <w:r>
        <w:rPr>
          <w:rFonts w:ascii="David" w:cs="David" w:eastAsia="David" w:hAnsi="David"/>
          <w:b/>
          <w:bCs/>
          <w:color w:val="333333"/>
          <w:sz w:val="24"/>
          <w:szCs w:val="24"/>
          <w:rtl/>
        </w:rPr>
        <w:t xml:space="preserve">הילה</w:t>
      </w:r>
    </w:p>
    <w:p>
      <w:pPr>
        <w:spacing w:after="200" w:before="0" w:line="320"/>
        <w:jc w:val="right"/>
      </w:pPr>
      <w:r>
        <w:rPr>
          <w:rFonts w:ascii="David" w:cs="David" w:eastAsia="David" w:hAnsi="David"/>
          <w:b w:val="false"/>
          <w:bCs w:val="false"/>
          <w:color w:val="8a7d6b"/>
          <w:sz w:val="22"/>
          <w:szCs w:val="22"/>
          <w:rtl/>
        </w:rPr>
        <w:t xml:space="preserve">מרץ 2026</w:t>
      </w:r>
    </w:p>
    <w:sectPr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4"/>
        <w:szCs w:val="24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80"/>
      <w:jc w:val="right"/>
      <w:outlineLvl w:val="0"/>
    </w:pPr>
    <w:rPr>
      <w:rFonts w:ascii="David" w:cs="David" w:eastAsia="David" w:hAnsi="David"/>
      <w:b/>
      <w:bCs/>
      <w:color w:val="3d352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40"/>
      <w:jc w:val="right"/>
      <w:outlineLvl w:val="1"/>
    </w:pPr>
    <w:rPr>
      <w:rFonts w:ascii="David" w:cs="David" w:eastAsia="David" w:hAnsi="David"/>
      <w:b/>
      <w:bCs/>
      <w:color w:val="5a4f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2026-03-08T08:08:30.608Z</dcterms:created>
  <dcterms:modified xsi:type="dcterms:W3CDTF">2026-03-08T08:08:30.609Z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