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공공 정보화사업 테일러링 내역서</w:t>
      </w:r>
    </w:p>
    <w:p>
      <w:r>
        <w:rPr>
          <w:rFonts w:ascii="맑은 고딕" w:hAnsi="맑은 고딕" w:eastAsia="맑은 고딕" w:cs="맑은 고딕"/>
          <w:b/>
          <w:color w:val="000000"/>
        </w:rPr>
        <w:t>공공 정보화사업 이행관리 및 AI 검토지원 구축  |  2026년 9월 11일  |  v0.1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본 내역서는 RFP의 요구를 단계별 작업·납품 산출물·검증 증거에 연결한다. 발주기관은 공고 전 조건부 범위와 산출물을 확정하고, 수행사업자는 착수 시 이를 WBS·작성/검토 책임·일정에 반영한다. 현재의 적용·통합·조건부·제외는 검토안이며 승인 사실을 뜻하지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A9A9"/>
          <w:left w:val="single" w:sz="5" w:color="A9A9A9"/>
          <w:bottom w:val="single" w:sz="5" w:color="A9A9A9"/>
          <w:right w:val="single" w:sz="5" w:color="A9A9A9"/>
          <w:insideH w:val="single" w:sz="5" w:color="A9A9A9"/>
          <w:insideV w:val="single" w:sz="5" w:color="A9A9A9"/>
        </w:tblBorders>
      </w:tblPr>
      <w:tblGrid>
        <w:gridCol w:w="2600"/>
        <w:gridCol w:w="12200"/>
      </w:tblGrid>
      <w:tr>
        <w:trPr>
          <w:cantSplit/>
          <w:tblHeader/>
        </w:trPr>
        <w:tc>
          <w:tcPr>
            <w:tcW w:type="dxa" w:w="26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70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122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70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대상 사업</w:t>
            </w:r>
          </w:p>
        </w:tc>
        <w:tc>
          <w:tcPr>
            <w:tcW w:type="dxa" w:w="122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공공 정보화사업 이행관리 및 AI 검토지원 구축  |  기관 PG-01에서 확정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대응 RFP</w:t>
            </w:r>
          </w:p>
        </w:tc>
        <w:tc>
          <w:tcPr>
            <w:tcW w:type="dxa" w:w="122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공공 정보화사업 이행관리 및 AI 검토지원 구축 제안요청서 v0.1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양식의 출처</w:t>
            </w:r>
          </w:p>
        </w:tc>
        <w:tc>
          <w:tcPr>
            <w:tcW w:type="dxa" w:w="122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L01 참조사업 PP11-1 HWPX의 5열 구조 및 L02 공단 개발 표준 가이드의 테일러링 절차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검토 단위</w:t>
            </w:r>
          </w:p>
        </w:tc>
        <w:tc>
          <w:tcPr>
            <w:tcW w:type="dxa" w:w="122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기초 문서 4개 + 참조사업 코드 74개 + 표준 보완 검토 7개. 항목 수는 실제 별도 파일 수가 아니다.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이번 설계 범위</w:t>
            </w:r>
          </w:p>
        </w:tc>
        <w:tc>
          <w:tcPr>
            <w:tcW w:type="dxa" w:w="122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1차 RFP 52개 요구와 납품 관계를 정의한다. 본 문서의 CO·TE·IM은 향후 계약 수행 단계이며 현재 구현·시험 완료를 뜻하지 않는다.</w:t>
            </w:r>
          </w:p>
        </w:tc>
      </w:tr>
    </w:tbl>
    <w:p>
      <w:pPr>
        <w:spacing w:after="20" w:line="40" w:lineRule="exact"/>
      </w:pPr>
    </w:p>
    <w:p>
      <w:pPr>
        <w:pStyle w:val="Heading2"/>
      </w:pPr>
      <w:r>
        <w:t>1 적용 판정과 관리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A9A9"/>
          <w:left w:val="single" w:sz="5" w:color="A9A9A9"/>
          <w:bottom w:val="single" w:sz="5" w:color="A9A9A9"/>
          <w:right w:val="single" w:sz="5" w:color="A9A9A9"/>
          <w:insideH w:val="single" w:sz="5" w:color="A9A9A9"/>
          <w:insideV w:val="single" w:sz="5" w:color="A9A9A9"/>
        </w:tblBorders>
      </w:tblPr>
      <w:tblGrid>
        <w:gridCol w:w="1500"/>
        <w:gridCol w:w="5900"/>
        <w:gridCol w:w="7400"/>
      </w:tblGrid>
      <w:tr>
        <w:trPr>
          <w:cantSplit/>
          <w:tblHeader/>
        </w:trPr>
        <w:tc>
          <w:tcPr>
            <w:tcW w:type="dxa" w:w="15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70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판정</w:t>
            </w:r>
          </w:p>
        </w:tc>
        <w:tc>
          <w:tcPr>
            <w:tcW w:type="dxa" w:w="59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70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뜻</w:t>
            </w:r>
          </w:p>
        </w:tc>
        <w:tc>
          <w:tcPr>
            <w:tcW w:type="dxa" w:w="7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70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확정 시 필요한 기록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적용</w:t>
            </w:r>
          </w:p>
        </w:tc>
        <w:tc>
          <w:tcPr>
            <w:tcW w:type="dxa" w:w="59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본 과업에서 내용과 증거를 작성·제출</w:t>
            </w:r>
          </w:p>
        </w:tc>
        <w:tc>
          <w:tcPr>
            <w:tcW w:type="dxa" w:w="7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요구 ID·작성/검토자·제출시점·최종 파일/절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통합</w:t>
            </w:r>
          </w:p>
        </w:tc>
        <w:tc>
          <w:tcPr>
            <w:tcW w:type="dxa" w:w="59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별도 파일은 줄이고 지정 문서에 필수 내용을 포함</w:t>
            </w:r>
          </w:p>
        </w:tc>
        <w:tc>
          <w:tcPr>
            <w:tcW w:type="dxa" w:w="7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원 코드·통합 대상·해당 절·내용 누락 여부·검토 결과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조건부</w:t>
            </w:r>
          </w:p>
        </w:tc>
        <w:tc>
          <w:tcPr>
            <w:tcW w:type="dxa" w:w="59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이관·연계·기관 등록·인증 등 범위를 확인해 결정</w:t>
            </w:r>
          </w:p>
        </w:tc>
        <w:tc>
          <w:tcPr>
            <w:tcW w:type="dxa" w:w="7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공고 전 채택/제외·물량·가격·기관 협조·미채택 대체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제외</w:t>
            </w:r>
          </w:p>
        </w:tc>
        <w:tc>
          <w:tcPr>
            <w:tcW w:type="dxa" w:w="59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이번 사업 특성상 해당 작업을 수행하지 않는 안</w:t>
            </w:r>
          </w:p>
        </w:tc>
        <w:tc>
          <w:tcPr>
            <w:tcW w:type="dxa" w:w="7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비해당 근거·대체 정보·범위 변경 시 재검토 조건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참조</w:t>
            </w:r>
          </w:p>
        </w:tc>
        <w:tc>
          <w:tcPr>
            <w:tcW w:type="dxa" w:w="59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발주·계약의 기준 문서를 참조</w:t>
            </w:r>
          </w:p>
        </w:tc>
        <w:tc>
          <w:tcPr>
            <w:tcW w:type="dxa" w:w="7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기관 확정본·계약 편입본의 버전과 위치</w:t>
            </w:r>
          </w:p>
        </w:tc>
      </w:tr>
    </w:tbl>
    <w:p>
      <w:pPr>
        <w:spacing w:after="20" w:line="40" w:lineRule="exact"/>
      </w:pPr>
    </w:p>
    <w:p>
      <w:r>
        <w:rPr>
          <w:rFonts w:ascii="맑은 고딕" w:hAnsi="맑은 고딕" w:eastAsia="맑은 고딕" w:cs="맑은 고딕"/>
          <w:b w:val="0"/>
          <w:color w:val="000000"/>
        </w:rPr>
        <w:t>신규 인프라 투자비 0원은 SW 설치·권한·백업 정책·복구 시험·운영 인계의 제외를 뜻하지 않는다. 기존 자원을 사용하는 범위에서 해당 내용을 작성한다.</w:t>
      </w:r>
    </w:p>
    <w:p>
      <w:pPr>
        <w:pStyle w:val="Heading2"/>
        <w:pageBreakBefore/>
      </w:pPr>
      <w:r>
        <w:t>2 원본 조사와 코드 적용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A9A9"/>
          <w:left w:val="single" w:sz="5" w:color="A9A9A9"/>
          <w:bottom w:val="single" w:sz="5" w:color="A9A9A9"/>
          <w:right w:val="single" w:sz="5" w:color="A9A9A9"/>
          <w:insideH w:val="single" w:sz="5" w:color="A9A9A9"/>
          <w:insideV w:val="single" w:sz="5" w:color="A9A9A9"/>
        </w:tblBorders>
      </w:tblPr>
      <w:tblGrid>
        <w:gridCol w:w="2800"/>
        <w:gridCol w:w="5940"/>
        <w:gridCol w:w="6060"/>
      </w:tblGrid>
      <w:tr>
        <w:trPr>
          <w:cantSplit/>
          <w:tblHeader/>
        </w:trPr>
        <w:tc>
          <w:tcPr>
            <w:tcW w:type="dxa" w:w="28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70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확인 대상</w:t>
            </w:r>
          </w:p>
        </w:tc>
        <w:tc>
          <w:tcPr>
            <w:tcW w:type="dxa" w:w="59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70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직접 확인한 사실</w:t>
            </w:r>
          </w:p>
        </w:tc>
        <w:tc>
          <w:tcPr>
            <w:tcW w:type="dxa" w:w="60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70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이번 적용 판단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L01 참조사업 HWPX</w:t>
            </w:r>
          </w:p>
        </w:tc>
        <w:tc>
          <w:tcPr>
            <w:tcW w:type="dxa" w:w="59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5열: 단계(Phase)·활동(Activity)·작업(Task)·산출물·비고. PM 14개와 개발 60개 코드, 무코드 문서 4개.</w:t>
            </w:r>
          </w:p>
        </w:tc>
        <w:tc>
          <w:tcPr>
            <w:tcW w:type="dxa" w:w="60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원 코드와 이름을 보존하고 비고에 판정·통합 위치·사유·RFP 연결을 추가한다.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L02 표준 가이드 PDF 10쪽</w:t>
            </w:r>
          </w:p>
        </w:tc>
        <w:tc>
          <w:tcPr>
            <w:tcW w:type="dxa" w:w="59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프로젝트 특징→테일러링→WBS→고객 검토/재작성의 절차.</w:t>
            </w:r>
          </w:p>
        </w:tc>
        <w:tc>
          <w:tcPr>
            <w:tcW w:type="dxa" w:w="60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사업 특성·범위·WBS·검토 권한을 함께 확정한다.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L02 PDF 74~78쪽</w:t>
            </w:r>
          </w:p>
        </w:tc>
        <w:tc>
          <w:tcPr>
            <w:tcW w:type="dxa" w:w="59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원 표준은 비고 대신 필수여부·표준양식을 둔 6열 구성. 비해당 산출물도 협의 및 근거 제출 필요.</w:t>
            </w:r>
          </w:p>
        </w:tc>
        <w:tc>
          <w:tcPr>
            <w:tcW w:type="dxa" w:w="60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L01의 5열 양식과 L02 필수 내용의 충족 여부를 함께 확인한다.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L04 참조 RFP PDF 2·8~11쪽</w:t>
            </w:r>
          </w:p>
        </w:tc>
        <w:tc>
          <w:tcPr>
            <w:tcW w:type="dxa" w:w="59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7개 장과 요구사항 분류·고유번호·명칭·상세설명 표가 존재.</w:t>
            </w:r>
          </w:p>
        </w:tc>
        <w:tc>
          <w:tcPr>
            <w:tcW w:type="dxa" w:w="60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52개 요구를 해당 분류로 재편하고 발주·납품 관리 요구를 보강한다.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원본의 승인 상태</w:t>
            </w:r>
          </w:p>
        </w:tc>
        <w:tc>
          <w:tcPr>
            <w:tcW w:type="dxa" w:w="59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표지 일자와 개정 이력 날짜에 불일치가 있고 고객 검토 제출 표기가 있음.</w:t>
            </w:r>
          </w:p>
        </w:tc>
        <w:tc>
          <w:tcPr>
            <w:tcW w:type="dxa" w:w="60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기관의 최종 승인본이라고 단정하지 않는다. 본 표는 새로운 사업의 검토안이다.</w:t>
            </w:r>
          </w:p>
        </w:tc>
      </w:tr>
    </w:tbl>
    <w:p>
      <w:pPr>
        <w:spacing w:after="20" w:line="40" w:lineRule="exact"/>
      </w:pPr>
    </w:p>
    <w:p>
      <w:pPr>
        <w:pStyle w:val="Heading3"/>
      </w:pPr>
      <w:r>
        <w:t>주요 코드 차이와 통합 해석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A9A9"/>
          <w:left w:val="single" w:sz="5" w:color="A9A9A9"/>
          <w:bottom w:val="single" w:sz="5" w:color="A9A9A9"/>
          <w:right w:val="single" w:sz="5" w:color="A9A9A9"/>
          <w:insideH w:val="single" w:sz="5" w:color="A9A9A9"/>
          <w:insideV w:val="single" w:sz="5" w:color="A9A9A9"/>
        </w:tblBorders>
      </w:tblPr>
      <w:tblGrid>
        <w:gridCol w:w="4000"/>
        <w:gridCol w:w="5400"/>
        <w:gridCol w:w="5400"/>
      </w:tblGrid>
      <w:tr>
        <w:trPr>
          <w:cantSplit/>
          <w:tblHeader/>
        </w:trPr>
        <w:tc>
          <w:tcPr>
            <w:tcW w:type="dxa" w:w="40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62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참조사업 L01</w:t>
            </w:r>
          </w:p>
        </w:tc>
        <w:tc>
          <w:tcPr>
            <w:tcW w:type="dxa" w:w="5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62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일반 표준 L02</w:t>
            </w:r>
          </w:p>
        </w:tc>
        <w:tc>
          <w:tcPr>
            <w:tcW w:type="dxa" w:w="5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62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이번 기록 방법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DE21-1 클래스설계서</w:t>
            </w:r>
          </w:p>
        </w:tc>
        <w:tc>
          <w:tcPr>
            <w:tcW w:type="dxa" w:w="5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DE21-1 유스케이스·DE21-2 시퀀스·DE21-3 클래스</w:t>
            </w:r>
          </w:p>
        </w:tc>
        <w:tc>
          <w:tcPr>
            <w:tcW w:type="dxa" w:w="5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L01 DE21-1을 사용하되 유스케이스·상호작용·클래스의 해당 절을 연결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DE31-1 ERD·DE31-2 물리테이블</w:t>
            </w:r>
          </w:p>
        </w:tc>
        <w:tc>
          <w:tcPr>
            <w:tcW w:type="dxa" w:w="5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DE31-1 개념·DE31-2 논리·DE31-3 물리</w:t>
            </w:r>
          </w:p>
        </w:tc>
        <w:tc>
          <w:tcPr>
            <w:tcW w:type="dxa" w:w="5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개념/논리→L01 DE31-1, 물리→L01 DE31-2. CRUD 관계는 필요 내용을 포함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CO22 지식저장소·CO23 연계</w:t>
            </w:r>
          </w:p>
        </w:tc>
        <w:tc>
          <w:tcPr>
            <w:tcW w:type="dxa" w:w="5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CO22가 연계 산출물 코드</w:t>
            </w:r>
          </w:p>
        </w:tc>
        <w:tc>
          <w:tcPr>
            <w:tcW w:type="dxa" w:w="5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CO23를 본 사업 연계 코드로 쓰고 원 표준 대응을 남김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IM11-1 소스 인계인수대장</w:t>
            </w:r>
          </w:p>
        </w:tc>
        <w:tc>
          <w:tcPr>
            <w:tcW w:type="dxa" w:w="5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IM11-1 배포 신청·IM11-2 인계인수대장</w:t>
            </w:r>
          </w:p>
        </w:tc>
        <w:tc>
          <w:tcPr>
            <w:tcW w:type="dxa" w:w="5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대장은 L01 코드, 배포 신청 근거는 IM12-1에 통합</w:t>
            </w:r>
          </w:p>
        </w:tc>
      </w:tr>
    </w:tbl>
    <w:p>
      <w:pPr>
        <w:spacing w:after="20" w:line="40" w:lineRule="exact"/>
      </w:pPr>
    </w:p>
    <w:p>
      <w:pPr>
        <w:pStyle w:val="Heading2"/>
        <w:pageBreakBefore/>
      </w:pPr>
      <w:r>
        <w:t>3 단계별 테일러링 1</w:t>
      </w:r>
    </w:p>
    <w:p>
      <w:r>
        <w:rPr>
          <w:rFonts w:ascii="맑은 고딕" w:hAnsi="맑은 고딕" w:eastAsia="맑은 고딕" w:cs="맑은 고딕"/>
          <w:b w:val="0"/>
          <w:color w:val="000000"/>
          <w:sz w:val="20"/>
        </w:rPr>
        <w:t>단계·활동·작업·산출물은 참조사업의 구조를 유지한다. 비고의 판정과 근거는 이번 사업에 맞춘 적용안이다.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A9A9"/>
          <w:left w:val="single" w:sz="5" w:color="A9A9A9"/>
          <w:bottom w:val="single" w:sz="5" w:color="A9A9A9"/>
          <w:right w:val="single" w:sz="5" w:color="A9A9A9"/>
          <w:insideH w:val="single" w:sz="5" w:color="A9A9A9"/>
          <w:insideV w:val="single" w:sz="5" w:color="A9A9A9"/>
        </w:tblBorders>
      </w:tblPr>
      <w:tblGrid>
        <w:gridCol w:w="1460"/>
        <w:gridCol w:w="1660"/>
        <w:gridCol w:w="2040"/>
        <w:gridCol w:w="3620"/>
        <w:gridCol w:w="6020"/>
      </w:tblGrid>
      <w:tr>
        <w:trPr>
          <w:cantSplit/>
          <w:tblHeader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단계(Phase)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활동(Activity)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작업(Task)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산출물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 사업관리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사업관리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착수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기초-1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과업 및 제안요청서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참조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발주기관 확정본을 사업 기준으로 참조한다.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정기·사건별 작성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 사업관리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사업관리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착수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기초-2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제안서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참조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계약에 편입된 제안·협상 결과를 참조한다.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정기·사건별 작성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 사업관리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사업관리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착수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기초-3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사업수행계획서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테일러링·WBS·조직·위험·검증계획의 기준을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정기·사건별 작성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 사업관리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사업관리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착수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기초-4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착수계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기관의 착수 제출 절차에 맞춰 제출한다.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정기·사건별 작성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 사업관리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사업관리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PM01. 보고관리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PM01-1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착수보고서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정기·사건별 작성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 사업관리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사업관리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PM01. 보고관리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PM01-2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결과보고서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정기·사건별 작성 | RFP: PMR-002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 사업관리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사업관리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PM01. 보고관리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PM01-3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주간보고서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정기·사건별 작성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 사업관리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사업관리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PM01. 보고관리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PM01-4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월간보고서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 → PM01-3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월간 마감본은 주간보고 누적본과 동일 기준선으로 생성하되 월간 의사결정·위험 추세를 포함한다.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정기·사건별 작성 | RFP: PMR-003~004</w:t>
            </w:r>
          </w:p>
        </w:tc>
      </w:tr>
    </w:tbl>
    <w:p>
      <w:pPr>
        <w:spacing w:after="20" w:line="40" w:lineRule="exact"/>
      </w:pPr>
    </w:p>
    <w:p>
      <w:pPr>
        <w:pStyle w:val="Heading2"/>
        <w:pageBreakBefore/>
      </w:pPr>
      <w:r>
        <w:t>3 단계별 테일러링 2</w:t>
      </w:r>
    </w:p>
    <w:p>
      <w:r>
        <w:rPr>
          <w:rFonts w:ascii="맑은 고딕" w:hAnsi="맑은 고딕" w:eastAsia="맑은 고딕" w:cs="맑은 고딕"/>
          <w:b w:val="0"/>
          <w:color w:val="000000"/>
          <w:sz w:val="20"/>
        </w:rPr>
        <w:t>단계·활동·작업·산출물은 참조사업의 구조를 유지한다. 비고의 판정과 근거는 이번 사업에 맞춘 적용안이다.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A9A9"/>
          <w:left w:val="single" w:sz="5" w:color="A9A9A9"/>
          <w:bottom w:val="single" w:sz="5" w:color="A9A9A9"/>
          <w:right w:val="single" w:sz="5" w:color="A9A9A9"/>
          <w:insideH w:val="single" w:sz="5" w:color="A9A9A9"/>
          <w:insideV w:val="single" w:sz="5" w:color="A9A9A9"/>
        </w:tblBorders>
      </w:tblPr>
      <w:tblGrid>
        <w:gridCol w:w="1460"/>
        <w:gridCol w:w="1660"/>
        <w:gridCol w:w="2040"/>
        <w:gridCol w:w="3620"/>
        <w:gridCol w:w="6020"/>
      </w:tblGrid>
      <w:tr>
        <w:trPr>
          <w:cantSplit/>
          <w:tblHeader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단계(Phase)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활동(Activity)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작업(Task)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산출물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 사업관리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사업관리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PM01. 보고관리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PM01-5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상시보고서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 → PM01-6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수시 현안·긴급 보고를 회의/의사결정 기록에 포함하고 요청별 접수·완료를 추적한다.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정기·사건별 작성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 사업관리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사업관리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PM01. 보고관리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PM01-6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회의록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정기·사건별 작성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 사업관리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사업관리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PM02. 산출물관리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PM02-1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산출물 관리계획서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정기·사건별 작성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 사업관리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사업관리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PM02. 산출물관리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PM02-2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산출물 표준양식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정기·사건별 작성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 사업관리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사업관리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PM03. 위험관리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PM03-1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위험관리대장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정기·사건별 작성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 사업관리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사업관리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PM03. 위험관리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PM03-2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이슈관리대장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정기·사건별 작성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 사업관리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사업관리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 M04. 보안관리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PM04-1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보안관리 계획서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자료·인력·장소·원격접근·반출·개발 및 운영 보안대책과 책임을 작성한다. 기관 보안규정의 적용본을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정기·사건별 작성 | RFP: SER-001~002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 사업관리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사업관리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 M04. 보안관리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PM04-2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보안 교육결과서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정기·사건별 작성 | RFP: PMR-003~004</w:t>
            </w:r>
          </w:p>
        </w:tc>
      </w:tr>
    </w:tbl>
    <w:p>
      <w:pPr>
        <w:spacing w:after="20" w:line="40" w:lineRule="exact"/>
      </w:pPr>
    </w:p>
    <w:p>
      <w:pPr>
        <w:pStyle w:val="Heading2"/>
        <w:pageBreakBefore/>
      </w:pPr>
      <w:r>
        <w:t>3 단계별 테일러링 3</w:t>
      </w:r>
    </w:p>
    <w:p>
      <w:r>
        <w:rPr>
          <w:rFonts w:ascii="맑은 고딕" w:hAnsi="맑은 고딕" w:eastAsia="맑은 고딕" w:cs="맑은 고딕"/>
          <w:b w:val="0"/>
          <w:color w:val="000000"/>
          <w:sz w:val="20"/>
        </w:rPr>
        <w:t>단계·활동·작업·산출물은 참조사업의 구조를 유지한다. 비고의 판정과 근거는 이번 사업에 맞춘 적용안이다.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A9A9"/>
          <w:left w:val="single" w:sz="5" w:color="A9A9A9"/>
          <w:bottom w:val="single" w:sz="5" w:color="A9A9A9"/>
          <w:right w:val="single" w:sz="5" w:color="A9A9A9"/>
          <w:insideH w:val="single" w:sz="5" w:color="A9A9A9"/>
          <w:insideV w:val="single" w:sz="5" w:color="A9A9A9"/>
        </w:tblBorders>
      </w:tblPr>
      <w:tblGrid>
        <w:gridCol w:w="1460"/>
        <w:gridCol w:w="1660"/>
        <w:gridCol w:w="2040"/>
        <w:gridCol w:w="3620"/>
        <w:gridCol w:w="6020"/>
      </w:tblGrid>
      <w:tr>
        <w:trPr>
          <w:cantSplit/>
          <w:tblHeader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단계(Phase)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활동(Activity)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작업(Task)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산출물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 사업관리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사업관리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 M05. 인력관리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PM05-1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인력투입현황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 → 사업수행계획서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역할·책임·연락·보안 권한표로 관리한다. 투입공수·고정 인원 관리 여부는 대가산정 및 적용 규정에 따라 공고 전에 결정한다.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정기·사건별 작성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 사업관리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PM00. 사업관리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 M06. 품질관리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PM06-1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품질관리 계획서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품질 지표·검토 역할·시험환경·결함 등급·재검증·최종 인수 판정 절차를 정한다.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정기·사건별 작성 | RFP: QUR-001~004, PMR-001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PP00 개발준비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PP10.테일러링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PP11. 사업 적용범위 확정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PP11-1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테일러링 내역서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착수 기준선 확정 시 | RFP: PMR-003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PP00 개발준비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PP10.테일러링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PP11. 사업 적용범위 확정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PP11-2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WBS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착수 기준선 확정 시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AN00 분석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AN10. 요구사항분석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AN11. 요구사항수집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AN11-1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인터뷰계획서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 → PM01-6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회의 기록에 인터뷰 목적·대상 역할·질문·일정·자료 이용조건을 포함한다.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분석 검토 시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AN00 분석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AN10. 요구사항분석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AN11. 요구사항수집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AN11-2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인터뷰결과서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 → PM01-6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의견·출처·확인/미확정·요구사항 연결을 회의 기록으로 남긴다.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분석 검토 시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AN00 분석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AN10. 요구사항분석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AN12. 요구사항정의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AN12-1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요구사항정의서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분석 검토 시 | RFP: SFR-001~025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AN00 분석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AN10. 요구사항분석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AN13. 요구사항 추적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AN13-1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요구사항 추적표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분석 검토 시 | RFP: DAR-001~004, QUR-001, QUR-004, PMR-004</w:t>
            </w:r>
          </w:p>
        </w:tc>
      </w:tr>
    </w:tbl>
    <w:p>
      <w:pPr>
        <w:spacing w:after="20" w:line="40" w:lineRule="exact"/>
      </w:pPr>
    </w:p>
    <w:p>
      <w:pPr>
        <w:pStyle w:val="Heading2"/>
        <w:pageBreakBefore/>
      </w:pPr>
      <w:r>
        <w:t>3 단계별 테일러링 4</w:t>
      </w:r>
    </w:p>
    <w:p>
      <w:r>
        <w:rPr>
          <w:rFonts w:ascii="맑은 고딕" w:hAnsi="맑은 고딕" w:eastAsia="맑은 고딕" w:cs="맑은 고딕"/>
          <w:b w:val="0"/>
          <w:color w:val="000000"/>
          <w:sz w:val="20"/>
        </w:rPr>
        <w:t>단계·활동·작업·산출물은 참조사업의 구조를 유지한다. 비고의 판정과 근거는 이번 사업에 맞춘 적용안이다.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A9A9"/>
          <w:left w:val="single" w:sz="5" w:color="A9A9A9"/>
          <w:bottom w:val="single" w:sz="5" w:color="A9A9A9"/>
          <w:right w:val="single" w:sz="5" w:color="A9A9A9"/>
          <w:insideH w:val="single" w:sz="5" w:color="A9A9A9"/>
          <w:insideV w:val="single" w:sz="5" w:color="A9A9A9"/>
        </w:tblBorders>
      </w:tblPr>
      <w:tblGrid>
        <w:gridCol w:w="1460"/>
        <w:gridCol w:w="1660"/>
        <w:gridCol w:w="2040"/>
        <w:gridCol w:w="3620"/>
        <w:gridCol w:w="6020"/>
      </w:tblGrid>
      <w:tr>
        <w:trPr>
          <w:cantSplit/>
          <w:tblHeader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단계(Phase)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활동(Activity)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작업(Task)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산출물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AN00 분석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AN10. 요구사항분석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AN13. 요구사항 추적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AN13-2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기능점수(FP)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기능 규모 산정·검증 자료를 제출한다. 적용 산정방식과 대상 기능은 공고 전에 확정하며 요구사항 추적표와 대조한다.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분석 검토 시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AN00 분석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AN20. 업무 분석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AN21. 프로세스 분석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AN21-1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To-Be비즈니스프로세스정의서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분석 검토 시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AN00 분석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AN20. 업무 분석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AN21. 프로세스 분석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AN21-2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To-Be비즈니스업무흐름도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 → AN21-1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현행/목표 흐름도와 담당·예외·병목·개선 가설을 같은 문서에서 관리한다.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분석 검토 시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AN00 분석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AN30. 현행 분석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AN31. 데이터 현황 분석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AN31-1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현행 데이터 분석서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분석 검토 시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DE00 설계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DE10. 아키텍처 설계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DE11. 아키텍처 전반 설계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DE11-1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아키텍처설계서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설계 검토 시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DE00 설계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DE20. 어플리케이션설계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DE21. 클래스 설계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DE21-1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클래스 설계서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설계 검토 시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DE00 설계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DE20. 어플리케이션설계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DE22. 사용자 인터페이스 설계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DE22-1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 인터페이스 설계서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 → DE22-2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정보구조·화면별 권한·상태·입력/오류·접근성·모바일 규칙을 화면설계서에 포함한다.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설계 검토 시 | RFP: INR-001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DE00 설계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DE20. 어플리케이션설계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DE22. 사용자 인터페이스 설계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DE22-2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화면설계서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설계 검토 시 | RFP: SFR-001~025</w:t>
            </w:r>
          </w:p>
        </w:tc>
      </w:tr>
    </w:tbl>
    <w:p>
      <w:pPr>
        <w:spacing w:after="20" w:line="40" w:lineRule="exact"/>
      </w:pPr>
    </w:p>
    <w:p>
      <w:pPr>
        <w:pStyle w:val="Heading2"/>
        <w:pageBreakBefore/>
      </w:pPr>
      <w:r>
        <w:t>3 단계별 테일러링 5</w:t>
      </w:r>
    </w:p>
    <w:p>
      <w:r>
        <w:rPr>
          <w:rFonts w:ascii="맑은 고딕" w:hAnsi="맑은 고딕" w:eastAsia="맑은 고딕" w:cs="맑은 고딕"/>
          <w:b w:val="0"/>
          <w:color w:val="000000"/>
          <w:sz w:val="20"/>
        </w:rPr>
        <w:t>단계·활동·작업·산출물은 참조사업의 구조를 유지한다. 비고의 판정과 근거는 이번 사업에 맞춘 적용안이다.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A9A9"/>
          <w:left w:val="single" w:sz="5" w:color="A9A9A9"/>
          <w:bottom w:val="single" w:sz="5" w:color="A9A9A9"/>
          <w:right w:val="single" w:sz="5" w:color="A9A9A9"/>
          <w:insideH w:val="single" w:sz="5" w:color="A9A9A9"/>
          <w:insideV w:val="single" w:sz="5" w:color="A9A9A9"/>
        </w:tblBorders>
      </w:tblPr>
      <w:tblGrid>
        <w:gridCol w:w="1460"/>
        <w:gridCol w:w="1660"/>
        <w:gridCol w:w="2040"/>
        <w:gridCol w:w="3620"/>
        <w:gridCol w:w="6020"/>
      </w:tblGrid>
      <w:tr>
        <w:trPr>
          <w:cantSplit/>
          <w:tblHeader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단계(Phase)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활동(Activity)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작업(Task)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산출물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DE00 설계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DE20. 어플리케이션설계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DE23. 컴포넌트 설계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DE23-1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컴포넌트설계서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 → DE11-1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검사엔진·업무관리·데이터·연계 모듈의 책임·인터페이스·변경 영향을 포함한다.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설계 검토 시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DE00 설계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DE20. 어플리케이션설계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DE24. 인터페이스 설계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DE24-1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인터페이스설계서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내부 모듈과 수동 대체를 포함한 경계를 설계한다. 실제 외부 연계 구축 범위는 SIR 채택 여부를 따른다.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설계 검토 시 | RFP: SIR-001~002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DE00 설계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DE30. DB 설계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DE31. DB 및 트랜잭션 설계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DE31-1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ERD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설계 검토 시 | RFP: DAR-001~004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DE00 설계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DE30. DB 설계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DE31. DB 및 트랜잭션 설계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DE31-2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물리테이블정의서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설계 검토 시 | RFP: DAR-001~004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DE00 설계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DE40. 데이터전환설계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DE41. 데이터 전환/검증계획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DE41-1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데이터전환 계획서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조건부 → 공고 전 이관 채택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이관 대상·건수·권리·품질·검증·되돌림 범위가 정해진 경우 적용한다. 단순 신규 등록과 구분한다.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설계 검토 시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DE00 설계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DE40. 데이터전환설계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DE41. 데이터 전환/검증계획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DE41-2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데이터 전환 맵핑 정의서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조건부 → 공고 전 이관 채택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이관 원천·대상 필드·변환·누락·정합성 기준을 제시한다. DE41-1과 동시에 결정한다.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설계 검토 시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CO00 구현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CO10.구현준비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CO11.환경 구성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CO11-1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환경 구성 계획서 (시스템 연계 신청서·연계구성도, 작업계획서 등 관련 계획서 포함)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구현 검토 시 | RFP: COR-001~002</w:t>
            </w:r>
          </w:p>
        </w:tc>
      </w:tr>
    </w:tbl>
    <w:p>
      <w:pPr>
        <w:spacing w:after="20" w:line="40" w:lineRule="exact"/>
      </w:pPr>
    </w:p>
    <w:p>
      <w:pPr>
        <w:pStyle w:val="Heading2"/>
        <w:pageBreakBefore/>
      </w:pPr>
      <w:r>
        <w:t>3 단계별 테일러링 6</w:t>
      </w:r>
    </w:p>
    <w:p>
      <w:r>
        <w:rPr>
          <w:rFonts w:ascii="맑은 고딕" w:hAnsi="맑은 고딕" w:eastAsia="맑은 고딕" w:cs="맑은 고딕"/>
          <w:b w:val="0"/>
          <w:color w:val="000000"/>
          <w:sz w:val="20"/>
        </w:rPr>
        <w:t>단계·활동·작업·산출물은 참조사업의 구조를 유지한다. 비고의 판정과 근거는 이번 사업에 맞춘 적용안이다.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A9A9"/>
          <w:left w:val="single" w:sz="5" w:color="A9A9A9"/>
          <w:bottom w:val="single" w:sz="5" w:color="A9A9A9"/>
          <w:right w:val="single" w:sz="5" w:color="A9A9A9"/>
          <w:insideH w:val="single" w:sz="5" w:color="A9A9A9"/>
          <w:insideV w:val="single" w:sz="5" w:color="A9A9A9"/>
        </w:tblBorders>
      </w:tblPr>
      <w:tblGrid>
        <w:gridCol w:w="1460"/>
        <w:gridCol w:w="1660"/>
        <w:gridCol w:w="2040"/>
        <w:gridCol w:w="3620"/>
        <w:gridCol w:w="6020"/>
      </w:tblGrid>
      <w:tr>
        <w:trPr>
          <w:cantSplit/>
          <w:tblHeader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단계(Phase)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활동(Activity)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작업(Task)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산출물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CO00 구현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CO20.개발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CO21. 프로그램 개발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CO21-1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프로그램소스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신규 개발 소스·설정·빌드/설치 절차·의존성 및 라이선스를 인계한다. 기존 자산 소유권의 이전을 임의 전제하지 않는다.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구현 검토 시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CO00 구현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CO20.개발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CO22. 지식 DB 구축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CO22-1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지식 DB 스키마 정의서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 → DE31-2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필요한 근거 검색 저장소의 스키마를 실제 구현 기술에 맞춰 작성한다. 특정 Vector DB 도입은 전제하지 않는다.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구현 검토 시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CO00 구현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CO20.개발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CO22. 지식 DB 구축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CO22-2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지식저장소 아키텍처 정의서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 → DE11-1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원문·검색 인덱스·관계·권한·삭제/정정 전파 구조를 포함한다.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구현 검토 시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CO00 구현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CO20.개발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CO22. 지식 DB 구축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CO22-3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온톨로지 모델 정의서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제외 → DE31-1의 관계모델로 대체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온톨로지 엔진 구축은 1차 필수 과업이 아니다. 요구·증거 관계는 ERD와 자료 사전에서 표현한다.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구현 검토 시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CO00 구현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CO20.개발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CO23. 연계 구현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CO23-1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송수신 자료 및 연계 명세서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조건부 → SIR-001/002 채택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승인된 실제 연계의 필드·원천·권한·오류·중복·재시도·동기화를 작성한다.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구현 검토 시 | RFP: SIR-001~002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CO00 구현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CO20.개발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CO23. 연계 구현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CO23-2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인터페이스 설계서(연계)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 → DE24-1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설계와 구현 상태를 같은 인터페이스 문서의 버전으로 관리한다. 미채택 외부 연계는 수동 경로를 기재한다.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구현 검토 시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CO00 구현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CO20.개발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CO23. 연계 구현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CO23-3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연계 정의서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 → DE24-1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연계 대상·방향·주기·담당·보안·대조 규칙을 통합한다.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구현 검토 시 | RFP: PMR-003~004</w:t>
            </w:r>
          </w:p>
        </w:tc>
      </w:tr>
    </w:tbl>
    <w:p>
      <w:pPr>
        <w:spacing w:after="20" w:line="40" w:lineRule="exact"/>
      </w:pPr>
    </w:p>
    <w:p>
      <w:pPr>
        <w:pStyle w:val="Heading2"/>
        <w:pageBreakBefore/>
      </w:pPr>
      <w:r>
        <w:t>3 단계별 테일러링 7</w:t>
      </w:r>
    </w:p>
    <w:p>
      <w:r>
        <w:rPr>
          <w:rFonts w:ascii="맑은 고딕" w:hAnsi="맑은 고딕" w:eastAsia="맑은 고딕" w:cs="맑은 고딕"/>
          <w:b w:val="0"/>
          <w:color w:val="000000"/>
          <w:sz w:val="20"/>
        </w:rPr>
        <w:t>단계·활동·작업·산출물은 참조사업의 구조를 유지한다. 비고의 판정과 근거는 이번 사업에 맞춘 적용안이다.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A9A9"/>
          <w:left w:val="single" w:sz="5" w:color="A9A9A9"/>
          <w:bottom w:val="single" w:sz="5" w:color="A9A9A9"/>
          <w:right w:val="single" w:sz="5" w:color="A9A9A9"/>
          <w:insideH w:val="single" w:sz="5" w:color="A9A9A9"/>
          <w:insideV w:val="single" w:sz="5" w:color="A9A9A9"/>
        </w:tblBorders>
      </w:tblPr>
      <w:tblGrid>
        <w:gridCol w:w="1460"/>
        <w:gridCol w:w="1660"/>
        <w:gridCol w:w="2040"/>
        <w:gridCol w:w="3620"/>
        <w:gridCol w:w="6020"/>
      </w:tblGrid>
      <w:tr>
        <w:trPr>
          <w:cantSplit/>
          <w:tblHeader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단계(Phase)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활동(Activity)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작업(Task)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산출물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CO00 구현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CO30. 구현단계점검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CO32. 소스코드취약점점검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CO32-1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소스코드취약점점검 결과서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구현 검토 시 | RFP: TER-004, SER-001~002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CO00 구현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CO30. 구현단계점검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CO32. 소스코드취약점점검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CO32-2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개발보안 절차적용확인서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구현 검토 시 | RFP: TER-004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TE00 시험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TE10.테스트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TE11. 단위 테스트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TE11-1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단위테스트 케이스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해당 시험 전후 | RFP: TER-001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TE00 시험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TE10.테스트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TE11. 단위 테스트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TE11-2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단위테스트 결과서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해당 시험 전후 | RFP: TER-001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TE00 시험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TE10.테스트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TE12. 통합 테스트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TE12-1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통합테스트 시나리오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해당 시험 전후 | RFP: TER-001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TE00 시험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TE10.테스트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TE12. 통합 테스트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TE12-2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통합테스트 결과서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해당 시험 전후 | RFP: TER-001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TE00 시험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TE10.테스트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TE13. 사용자인수테스트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TE13-1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사용자인수테스트 시나리오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해당 시험 전후 | RFP: TER-001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TE00 시험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TE10.테스트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TE13. 사용자인수테스트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TE13-2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사용자인수테스트 결과서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해당 시험 전후 | RFP: SFR-001~025, TER-001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TE00 시험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TE10.테스트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TE14. 모델 성능 테스트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TE14-1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모델 성능 검증 결과서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해당 시험 전후 | RFP: TER-002, QUR-002</w:t>
            </w:r>
          </w:p>
        </w:tc>
      </w:tr>
    </w:tbl>
    <w:p>
      <w:pPr>
        <w:spacing w:after="20" w:line="40" w:lineRule="exact"/>
      </w:pPr>
    </w:p>
    <w:p>
      <w:pPr>
        <w:pStyle w:val="Heading2"/>
        <w:pageBreakBefore/>
      </w:pPr>
      <w:r>
        <w:t>3 단계별 테일러링 8</w:t>
      </w:r>
    </w:p>
    <w:p>
      <w:r>
        <w:rPr>
          <w:rFonts w:ascii="맑은 고딕" w:hAnsi="맑은 고딕" w:eastAsia="맑은 고딕" w:cs="맑은 고딕"/>
          <w:b w:val="0"/>
          <w:color w:val="000000"/>
          <w:sz w:val="20"/>
        </w:rPr>
        <w:t>단계·활동·작업·산출물은 참조사업의 구조를 유지한다. 비고의 판정과 근거는 이번 사업에 맞춘 적용안이다.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A9A9"/>
          <w:left w:val="single" w:sz="5" w:color="A9A9A9"/>
          <w:bottom w:val="single" w:sz="5" w:color="A9A9A9"/>
          <w:right w:val="single" w:sz="5" w:color="A9A9A9"/>
          <w:insideH w:val="single" w:sz="5" w:color="A9A9A9"/>
          <w:insideV w:val="single" w:sz="5" w:color="A9A9A9"/>
        </w:tblBorders>
      </w:tblPr>
      <w:tblGrid>
        <w:gridCol w:w="1460"/>
        <w:gridCol w:w="1660"/>
        <w:gridCol w:w="2040"/>
        <w:gridCol w:w="3620"/>
        <w:gridCol w:w="6020"/>
      </w:tblGrid>
      <w:tr>
        <w:trPr>
          <w:cantSplit/>
          <w:tblHeader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단계(Phase)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활동(Activity)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작업(Task)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산출물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TE00 시험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TE10.테스트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TE15. 성능시험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TE15-1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성능시험 계획서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해당 시험 전후 | RFP: PER-001, TER-003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TE00 시험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TE10.테스트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TE15. 성능시험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TE15-2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성능시험 결과서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해당 시험 전후 | RFP: PER-001, TER-003, QUR-003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IM00 전개 이행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IM10.배포 및 설치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IM11. 형상관리서버(SVN) 등록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IM11-1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응용프로그램 소스 인계·인수 대장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설치·전환 검토 시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IM00 전개 이행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IM10.배포 및 설치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IM12. 시스템 설치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IM12-1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시스템설치 결과서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설치·전환 검토 시 | RFP: TER-003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IM00 전개 이행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IM10.배포 및 설치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IM12. 시스템 설치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IM12-2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연계 테스트 결과서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조건부 → SIR-001/002 채택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실제 채택된 연계별 성공·실패·중복·회수 시험의 양측 결과를 제출한다.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설치·전환 검토 시 | RFP: SIR-001~002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IM00 전개 이행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IM10.배포 및 설치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IM13. 웹서비스취약점점검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IM13-1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웹서비스취약점점검 결과서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설치·전환 검토 시 | RFP: TER-004, SER-001~002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TO00 인도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TO10. 인수인계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TO11. EA 현행화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TO11-1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EA 표준 등록항목 현행화 결과 문서(엑셀)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조건부 → 기관 등록 대상 확인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EA/IRM 현행화 대상·접근권한·분류·등록 주체를 확인한 후 적용한다. 기관 간 자료 공유를 허용하는 근거가 아니다.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최종 인수 전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TO00 인도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TO10. 인수인계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TO12. 매뉴얼 작성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TO12-1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사용자매뉴얼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최종 인수 전 | RFP: PSR-001</w:t>
            </w:r>
          </w:p>
        </w:tc>
      </w:tr>
    </w:tbl>
    <w:p>
      <w:pPr>
        <w:spacing w:after="20" w:line="40" w:lineRule="exact"/>
      </w:pPr>
    </w:p>
    <w:p>
      <w:pPr>
        <w:pStyle w:val="Heading2"/>
        <w:pageBreakBefore/>
      </w:pPr>
      <w:r>
        <w:t>3 단계별 테일러링 9</w:t>
      </w:r>
    </w:p>
    <w:p>
      <w:r>
        <w:rPr>
          <w:rFonts w:ascii="맑은 고딕" w:hAnsi="맑은 고딕" w:eastAsia="맑은 고딕" w:cs="맑은 고딕"/>
          <w:b w:val="0"/>
          <w:color w:val="000000"/>
          <w:sz w:val="20"/>
        </w:rPr>
        <w:t>단계·활동·작업·산출물은 참조사업의 구조를 유지한다. 비고의 판정과 근거는 이번 사업에 맞춘 적용안이다.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A9A9"/>
          <w:left w:val="single" w:sz="5" w:color="A9A9A9"/>
          <w:bottom w:val="single" w:sz="5" w:color="A9A9A9"/>
          <w:right w:val="single" w:sz="5" w:color="A9A9A9"/>
          <w:insideH w:val="single" w:sz="5" w:color="A9A9A9"/>
          <w:insideV w:val="single" w:sz="5" w:color="A9A9A9"/>
        </w:tblBorders>
      </w:tblPr>
      <w:tblGrid>
        <w:gridCol w:w="1460"/>
        <w:gridCol w:w="1660"/>
        <w:gridCol w:w="2040"/>
        <w:gridCol w:w="3620"/>
        <w:gridCol w:w="6020"/>
      </w:tblGrid>
      <w:tr>
        <w:trPr>
          <w:cantSplit/>
          <w:tblHeader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단계(Phase)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활동(Activity)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작업(Task)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산출물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TO00 인도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TO10. 인수인계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TO12. 매뉴얼 작성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TO12-2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운영자매뉴얼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최종 인수 전 | RFP: PSR-002~003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TO00 인도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TO10. 인수인계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TO13. 인프라 산출물 현행화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시스템 백업정책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최종 인수 전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TO00 인도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TO10. 인수인계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TO13. 인프라 산출물 현행화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DBMS 개인정보암호화목록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개인정보 필드·암호화 및 키 관리 책임을 작성한다. 해당 데이터가 없으면 무대상 확인 근거를 제출한다.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최종 인수 전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TO00 인도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TO10. 인수인계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TO13. 인프라 산출물 현행화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TO13-3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DBMS 연계현황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 → DE24-1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실제 DB 연계 현황 또는 외부 DB 연계 무대상 확인을 반영한다.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최종 인수 전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TO00 인도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TO10. 인수인계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TO13. 인프라 산출물 현행화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TO13-4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DBMS 백업정책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 → TO13-1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시스템·DB별 백업 대상·주기·접근·복구·보존/폐기를 구분해 수록한다. 기존 자원을 사용한다.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최종 인수 전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TO00 인도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TO10. 인수인계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TO13. 인프라 산출물 현행화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TO13-5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DB 테이블 정의서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 → DE31-2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설계부터 최종 DB 구조까지 같은 문서의 최종 버전과 변경 이력을 인계한다.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최종 인수 전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TO00 인도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TO10. 인수인계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TO13. 인프라 산출물 현행화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TO13-8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인프라 자산현황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기존 자산 중 본 SW가 사용하는 항목·사용권·할당 범위를 기록한다. 신규 장비 구매 또는 전체 자산조사는 포함하지 않는다.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최종 인수 전 | RFP: PMR-003~004</w:t>
            </w:r>
          </w:p>
        </w:tc>
      </w:tr>
    </w:tbl>
    <w:p>
      <w:pPr>
        <w:spacing w:after="20" w:line="40" w:lineRule="exact"/>
      </w:pPr>
    </w:p>
    <w:p>
      <w:pPr>
        <w:pStyle w:val="Heading2"/>
        <w:pageBreakBefore/>
      </w:pPr>
      <w:r>
        <w:t>3 단계별 테일러링 10</w:t>
      </w:r>
    </w:p>
    <w:p>
      <w:r>
        <w:rPr>
          <w:rFonts w:ascii="맑은 고딕" w:hAnsi="맑은 고딕" w:eastAsia="맑은 고딕" w:cs="맑은 고딕"/>
          <w:b w:val="0"/>
          <w:color w:val="000000"/>
          <w:sz w:val="20"/>
        </w:rPr>
        <w:t>단계·활동·작업·산출물은 참조사업의 구조를 유지한다. 비고의 판정과 근거는 이번 사업에 맞춘 적용안이다.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A9A9"/>
          <w:left w:val="single" w:sz="5" w:color="A9A9A9"/>
          <w:bottom w:val="single" w:sz="5" w:color="A9A9A9"/>
          <w:right w:val="single" w:sz="5" w:color="A9A9A9"/>
          <w:insideH w:val="single" w:sz="5" w:color="A9A9A9"/>
          <w:insideV w:val="single" w:sz="5" w:color="A9A9A9"/>
        </w:tblBorders>
      </w:tblPr>
      <w:tblGrid>
        <w:gridCol w:w="1460"/>
        <w:gridCol w:w="1660"/>
        <w:gridCol w:w="2040"/>
        <w:gridCol w:w="3620"/>
        <w:gridCol w:w="6020"/>
      </w:tblGrid>
      <w:tr>
        <w:trPr>
          <w:cantSplit/>
          <w:tblHeader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단계(Phase)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활동(Activity)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작업(Task)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산출물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4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TO00 인도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TO10. 인수인계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TO13. 인프라 산출물 현행화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TO13-9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랙실장도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제외 → 현행 자료 참조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신규 장비 설치·랙 변경이 없는 기준안이다. 기존 배치자료의 참조 위치만 인계하고 무변경 근거를 제출한다.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최종 인수 전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TO00 인도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TO10. 인수인계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TO13. 인프라 산출물 현행화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TO13-10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패치내역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본 과업에서 변경한 SW·모델·설정·취약점 조치 이력과 되돌림 기준을 인계한다.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최종 인수 전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TO00 인도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TO10. 인수인계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TO13. 인프라 산출물 현행화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TO13-11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기동절차서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최종 인수 전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TO00 인도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TO10. 인수인계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TO13. 인프라 산출물 현행화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TO13-12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계정현황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서비스·시스템 계정의 역할·권한·유효기간·회수 책임만 관리한다. 비밀번호·토큰·비밀키는 문서에 넣지 않는다.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최종 인수 전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TO00 인도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TO10. 인수인계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TO13. 인프라 산출물 현행화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TO13-13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포트맵 구성도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 → DE11-1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 포트·방향·허용 주체·변경/무변경 내역을 논리 구성도에 포함한다. 장비 교체를 요구하지 않는다.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최종 인수 전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TO00 인도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TO10. 인수인계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TO13. 인프라 산출물 현행화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TO13-14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시스템 구축결과서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 → IM12-1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실제 설치·설정·검증·되돌림·운영 인계 기준의 최종본을 통합 관리한다.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최종 인수 전 | RFP: PMR-003~004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TO00 인도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TO20.교육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TO21. 교육준비 및 교육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TO21-1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교육결과서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최종 인수 전 | RFP: PSR-001</w:t>
            </w:r>
          </w:p>
        </w:tc>
      </w:tr>
      <w:tr>
        <w:trPr>
          <w:cantSplit/>
        </w:trPr>
        <w:tc>
          <w:tcPr>
            <w:tcW w:type="dxa" w:w="14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TO00 인도</w:t>
            </w:r>
          </w:p>
        </w:tc>
        <w:tc>
          <w:tcPr>
            <w:tcW w:type="dxa" w:w="1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TO30. 최종 확인</w:t>
            </w:r>
          </w:p>
        </w:tc>
        <w:tc>
          <w:tcPr>
            <w:tcW w:type="dxa" w:w="20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TO31. 종료단계 점검</w:t>
            </w:r>
          </w:p>
        </w:tc>
        <w:tc>
          <w:tcPr>
            <w:tcW w:type="dxa" w:w="36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TO31-1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종료단계 점검결과서</w:t>
            </w:r>
          </w:p>
        </w:tc>
        <w:tc>
          <w:tcPr>
            <w:tcW w:type="dxa" w:w="60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적용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요구·버전·검토 결과와 증거를 연결한다.</w:t>
            </w:r>
          </w:p>
          <w:p>
            <w:pPr>
              <w:spacing w:after="0" w:line="254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시점: 최종 인수 전 | RFP: PSR-002~003</w:t>
            </w:r>
          </w:p>
        </w:tc>
      </w:tr>
    </w:tbl>
    <w:p>
      <w:pPr>
        <w:spacing w:after="20" w:line="40" w:lineRule="exact"/>
      </w:pPr>
    </w:p>
    <w:p>
      <w:pPr>
        <w:pStyle w:val="Heading2"/>
        <w:pageBreakBefore/>
      </w:pPr>
      <w:r>
        <w:t>4 일반 표준에서 보완한 항목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다음 7개는 L01의 74개 코드에 합산하지 않는 별도 보완 검토 항목이다. L02의 필수 내용과 조건을 놓치지 않기 위해 대조하며, 표준의 코드와 참조사업 코드가 다른 경우 자료명과 위치로 구분한다.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A9A9"/>
          <w:left w:val="single" w:sz="5" w:color="A9A9A9"/>
          <w:bottom w:val="single" w:sz="5" w:color="A9A9A9"/>
          <w:right w:val="single" w:sz="5" w:color="A9A9A9"/>
          <w:insideH w:val="single" w:sz="5" w:color="A9A9A9"/>
          <w:insideV w:val="single" w:sz="5" w:color="A9A9A9"/>
        </w:tblBorders>
      </w:tblPr>
      <w:tblGrid>
        <w:gridCol w:w="2200"/>
        <w:gridCol w:w="3340"/>
        <w:gridCol w:w="2660"/>
        <w:gridCol w:w="6600"/>
      </w:tblGrid>
      <w:tr>
        <w:trPr>
          <w:cantSplit/>
          <w:tblHeader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6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 표준 코드</w:t>
            </w:r>
          </w:p>
        </w:tc>
        <w:tc>
          <w:tcPr>
            <w:tcW w:type="dxa" w:w="33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6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산출물</w:t>
            </w:r>
          </w:p>
        </w:tc>
        <w:tc>
          <w:tcPr>
            <w:tcW w:type="dxa" w:w="2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6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판정과 위치</w:t>
            </w:r>
          </w:p>
        </w:tc>
        <w:tc>
          <w:tcPr>
            <w:tcW w:type="dxa" w:w="66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6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근거와 적용 사유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CO31-1</w:t>
            </w:r>
          </w:p>
        </w:tc>
        <w:tc>
          <w:tcPr>
            <w:tcW w:type="dxa" w:w="33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웹사이트 품질점검 결과서</w:t>
            </w:r>
          </w:p>
        </w:tc>
        <w:tc>
          <w:tcPr>
            <w:tcW w:type="dxa" w:w="2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적용</w:t>
            </w:r>
          </w:p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TER-004</w:t>
            </w:r>
          </w:p>
        </w:tc>
        <w:tc>
          <w:tcPr>
            <w:tcW w:type="dxa" w:w="66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실제 표준에 존재하나 참조사업 74개 목록에서 빠진 항목을 보완한다. 접근성·호환성·화면 상태와 결함 재점검을 포함한다.</w:t>
            </w:r>
          </w:p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L02 PDF 76쪽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CO31-2</w:t>
            </w:r>
          </w:p>
        </w:tc>
        <w:tc>
          <w:tcPr>
            <w:tcW w:type="dxa" w:w="33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접근성 인증 결과서</w:t>
            </w:r>
          </w:p>
        </w:tc>
        <w:tc>
          <w:tcPr>
            <w:tcW w:type="dxa" w:w="2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조건부</w:t>
            </w:r>
          </w:p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PG-12</w:t>
            </w:r>
          </w:p>
        </w:tc>
        <w:tc>
          <w:tcPr>
            <w:tcW w:type="dxa" w:w="66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인증 과업을 공고에 명시한 경우만 적용한다. 인증 미채택이어도 접근성 요구와 시험은 적용한다.</w:t>
            </w:r>
          </w:p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L02 PDF 76쪽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CO32-3</w:t>
            </w:r>
          </w:p>
        </w:tc>
        <w:tc>
          <w:tcPr>
            <w:tcW w:type="dxa" w:w="33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보안진단원 자격증명서</w:t>
            </w:r>
          </w:p>
        </w:tc>
        <w:tc>
          <w:tcPr>
            <w:tcW w:type="dxa" w:w="2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적용</w:t>
            </w:r>
          </w:p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TER-004</w:t>
            </w:r>
          </w:p>
        </w:tc>
        <w:tc>
          <w:tcPr>
            <w:tcW w:type="dxa" w:w="66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원 표준의 필수 항목이다. 적용 규정과 진단 범위를 확인해 적격 증빙을 제출한다. 자격 사본의 개인정보는 최소화한다.</w:t>
            </w:r>
          </w:p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L02 PDF 76쪽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IM11-1 표준</w:t>
            </w:r>
          </w:p>
        </w:tc>
        <w:tc>
          <w:tcPr>
            <w:tcW w:type="dxa" w:w="33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응용프로그램 소스 배포 신청서</w:t>
            </w:r>
          </w:p>
        </w:tc>
        <w:tc>
          <w:tcPr>
            <w:tcW w:type="dxa" w:w="2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통합</w:t>
            </w:r>
          </w:p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IM12-1</w:t>
            </w:r>
          </w:p>
        </w:tc>
        <w:tc>
          <w:tcPr>
            <w:tcW w:type="dxa" w:w="66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참조사업 IM11-1은 소스 인계인수대장으로 이름이 다르다. 배포 신청·승인 근거는 설치 결과서에 통합하되 원 표준 코드와 구분한다.</w:t>
            </w:r>
          </w:p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L02 PDF 77쪽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IM14-1</w:t>
            </w:r>
          </w:p>
        </w:tc>
        <w:tc>
          <w:tcPr>
            <w:tcW w:type="dxa" w:w="33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모바일 보안진단 및 조치결과서</w:t>
            </w:r>
          </w:p>
        </w:tc>
        <w:tc>
          <w:tcPr>
            <w:tcW w:type="dxa" w:w="2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제외</w:t>
            </w:r>
          </w:p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모바일 앱 과업 없음</w:t>
            </w:r>
          </w:p>
        </w:tc>
        <w:tc>
          <w:tcPr>
            <w:tcW w:type="dxa" w:w="66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이번 과업은 반응형 웹이며 별도 모바일 앱 개발은 포함하지 않는다. 적용대상 변경 시 다시 검토한다.</w:t>
            </w:r>
          </w:p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L02 PDF 77쪽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TO13-6</w:t>
            </w:r>
          </w:p>
        </w:tc>
        <w:tc>
          <w:tcPr>
            <w:tcW w:type="dxa" w:w="33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보안장비 설정 자료</w:t>
            </w:r>
          </w:p>
        </w:tc>
        <w:tc>
          <w:tcPr>
            <w:tcW w:type="dxa" w:w="2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제외</w:t>
            </w:r>
          </w:p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신규 장비 없음</w:t>
            </w:r>
          </w:p>
        </w:tc>
        <w:tc>
          <w:tcPr>
            <w:tcW w:type="dxa" w:w="66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장비 도입이 없는 기준안이다. 본 SW 접근·포트 설정은 DE11-1에서 관리한다. 무대상 근거를 남긴다.</w:t>
            </w:r>
          </w:p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L02 PDF 78쪽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TO13-7</w:t>
            </w:r>
          </w:p>
        </w:tc>
        <w:tc>
          <w:tcPr>
            <w:tcW w:type="dxa" w:w="33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네트워크 설정 자료</w:t>
            </w:r>
          </w:p>
        </w:tc>
        <w:tc>
          <w:tcPr>
            <w:tcW w:type="dxa" w:w="266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제외</w:t>
            </w:r>
          </w:p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신규 장비 없음</w:t>
            </w:r>
          </w:p>
        </w:tc>
        <w:tc>
          <w:tcPr>
            <w:tcW w:type="dxa" w:w="66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장비 도입이 없는 기준안이다. 기존 환경 연계 변경이 필요하면 영향과 승인 여부를 별도 기록한다.</w:t>
            </w:r>
          </w:p>
          <w:p>
            <w:pPr>
              <w:spacing w:after="0" w:line="256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L02 PDF 78쪽</w:t>
            </w:r>
          </w:p>
        </w:tc>
      </w:tr>
    </w:tbl>
    <w:p>
      <w:pPr>
        <w:spacing w:after="20" w:line="40" w:lineRule="exact"/>
      </w:pPr>
    </w:p>
    <w:p>
      <w:pPr>
        <w:pStyle w:val="Heading3"/>
      </w:pPr>
      <w:r>
        <w:t>표준의 최소 내용 유지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유스케이스·상호작용·자료 구조 등 일반 표준의 내용을 통합 문서에 포함하고, 별도 CRUD MATRIX 등이 필요한 경우 내용과 위치를 지정한다. 프로젝트 특성상 미적용하는 항목은 표준 전체의 생략 승인이 아니라 개별 항목의 적용 판단으로 기록한다.</w:t>
      </w:r>
    </w:p>
    <w:p>
      <w:pPr>
        <w:pStyle w:val="Heading2"/>
        <w:pageBreakBefore/>
      </w:pPr>
      <w:r>
        <w:t>5 집계와 통합 문서의 최소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A9A9"/>
          <w:left w:val="single" w:sz="5" w:color="A9A9A9"/>
          <w:bottom w:val="single" w:sz="5" w:color="A9A9A9"/>
          <w:right w:val="single" w:sz="5" w:color="A9A9A9"/>
          <w:insideH w:val="single" w:sz="5" w:color="A9A9A9"/>
          <w:insideV w:val="single" w:sz="5" w:color="A9A9A9"/>
        </w:tblBorders>
      </w:tblPr>
      <w:tblGrid>
        <w:gridCol w:w="3400"/>
        <w:gridCol w:w="1400"/>
        <w:gridCol w:w="10000"/>
      </w:tblGrid>
      <w:tr>
        <w:trPr>
          <w:cantSplit/>
          <w:tblHeader/>
        </w:trPr>
        <w:tc>
          <w:tcPr>
            <w:tcW w:type="dxa" w:w="3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70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집계 대상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70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수량</w:t>
            </w:r>
          </w:p>
        </w:tc>
        <w:tc>
          <w:tcPr>
            <w:tcW w:type="dxa" w:w="100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70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해석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원 코드 적용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00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각 내용과 증거 제출. 파일 생성 완료 건수가 아님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원 코드 통합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17</w:t>
            </w:r>
          </w:p>
        </w:tc>
        <w:tc>
          <w:tcPr>
            <w:tcW w:type="dxa" w:w="100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원 코드는 보존하고 지정 문서 절에서 검증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원 코드 조건부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00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공고 전 채택/제외 및 물량·가격 결정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원 코드 제외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00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온톨로지 엔진·랙 변경 무대상 안. 근거와 검토 필요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원 코드 합계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74</w:t>
            </w:r>
          </w:p>
        </w:tc>
        <w:tc>
          <w:tcPr>
            <w:tcW w:type="dxa" w:w="100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참조사업의 관리 14 + 개발 60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기초 문서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00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무코드 문서 4개를 별도 집계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일반 표준 보완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00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적용 2·통합 1·조건부 1·제외 3. 원 74개와 구분</w:t>
            </w:r>
          </w:p>
        </w:tc>
      </w:tr>
    </w:tbl>
    <w:p>
      <w:pPr>
        <w:spacing w:after="2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A9A9"/>
          <w:left w:val="single" w:sz="5" w:color="A9A9A9"/>
          <w:bottom w:val="single" w:sz="5" w:color="A9A9A9"/>
          <w:right w:val="single" w:sz="5" w:color="A9A9A9"/>
          <w:insideH w:val="single" w:sz="5" w:color="A9A9A9"/>
          <w:insideV w:val="single" w:sz="5" w:color="A9A9A9"/>
        </w:tblBorders>
      </w:tblPr>
      <w:tblGrid>
        <w:gridCol w:w="3680"/>
        <w:gridCol w:w="11120"/>
      </w:tblGrid>
      <w:tr>
        <w:trPr>
          <w:cantSplit/>
          <w:tblHeader/>
        </w:trPr>
        <w:tc>
          <w:tcPr>
            <w:tcW w:type="dxa" w:w="368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62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통합 대상</w:t>
            </w:r>
          </w:p>
        </w:tc>
        <w:tc>
          <w:tcPr>
            <w:tcW w:type="dxa" w:w="111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62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포함해야 할 내용</w:t>
            </w:r>
          </w:p>
        </w:tc>
      </w:tr>
      <w:tr>
        <w:trPr>
          <w:cantSplit/>
        </w:trPr>
        <w:tc>
          <w:tcPr>
            <w:tcW w:type="dxa" w:w="368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PM01-6 회의록</w:t>
            </w:r>
          </w:p>
        </w:tc>
        <w:tc>
          <w:tcPr>
            <w:tcW w:type="dxa" w:w="111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인터뷰 목적/계획·질문/응답·출처·미확정·결정·조치·수시 현안 보고</w:t>
            </w:r>
          </w:p>
        </w:tc>
      </w:tr>
      <w:tr>
        <w:trPr>
          <w:cantSplit/>
        </w:trPr>
        <w:tc>
          <w:tcPr>
            <w:tcW w:type="dxa" w:w="368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DE11-1 아키텍처설계서</w:t>
            </w:r>
          </w:p>
        </w:tc>
        <w:tc>
          <w:tcPr>
            <w:tcW w:type="dxa" w:w="111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모듈·AI/저장소·권한·로컬 경계·사용 포트·운영 의존성·되돌림</w:t>
            </w:r>
          </w:p>
        </w:tc>
      </w:tr>
      <w:tr>
        <w:trPr>
          <w:cantSplit/>
        </w:trPr>
        <w:tc>
          <w:tcPr>
            <w:tcW w:type="dxa" w:w="368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DE22-2 화면설계서</w:t>
            </w:r>
          </w:p>
        </w:tc>
        <w:tc>
          <w:tcPr>
            <w:tcW w:type="dxa" w:w="111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정보구조·유스케이스·상태·입력/오류·권한·자료·접근성·검수 연결</w:t>
            </w:r>
          </w:p>
        </w:tc>
      </w:tr>
      <w:tr>
        <w:trPr>
          <w:cantSplit/>
        </w:trPr>
        <w:tc>
          <w:tcPr>
            <w:tcW w:type="dxa" w:w="368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DE24-1 인터페이스설계서</w:t>
            </w:r>
          </w:p>
        </w:tc>
        <w:tc>
          <w:tcPr>
            <w:tcW w:type="dxa" w:w="111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내부/외부/수동 경계·연계 명세·필드·원천·실패·재시도·정합성·DB 연계현황</w:t>
            </w:r>
          </w:p>
        </w:tc>
      </w:tr>
      <w:tr>
        <w:trPr>
          <w:cantSplit/>
        </w:trPr>
        <w:tc>
          <w:tcPr>
            <w:tcW w:type="dxa" w:w="368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DE31-2 물리테이블정의서</w:t>
            </w:r>
          </w:p>
        </w:tc>
        <w:tc>
          <w:tcPr>
            <w:tcW w:type="dxa" w:w="111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물리 구조·업무 식별자·근거 검색 구조·구현 및 인수 시점의 최종 상태</w:t>
            </w:r>
          </w:p>
        </w:tc>
      </w:tr>
      <w:tr>
        <w:trPr>
          <w:cantSplit/>
        </w:trPr>
        <w:tc>
          <w:tcPr>
            <w:tcW w:type="dxa" w:w="368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TO13-1 시스템 백업정책</w:t>
            </w:r>
          </w:p>
        </w:tc>
        <w:tc>
          <w:tcPr>
            <w:tcW w:type="dxa" w:w="1112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62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SW/DB 백업·보존/폐기·역할·복구 절차·실측 검증·기존 자원 범위</w:t>
            </w:r>
          </w:p>
        </w:tc>
      </w:tr>
    </w:tbl>
    <w:p>
      <w:pPr>
        <w:spacing w:after="20" w:line="40" w:lineRule="exact"/>
      </w:pPr>
    </w:p>
    <w:p>
      <w:pPr>
        <w:pStyle w:val="Heading2"/>
        <w:pageBreakBefore/>
      </w:pPr>
      <w:r>
        <w:t>6 WBS와 검토 책임 연결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다음 표는 납품 계획의 기준안이다. 작업 일자·이름·검토 소요와 기관 협조는 사업기간 확정 후 PP11-2에 기입한다. 테일러링은 산출물 제출일만 나열하는 것이 아니라 검토·보완·재검증 시간을 포함한다.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A9A9"/>
          <w:left w:val="single" w:sz="5" w:color="A9A9A9"/>
          <w:bottom w:val="single" w:sz="5" w:color="A9A9A9"/>
          <w:right w:val="single" w:sz="5" w:color="A9A9A9"/>
          <w:insideH w:val="single" w:sz="5" w:color="A9A9A9"/>
          <w:insideV w:val="single" w:sz="5" w:color="A9A9A9"/>
        </w:tblBorders>
      </w:tblPr>
      <w:tblGrid>
        <w:gridCol w:w="1880"/>
        <w:gridCol w:w="2640"/>
        <w:gridCol w:w="3300"/>
        <w:gridCol w:w="3540"/>
        <w:gridCol w:w="3440"/>
      </w:tblGrid>
      <w:tr>
        <w:trPr>
          <w:cantSplit/>
          <w:tblHeader/>
        </w:trPr>
        <w:tc>
          <w:tcPr>
            <w:tcW w:type="dxa" w:w="188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9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작업 묶음</w:t>
            </w:r>
          </w:p>
        </w:tc>
        <w:tc>
          <w:tcPr>
            <w:tcW w:type="dxa" w:w="26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9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선행조건</w:t>
            </w:r>
          </w:p>
        </w:tc>
        <w:tc>
          <w:tcPr>
            <w:tcW w:type="dxa" w:w="33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9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핵심 산출물</w:t>
            </w:r>
          </w:p>
        </w:tc>
        <w:tc>
          <w:tcPr>
            <w:tcW w:type="dxa" w:w="35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9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작성과 검토</w:t>
            </w:r>
          </w:p>
        </w:tc>
        <w:tc>
          <w:tcPr>
            <w:tcW w:type="dxa" w:w="34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59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종료 증거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W01 준비</w:t>
            </w:r>
          </w:p>
        </w:tc>
        <w:tc>
          <w:tcPr>
            <w:tcW w:type="dxa" w:w="26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공고/계약·환경·기관 역할</w:t>
            </w:r>
          </w:p>
        </w:tc>
        <w:tc>
          <w:tcPr>
            <w:tcW w:type="dxa" w:w="33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수행계획·PP11-1/2</w:t>
            </w:r>
          </w:p>
        </w:tc>
        <w:tc>
          <w:tcPr>
            <w:tcW w:type="dxa" w:w="35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수행 PM 작성 / 기관 사업 책임 검토</w:t>
            </w:r>
          </w:p>
        </w:tc>
        <w:tc>
          <w:tcPr>
            <w:tcW w:type="dxa" w:w="34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범위·조건부·일정 기준선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W02 분석</w:t>
            </w:r>
          </w:p>
        </w:tc>
        <w:tc>
          <w:tcPr>
            <w:tcW w:type="dxa" w:w="26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W01 기준선·대표 자료</w:t>
            </w:r>
          </w:p>
        </w:tc>
        <w:tc>
          <w:tcPr>
            <w:tcW w:type="dxa" w:w="33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AN12-1·AN13-1/2·AN21-1</w:t>
            </w:r>
          </w:p>
        </w:tc>
        <w:tc>
          <w:tcPr>
            <w:tcW w:type="dxa" w:w="35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업무/데이터 담당 작성 / 기관 현업 확인</w:t>
            </w:r>
          </w:p>
        </w:tc>
        <w:tc>
          <w:tcPr>
            <w:tcW w:type="dxa" w:w="34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요구·물량·수용조건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W03 설계</w:t>
            </w:r>
          </w:p>
        </w:tc>
        <w:tc>
          <w:tcPr>
            <w:tcW w:type="dxa" w:w="26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W02 확정 요구</w:t>
            </w:r>
          </w:p>
        </w:tc>
        <w:tc>
          <w:tcPr>
            <w:tcW w:type="dxa" w:w="33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DE11·DE21·DE22·DE24·DE31</w:t>
            </w:r>
          </w:p>
        </w:tc>
        <w:tc>
          <w:tcPr>
            <w:tcW w:type="dxa" w:w="35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설계 담당 작성 / 기관 업무·보안·운영 검토</w:t>
            </w:r>
          </w:p>
        </w:tc>
        <w:tc>
          <w:tcPr>
            <w:tcW w:type="dxa" w:w="34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설계/자료/권한 검토 기록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W04 구현 단위시험</w:t>
            </w:r>
          </w:p>
        </w:tc>
        <w:tc>
          <w:tcPr>
            <w:tcW w:type="dxa" w:w="26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W03 확정 설계</w:t>
            </w:r>
          </w:p>
        </w:tc>
        <w:tc>
          <w:tcPr>
            <w:tcW w:type="dxa" w:w="33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CO21·CO32·TE11</w:t>
            </w:r>
          </w:p>
        </w:tc>
        <w:tc>
          <w:tcPr>
            <w:tcW w:type="dxa" w:w="35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개발/시험 담당 / 품질 담당 확인</w:t>
            </w:r>
          </w:p>
        </w:tc>
        <w:tc>
          <w:tcPr>
            <w:tcW w:type="dxa" w:w="34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소스·단위시험·보안 조치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W05 설치 통합시험</w:t>
            </w:r>
          </w:p>
        </w:tc>
        <w:tc>
          <w:tcPr>
            <w:tcW w:type="dxa" w:w="26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W04 및 검증환경 설치</w:t>
            </w:r>
          </w:p>
        </w:tc>
        <w:tc>
          <w:tcPr>
            <w:tcW w:type="dxa" w:w="33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IM12·TE12·TE14·TE15</w:t>
            </w:r>
          </w:p>
        </w:tc>
        <w:tc>
          <w:tcPr>
            <w:tcW w:type="dxa" w:w="35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설치/시험 담당 / 기관 운영·품질 검토</w:t>
            </w:r>
          </w:p>
        </w:tc>
        <w:tc>
          <w:tcPr>
            <w:tcW w:type="dxa" w:w="34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통합·AI·성능·복구 결과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W06 사용자 인수</w:t>
            </w:r>
          </w:p>
        </w:tc>
        <w:tc>
          <w:tcPr>
            <w:tcW w:type="dxa" w:w="26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W05 주요 결함 보완</w:t>
            </w:r>
          </w:p>
        </w:tc>
        <w:tc>
          <w:tcPr>
            <w:tcW w:type="dxa" w:w="33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TE13·CO31·IM13</w:t>
            </w:r>
          </w:p>
        </w:tc>
        <w:tc>
          <w:tcPr>
            <w:tcW w:type="dxa" w:w="35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실사용자·기관 검토 / 수행사 조치</w:t>
            </w:r>
          </w:p>
        </w:tc>
        <w:tc>
          <w:tcPr>
            <w:tcW w:type="dxa" w:w="34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사용 과업·보안·접근성 결과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W07 인도 종료</w:t>
            </w:r>
          </w:p>
        </w:tc>
        <w:tc>
          <w:tcPr>
            <w:tcW w:type="dxa" w:w="26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W06 및 운영 준비</w:t>
            </w:r>
          </w:p>
        </w:tc>
        <w:tc>
          <w:tcPr>
            <w:tcW w:type="dxa" w:w="33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TO12·TO13·TO21·TO31</w:t>
            </w:r>
          </w:p>
        </w:tc>
        <w:tc>
          <w:tcPr>
            <w:tcW w:type="dxa" w:w="35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수행사 인계 / 기관 인수 책임자 확인</w:t>
            </w:r>
          </w:p>
        </w:tc>
        <w:tc>
          <w:tcPr>
            <w:tcW w:type="dxa" w:w="344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59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인계·최종 검사·잔여 책임</w:t>
            </w:r>
          </w:p>
        </w:tc>
      </w:tr>
    </w:tbl>
    <w:p>
      <w:pPr>
        <w:spacing w:after="20" w:line="40" w:lineRule="exact"/>
      </w:pPr>
    </w:p>
    <w:p>
      <w:pPr>
        <w:pStyle w:val="Heading2"/>
      </w:pPr>
      <w:r>
        <w:t>7 변경 기록과 최종 확인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변경 요청→원 표준 및 계약 영향 확인→기관 검토→결정→WBS·추적표·납품목록 갱신→대체 위치 확인의 순서로 처리한다. 답변 없음·기한 경과·회의 참석을 승인으로 간주하지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A9A9"/>
          <w:left w:val="single" w:sz="5" w:color="A9A9A9"/>
          <w:bottom w:val="single" w:sz="5" w:color="A9A9A9"/>
          <w:right w:val="single" w:sz="5" w:color="A9A9A9"/>
          <w:insideH w:val="single" w:sz="5" w:color="A9A9A9"/>
          <w:insideV w:val="single" w:sz="5" w:color="A9A9A9"/>
        </w:tblBorders>
      </w:tblPr>
      <w:tblGrid>
        <w:gridCol w:w="3400"/>
        <w:gridCol w:w="11400"/>
      </w:tblGrid>
      <w:tr>
        <w:trPr>
          <w:cantSplit/>
          <w:tblHeader/>
        </w:trPr>
        <w:tc>
          <w:tcPr>
            <w:tcW w:type="dxa" w:w="3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70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최종 확인 항목</w:t>
            </w:r>
          </w:p>
        </w:tc>
        <w:tc>
          <w:tcPr>
            <w:tcW w:type="dxa" w:w="11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  <w:shd w:fill="E8EDF2"/>
          </w:tcPr>
          <w:p>
            <w:pPr>
              <w:spacing w:after="0" w:line="270" w:lineRule="exact"/>
              <w:keepNext/>
              <w:snapToGrid w:val="false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기록할 증거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적용 범위</w:t>
            </w:r>
          </w:p>
        </w:tc>
        <w:tc>
          <w:tcPr>
            <w:tcW w:type="dxa" w:w="11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조건부 5개와 표준 보완의 조건부 인증에 대한 공고 전 결정 및 물량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누락 방지</w:t>
            </w:r>
          </w:p>
        </w:tc>
        <w:tc>
          <w:tcPr>
            <w:tcW w:type="dxa" w:w="11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52개 RFP 요구의 산출물·검수 연결, 원 74개 코드의 판정, 표준 보완 7개 대조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책임과 형식</w:t>
            </w:r>
          </w:p>
        </w:tc>
        <w:tc>
          <w:tcPr>
            <w:tcW w:type="dxa" w:w="11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작성자·검토자·결정권자·버전·제출/검토일·편집 가능한 원본·검증 자료 위치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공식 확정</w:t>
            </w:r>
          </w:p>
        </w:tc>
        <w:tc>
          <w:tcPr>
            <w:tcW w:type="dxa" w:w="11400"/>
            <w:vAlign w:val="center"/>
            <w:tcMar>
              <w:top w:w="40" w:type="dxa"/>
              <w:bottom w:w="40" w:type="dxa"/>
              <w:left w:w="75" w:type="dxa"/>
              <w:right w:w="75" w:type="dxa"/>
            </w:tcMar>
          </w:tcPr>
          <w:p>
            <w:pPr>
              <w:spacing w:after="0" w:line="270" w:lineRule="exact"/>
              <w:keepNext w:val="0"/>
              <w:snapToGrid w:val="false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기관 적용 가이드 버전과 변경 승인, 계약·보안·납품 조건의 충돌 해소</w:t>
            </w:r>
          </w:p>
        </w:tc>
      </w:tr>
    </w:tbl>
    <w:p>
      <w:pPr>
        <w:spacing w:after="20" w:line="40" w:lineRule="exact"/>
      </w:pPr>
    </w:p>
    <w:sectPr w:rsidR="00FC693F" w:rsidRPr="0006063C" w:rsidSect="00034616">
      <w:footerReference w:type="default" r:id="rId9"/>
      <w:pgSz w:w="16838" w:h="11906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 w:eastAsia="맑은 고딕" w:cs="맑은 고딕"/>
        <w:color w:val="000000"/>
        <w:sz w:val="16"/>
      </w:rPr>
      <w:t xml:space="preserve">공공 정보화사업 테일러링 내역서   | 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 w:before="0"/>
    </w:pPr>
    <w:rPr>
      <w:rFonts w:ascii="맑은 고딕" w:hAnsi="맑은 고딕" w:eastAsia="맑은 고딕" w:cs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 w:cs="맑은 고딕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 w:cs="맑은 고딕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69" w:lineRule="auto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69" w:lineRule="auto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69" w:lineRule="auto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 w:cs="맑은 고딕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 w:cs="맑은 고딕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맑은 고딕" w:hAnsi="맑은 고딕" w:eastAsia="맑은 고딕" w:cs="맑은 고딕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69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60" w:after="140"/>
    </w:pPr>
    <w:rPr>
      <w:rFonts w:asciiTheme="majorHAnsi" w:eastAsiaTheme="majorEastAsia" w:hAnsiTheme="majorHAnsi" w:cstheme="majorBidi" w:ascii="맑은 고딕" w:hAnsi="맑은 고딕" w:eastAsia="맑은 고딕" w:cs="맑은 고딕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맑은 고딕" w:hAnsi="맑은 고딕" w:eastAsia="맑은 고딕" w:cs="맑은 고딕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맑은 고딕" w:hAnsi="맑은 고딕" w:eastAsia="맑은 고딕" w:cs="맑은 고딕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맑은 고딕" w:hAnsi="맑은 고딕" w:eastAsia="맑은 고딕" w:cs="맑은 고딕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맑은 고딕" w:hAnsi="맑은 고딕" w:eastAsia="맑은 고딕" w:cs="맑은 고딕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맑은 고딕" w:hAnsi="맑은 고딕" w:eastAsia="맑은 고딕" w:cs="맑은 고딕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맑은 고딕" w:hAnsi="맑은 고딕" w:eastAsia="맑은 고딕" w:cs="맑은 고딕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맑은 고딕" w:hAnsi="맑은 고딕" w:eastAsia="맑은 고딕" w:cs="맑은 고딕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93" w:lineRule="auto"/>
      <w:contextualSpacing/>
    </w:pPr>
    <w:rPr>
      <w:rFonts w:ascii="맑은 고딕" w:hAnsi="맑은 고딕" w:eastAsia="맑은 고딕" w:cs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93" w:lineRule="auto"/>
      <w:contextualSpacing/>
    </w:pPr>
    <w:rPr>
      <w:rFonts w:ascii="맑은 고딕" w:hAnsi="맑은 고딕" w:eastAsia="맑은 고딕" w:cs="맑은 고딕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맑은 고딕" w:hAnsi="맑은 고딕" w:eastAsia="맑은 고딕" w:cs="맑은 고딕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맑은 고딕" w:hAnsi="맑은 고딕" w:eastAsia="맑은 고딕" w:cs="맑은 고딕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맑은 고딕" w:hAnsi="맑은 고딕" w:eastAsia="맑은 고딕" w:cs="맑은 고딕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 w:eastAsia="맑은 고딕" w:cs="맑은 고딕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맑은 고딕" w:hAnsi="맑은 고딕" w:eastAsia="맑은 고딕" w:cs="맑은 고딕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맑은 고딕" w:hAnsi="맑은 고딕" w:eastAsia="맑은 고딕" w:cs="맑은 고딕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spacing w:after="140"/>
    </w:pPr>
    <w:rPr>
      <w:rFonts w:ascii="맑은 고딕" w:hAnsi="맑은 고딕"/>
      <w:color w:val="000000"/>
      <w:sz w:val="22"/>
    </w:rPr>
  </w:style>
  <w:style w:type="paragraph" w:customStyle="1" w:styleId="TOC2">
    <w:name w:val="TOC 2"/>
    <w:pPr>
      <w:spacing w:after="140"/>
    </w:pPr>
    <w:rPr>
      <w:rFonts w:ascii="맑은 고딕" w:hAnsi="맑은 고딕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공공 정보화사업 테일러링 내역서</dc:title>
  <dc:subject>공공 정보화사업 이행관리와 AI 검토지원 발주 문서</dc:subject>
  <dc:creator/>
  <cp:keywords>공공 RFP, 테일러링, 설계, 검토안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