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TS 검사 후속 행동과 조치 검토 서비스 정의서</w:t>
      </w:r>
    </w:p>
    <w:p>
      <w:pPr>
        <w:pStyle w:val="Subtitle"/>
      </w:pPr>
      <w:r>
        <w:t>버전 0.3   2026-09-10   발주 전 검토안</w:t>
      </w:r>
    </w:p>
    <w:p>
      <w:r>
        <w:t>국민이 검사결과를 이해하고 필요한 행동을 놓치지 않도록 돕고, 시설의 지적사항에 대해 어떤 조치 근거가 부족한지 담당자가 확인할 수 있게 한다. CCK가 주관할 핵심은 텍스트 근거·상태·검토를 연결하는 기능이다.</w:t>
      </w:r>
    </w:p>
    <w:p>
      <w:r>
        <w:t>1차 7억 원과 2차 추가 5억 원을 부가세 포함 목표 상한으로 두고, CCK 기존 기술과 로컬 LLM을 활용할 수 있도록 서비스·연계를 축소한 검토안이다. 기존 로컬 서버를 사용하며 신규 인프라 투자는 0원이다. 응용 SW 개발·배포 설정·연계·검수는 포함한다. TS의 예산 확보나 CCK의 납품 가능성을 확정한 문서가 아니다.</w:t>
      </w:r>
    </w:p>
    <w:p>
      <w:pPr>
        <w:pStyle w:val="Heading1"/>
      </w:pPr>
      <w:r>
        <w:t>단계별 제공 범위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928"/>
        <w:gridCol w:w="3628"/>
        <w:gridCol w:w="2381"/>
      </w:tblGrid>
      <w:tr>
        <w:trPr>
          <w:cantSplit/>
          <w:tblHeader/>
        </w:trPr>
        <w:tc>
          <w:tcPr>
            <w:tcW w:type="dxa" w:w="1928"/>
            <w:shd w:fill="223E52"/>
            <w:tcMar>
              <w:top w:w="85" w:type="dxa"/>
              <w:left w:w="85" w:type="dxa"/>
              <w:bottom w:w="85" w:type="dxa"/>
              <w:right w:w="85" w:type="dxa"/>
            </w:tcMar>
          </w:tcPr>
          <w:p>
            <w:pPr>
              <w:spacing w:after="40" w:line="252" w:lineRule="auto"/>
            </w:pPr>
            <w:r>
              <w:rPr>
                <w:b/>
                <w:color w:val="FFFFFF"/>
                <w:sz w:val="18"/>
              </w:rPr>
              <w:t>서비스</w:t>
            </w:r>
          </w:p>
        </w:tc>
        <w:tc>
          <w:tcPr>
            <w:tcW w:type="dxa" w:w="1928"/>
            <w:shd w:fill="223E52"/>
            <w:tcMar>
              <w:top w:w="85" w:type="dxa"/>
              <w:left w:w="85" w:type="dxa"/>
              <w:bottom w:w="85" w:type="dxa"/>
              <w:right w:w="85" w:type="dxa"/>
            </w:tcMar>
          </w:tcPr>
          <w:p>
            <w:pPr>
              <w:spacing w:after="40" w:line="252" w:lineRule="auto"/>
            </w:pPr>
            <w:r>
              <w:rPr>
                <w:b/>
                <w:color w:val="FFFFFF"/>
                <w:sz w:val="18"/>
              </w:rPr>
              <w:t>최초 범위</w:t>
            </w:r>
          </w:p>
        </w:tc>
        <w:tc>
          <w:tcPr>
            <w:tcW w:type="dxa" w:w="3628"/>
            <w:shd w:fill="223E52"/>
            <w:tcMar>
              <w:top w:w="85" w:type="dxa"/>
              <w:left w:w="85" w:type="dxa"/>
              <w:bottom w:w="85" w:type="dxa"/>
              <w:right w:w="85" w:type="dxa"/>
            </w:tcMar>
          </w:tcPr>
          <w:p>
            <w:pPr>
              <w:spacing w:after="40" w:line="252" w:lineRule="auto"/>
            </w:pPr>
            <w:r>
              <w:rPr>
                <w:b/>
                <w:color w:val="FFFFFF"/>
                <w:sz w:val="18"/>
              </w:rPr>
              <w:t>이용 흐름</w:t>
            </w:r>
          </w:p>
        </w:tc>
        <w:tc>
          <w:tcPr>
            <w:tcW w:type="dxa" w:w="2381"/>
            <w:shd w:fill="223E52"/>
            <w:tcMar>
              <w:top w:w="85" w:type="dxa"/>
              <w:left w:w="85" w:type="dxa"/>
              <w:bottom w:w="85" w:type="dxa"/>
              <w:right w:w="85" w:type="dxa"/>
            </w:tcMar>
          </w:tcPr>
          <w:p>
            <w:pPr>
              <w:spacing w:after="40" w:line="252" w:lineRule="auto"/>
            </w:pPr>
            <w:r>
              <w:rPr>
                <w:b/>
                <w:color w:val="FFFFFF"/>
                <w:sz w:val="18"/>
              </w:rPr>
              <w:t>확대 또는 제외</w:t>
            </w:r>
          </w:p>
        </w:tc>
      </w:tr>
      <w:tr>
        <w:trPr>
          <w:cantSplit/>
        </w:trPr>
        <w:tc>
          <w:tcPr>
            <w:tcW w:type="dxa" w:w="1928"/>
            <w:shd w:fill="FFFFFF"/>
            <w:tcMar>
              <w:top w:w="85" w:type="dxa"/>
              <w:left w:w="85" w:type="dxa"/>
              <w:bottom w:w="85" w:type="dxa"/>
              <w:right w:w="85" w:type="dxa"/>
            </w:tcMar>
          </w:tcPr>
          <w:p>
            <w:pPr>
              <w:spacing w:after="40" w:line="252" w:lineRule="auto"/>
            </w:pPr>
            <w:r>
              <w:rPr>
                <w:b w:val="0"/>
                <w:color w:val="172B39"/>
                <w:sz w:val="18"/>
              </w:rPr>
              <w:t>X02 검사결과 후속 행동</w:t>
            </w:r>
          </w:p>
        </w:tc>
        <w:tc>
          <w:tcPr>
            <w:tcW w:type="dxa" w:w="1928"/>
            <w:shd w:fill="FFFFFF"/>
            <w:tcMar>
              <w:top w:w="85" w:type="dxa"/>
              <w:left w:w="85" w:type="dxa"/>
              <w:bottom w:w="85" w:type="dxa"/>
              <w:right w:w="85" w:type="dxa"/>
            </w:tcMar>
          </w:tcPr>
          <w:p>
            <w:pPr>
              <w:spacing w:after="40" w:line="252" w:lineRule="auto"/>
            </w:pPr>
            <w:r>
              <w:rPr>
                <w:b w:val="0"/>
                <w:color w:val="172B39"/>
                <w:sz w:val="18"/>
              </w:rPr>
              <w:t>1차 결과 5종 50코드</w:t>
            </w:r>
          </w:p>
        </w:tc>
        <w:tc>
          <w:tcPr>
            <w:tcW w:type="dxa" w:w="3628"/>
            <w:shd w:fill="FFFFFF"/>
            <w:tcMar>
              <w:top w:w="85" w:type="dxa"/>
              <w:left w:w="85" w:type="dxa"/>
              <w:bottom w:w="85" w:type="dxa"/>
              <w:right w:w="85" w:type="dxa"/>
            </w:tcMar>
          </w:tcPr>
          <w:p>
            <w:pPr>
              <w:spacing w:after="40" w:line="252" w:lineRule="auto"/>
            </w:pPr>
            <w:r>
              <w:rPr>
                <w:b w:val="0"/>
                <w:color w:val="172B39"/>
                <w:sz w:val="18"/>
              </w:rPr>
              <w:t>공식 결과 입력 → 근거와 다음 행동 → 담당자 검토 → 안내문 출력</w:t>
            </w:r>
          </w:p>
        </w:tc>
        <w:tc>
          <w:tcPr>
            <w:tcW w:type="dxa" w:w="2381"/>
            <w:shd w:fill="FFFFFF"/>
            <w:tcMar>
              <w:top w:w="85" w:type="dxa"/>
              <w:left w:w="85" w:type="dxa"/>
              <w:bottom w:w="85" w:type="dxa"/>
              <w:right w:w="85" w:type="dxa"/>
            </w:tcMar>
          </w:tcPr>
          <w:p>
            <w:pPr>
              <w:spacing w:after="40" w:line="252" w:lineRule="auto"/>
            </w:pPr>
            <w:r>
              <w:rPr>
                <w:b w:val="0"/>
                <w:color w:val="172B39"/>
                <w:sz w:val="18"/>
              </w:rPr>
              <w:t>2차 10종 100코드와 결과 읽기 연계</w:t>
            </w:r>
          </w:p>
        </w:tc>
      </w:tr>
      <w:tr>
        <w:trPr>
          <w:cantSplit/>
        </w:trPr>
        <w:tc>
          <w:tcPr>
            <w:tcW w:type="dxa" w:w="1928"/>
            <w:shd w:fill="F1F5F7"/>
            <w:tcMar>
              <w:top w:w="85" w:type="dxa"/>
              <w:left w:w="85" w:type="dxa"/>
              <w:bottom w:w="85" w:type="dxa"/>
              <w:right w:w="85" w:type="dxa"/>
            </w:tcMar>
          </w:tcPr>
          <w:p>
            <w:pPr>
              <w:spacing w:after="40" w:line="252" w:lineRule="auto"/>
            </w:pPr>
            <w:r>
              <w:rPr>
                <w:b w:val="0"/>
                <w:color w:val="172B39"/>
                <w:sz w:val="18"/>
              </w:rPr>
              <w:t>X04 조치증빙 검토</w:t>
            </w:r>
          </w:p>
        </w:tc>
        <w:tc>
          <w:tcPr>
            <w:tcW w:type="dxa" w:w="1928"/>
            <w:shd w:fill="F1F5F7"/>
            <w:tcMar>
              <w:top w:w="85" w:type="dxa"/>
              <w:left w:w="85" w:type="dxa"/>
              <w:bottom w:w="85" w:type="dxa"/>
              <w:right w:w="85" w:type="dxa"/>
            </w:tcMar>
          </w:tcPr>
          <w:p>
            <w:pPr>
              <w:spacing w:after="40" w:line="252" w:lineRule="auto"/>
            </w:pPr>
            <w:r>
              <w:rPr>
                <w:b w:val="0"/>
                <w:color w:val="172B39"/>
                <w:sz w:val="18"/>
              </w:rPr>
              <w:t>1차 업무 1개 지적 10유형</w:t>
            </w:r>
          </w:p>
        </w:tc>
        <w:tc>
          <w:tcPr>
            <w:tcW w:type="dxa" w:w="3628"/>
            <w:shd w:fill="F1F5F7"/>
            <w:tcMar>
              <w:top w:w="85" w:type="dxa"/>
              <w:left w:w="85" w:type="dxa"/>
              <w:bottom w:w="85" w:type="dxa"/>
              <w:right w:w="85" w:type="dxa"/>
            </w:tcMar>
          </w:tcPr>
          <w:p>
            <w:pPr>
              <w:spacing w:after="40" w:line="252" w:lineRule="auto"/>
            </w:pPr>
            <w:r>
              <w:rPr>
                <w:b w:val="0"/>
                <w:color w:val="172B39"/>
                <w:sz w:val="18"/>
              </w:rPr>
              <w:t>지적·증빙 입력 → 문장 대응·누락 → 담당자 검토 → 보완 목록</w:t>
            </w:r>
          </w:p>
        </w:tc>
        <w:tc>
          <w:tcPr>
            <w:tcW w:type="dxa" w:w="2381"/>
            <w:shd w:fill="F1F5F7"/>
            <w:tcMar>
              <w:top w:w="85" w:type="dxa"/>
              <w:left w:w="85" w:type="dxa"/>
              <w:bottom w:w="85" w:type="dxa"/>
              <w:right w:w="85" w:type="dxa"/>
            </w:tcMar>
          </w:tcPr>
          <w:p>
            <w:pPr>
              <w:spacing w:after="40" w:line="252" w:lineRule="auto"/>
            </w:pPr>
            <w:r>
              <w:rPr>
                <w:b w:val="0"/>
                <w:color w:val="172B39"/>
                <w:sz w:val="18"/>
              </w:rPr>
              <w:t>2차 20유형 3,000증빙과 읽기 연계</w:t>
            </w:r>
          </w:p>
        </w:tc>
      </w:tr>
      <w:tr>
        <w:trPr>
          <w:cantSplit/>
        </w:trPr>
        <w:tc>
          <w:tcPr>
            <w:tcW w:type="dxa" w:w="1928"/>
            <w:shd w:fill="FFFFFF"/>
            <w:tcMar>
              <w:top w:w="85" w:type="dxa"/>
              <w:left w:w="85" w:type="dxa"/>
              <w:bottom w:w="85" w:type="dxa"/>
              <w:right w:w="85" w:type="dxa"/>
            </w:tcMar>
          </w:tcPr>
          <w:p>
            <w:pPr>
              <w:spacing w:after="40" w:line="252" w:lineRule="auto"/>
            </w:pPr>
            <w:r>
              <w:rPr>
                <w:b w:val="0"/>
                <w:color w:val="172B39"/>
                <w:sz w:val="18"/>
              </w:rPr>
              <w:t>X01 예약 일정 탐색</w:t>
            </w:r>
          </w:p>
        </w:tc>
        <w:tc>
          <w:tcPr>
            <w:tcW w:type="dxa" w:w="1928"/>
            <w:shd w:fill="FFFFFF"/>
            <w:tcMar>
              <w:top w:w="85" w:type="dxa"/>
              <w:left w:w="85" w:type="dxa"/>
              <w:bottom w:w="85" w:type="dxa"/>
              <w:right w:w="85" w:type="dxa"/>
            </w:tcMar>
          </w:tcPr>
          <w:p>
            <w:pPr>
              <w:spacing w:after="40" w:line="252" w:lineRule="auto"/>
            </w:pPr>
            <w:r>
              <w:rPr>
                <w:b w:val="0"/>
                <w:color w:val="172B39"/>
                <w:sz w:val="18"/>
              </w:rPr>
              <w:t>2차 추가 서비스</w:t>
            </w:r>
          </w:p>
        </w:tc>
        <w:tc>
          <w:tcPr>
            <w:tcW w:type="dxa" w:w="3628"/>
            <w:shd w:fill="FFFFFF"/>
            <w:tcMar>
              <w:top w:w="85" w:type="dxa"/>
              <w:left w:w="85" w:type="dxa"/>
              <w:bottom w:w="85" w:type="dxa"/>
              <w:right w:w="85" w:type="dxa"/>
            </w:tcMar>
          </w:tcPr>
          <w:p>
            <w:pPr>
              <w:spacing w:after="40" w:line="252" w:lineRule="auto"/>
            </w:pPr>
            <w:r>
              <w:rPr>
                <w:b w:val="0"/>
                <w:color w:val="172B39"/>
                <w:sz w:val="18"/>
              </w:rPr>
              <w:t>조건 확인 → 날짜별 가용 상태 비교 → 대안 → 기존 예약 채널 이동</w:t>
            </w:r>
          </w:p>
        </w:tc>
        <w:tc>
          <w:tcPr>
            <w:tcW w:type="dxa" w:w="2381"/>
            <w:shd w:fill="FFFFFF"/>
            <w:tcMar>
              <w:top w:w="85" w:type="dxa"/>
              <w:left w:w="85" w:type="dxa"/>
              <w:bottom w:w="85" w:type="dxa"/>
              <w:right w:w="85" w:type="dxa"/>
            </w:tcMar>
          </w:tcPr>
          <w:p>
            <w:pPr>
              <w:spacing w:after="40" w:line="252" w:lineRule="auto"/>
            </w:pPr>
            <w:r>
              <w:rPr>
                <w:b w:val="0"/>
                <w:color w:val="172B39"/>
                <w:sz w:val="18"/>
              </w:rPr>
              <w:t>예약 확정·결제·취소 제외</w:t>
            </w:r>
          </w:p>
        </w:tc>
      </w:tr>
      <w:tr>
        <w:trPr>
          <w:cantSplit/>
        </w:trPr>
        <w:tc>
          <w:tcPr>
            <w:tcW w:type="dxa" w:w="1928"/>
            <w:shd w:fill="F1F5F7"/>
            <w:tcMar>
              <w:top w:w="85" w:type="dxa"/>
              <w:left w:w="85" w:type="dxa"/>
              <w:bottom w:w="85" w:type="dxa"/>
              <w:right w:w="85" w:type="dxa"/>
            </w:tcMar>
          </w:tcPr>
          <w:p>
            <w:pPr>
              <w:spacing w:after="40" w:line="252" w:lineRule="auto"/>
            </w:pPr>
            <w:r>
              <w:rPr>
                <w:b w:val="0"/>
                <w:color w:val="172B39"/>
                <w:sz w:val="18"/>
              </w:rPr>
              <w:t>X03 위험보고와 X05 복합신청</w:t>
            </w:r>
          </w:p>
        </w:tc>
        <w:tc>
          <w:tcPr>
            <w:tcW w:type="dxa" w:w="1928"/>
            <w:shd w:fill="F1F5F7"/>
            <w:tcMar>
              <w:top w:w="85" w:type="dxa"/>
              <w:left w:w="85" w:type="dxa"/>
              <w:bottom w:w="85" w:type="dxa"/>
              <w:right w:w="85" w:type="dxa"/>
            </w:tcMar>
          </w:tcPr>
          <w:p>
            <w:pPr>
              <w:spacing w:after="40" w:line="252" w:lineRule="auto"/>
            </w:pPr>
            <w:r>
              <w:rPr>
                <w:b w:val="0"/>
                <w:color w:val="172B39"/>
                <w:sz w:val="18"/>
              </w:rPr>
              <w:t>이번 12억 범위에서 이연</w:t>
            </w:r>
          </w:p>
        </w:tc>
        <w:tc>
          <w:tcPr>
            <w:tcW w:type="dxa" w:w="3628"/>
            <w:shd w:fill="F1F5F7"/>
            <w:tcMar>
              <w:top w:w="85" w:type="dxa"/>
              <w:left w:w="85" w:type="dxa"/>
              <w:bottom w:w="85" w:type="dxa"/>
              <w:right w:w="85" w:type="dxa"/>
            </w:tcMar>
          </w:tcPr>
          <w:p>
            <w:pPr>
              <w:spacing w:after="40" w:line="252" w:lineRule="auto"/>
            </w:pPr>
            <w:r>
              <w:rPr>
                <w:b w:val="0"/>
                <w:color w:val="172B39"/>
                <w:sz w:val="18"/>
              </w:rPr>
              <w:t>기존 조사 ID와 자료 보존</w:t>
            </w:r>
          </w:p>
        </w:tc>
        <w:tc>
          <w:tcPr>
            <w:tcW w:type="dxa" w:w="2381"/>
            <w:shd w:fill="F1F5F7"/>
            <w:tcMar>
              <w:top w:w="85" w:type="dxa"/>
              <w:left w:w="85" w:type="dxa"/>
              <w:bottom w:w="85" w:type="dxa"/>
              <w:right w:w="85" w:type="dxa"/>
            </w:tcMar>
          </w:tcPr>
          <w:p>
            <w:pPr>
              <w:spacing w:after="40" w:line="252" w:lineRule="auto"/>
            </w:pPr>
            <w:r>
              <w:rPr>
                <w:b w:val="0"/>
                <w:color w:val="172B39"/>
                <w:sz w:val="18"/>
              </w:rPr>
              <w:t>새 업무군 추가 견적 이후 검토</w:t>
            </w:r>
          </w:p>
        </w:tc>
      </w:tr>
    </w:tbl>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2835"/>
        <w:gridCol w:w="2948"/>
        <w:gridCol w:w="2948"/>
      </w:tblGrid>
      <w:tr>
        <w:trPr>
          <w:cantSplit/>
          <w:tblHeader/>
        </w:trPr>
        <w:tc>
          <w:tcPr>
            <w:tcW w:type="dxa" w:w="1134"/>
            <w:shd w:fill="223E52"/>
            <w:tcMar>
              <w:top w:w="85" w:type="dxa"/>
              <w:left w:w="85" w:type="dxa"/>
              <w:bottom w:w="85" w:type="dxa"/>
              <w:right w:w="85" w:type="dxa"/>
            </w:tcMar>
          </w:tcPr>
          <w:p>
            <w:pPr>
              <w:spacing w:after="40" w:line="252" w:lineRule="auto"/>
            </w:pPr>
            <w:r>
              <w:rPr>
                <w:b/>
                <w:color w:val="FFFFFF"/>
                <w:sz w:val="18"/>
              </w:rPr>
              <w:t>구분</w:t>
            </w:r>
          </w:p>
        </w:tc>
        <w:tc>
          <w:tcPr>
            <w:tcW w:type="dxa" w:w="2835"/>
            <w:shd w:fill="223E52"/>
            <w:tcMar>
              <w:top w:w="85" w:type="dxa"/>
              <w:left w:w="85" w:type="dxa"/>
              <w:bottom w:w="85" w:type="dxa"/>
              <w:right w:w="85" w:type="dxa"/>
            </w:tcMar>
          </w:tcPr>
          <w:p>
            <w:pPr>
              <w:spacing w:after="40" w:line="252" w:lineRule="auto"/>
            </w:pPr>
            <w:r>
              <w:rPr>
                <w:b/>
                <w:color w:val="FFFFFF"/>
                <w:sz w:val="18"/>
              </w:rPr>
              <w:t>목표 상한 VAT 포함</w:t>
            </w:r>
          </w:p>
        </w:tc>
        <w:tc>
          <w:tcPr>
            <w:tcW w:type="dxa" w:w="2948"/>
            <w:shd w:fill="223E52"/>
            <w:tcMar>
              <w:top w:w="85" w:type="dxa"/>
              <w:left w:w="85" w:type="dxa"/>
              <w:bottom w:w="85" w:type="dxa"/>
              <w:right w:w="85" w:type="dxa"/>
            </w:tcMar>
          </w:tcPr>
          <w:p>
            <w:pPr>
              <w:spacing w:after="40" w:line="252" w:lineRule="auto"/>
            </w:pPr>
            <w:r>
              <w:rPr>
                <w:b/>
                <w:color w:val="FFFFFF"/>
                <w:sz w:val="18"/>
              </w:rPr>
              <w:t>산정액 VAT 포함</w:t>
            </w:r>
          </w:p>
        </w:tc>
        <w:tc>
          <w:tcPr>
            <w:tcW w:type="dxa" w:w="2948"/>
            <w:shd w:fill="223E52"/>
            <w:tcMar>
              <w:top w:w="85" w:type="dxa"/>
              <w:left w:w="85" w:type="dxa"/>
              <w:bottom w:w="85" w:type="dxa"/>
              <w:right w:w="85" w:type="dxa"/>
            </w:tcMar>
          </w:tcPr>
          <w:p>
            <w:pPr>
              <w:spacing w:after="40" w:line="252" w:lineRule="auto"/>
            </w:pPr>
            <w:r>
              <w:rPr>
                <w:b/>
                <w:color w:val="FFFFFF"/>
                <w:sz w:val="18"/>
              </w:rPr>
              <w:t>상한과 차액</w:t>
            </w:r>
          </w:p>
        </w:tc>
      </w:tr>
      <w:tr>
        <w:trPr>
          <w:cantSplit/>
        </w:trPr>
        <w:tc>
          <w:tcPr>
            <w:tcW w:type="dxa" w:w="1134"/>
            <w:shd w:fill="FFFFFF"/>
            <w:tcMar>
              <w:top w:w="85" w:type="dxa"/>
              <w:left w:w="85" w:type="dxa"/>
              <w:bottom w:w="85" w:type="dxa"/>
              <w:right w:w="85" w:type="dxa"/>
            </w:tcMar>
          </w:tcPr>
          <w:p>
            <w:pPr>
              <w:spacing w:after="40" w:line="252" w:lineRule="auto"/>
            </w:pPr>
            <w:r>
              <w:rPr>
                <w:b w:val="0"/>
                <w:color w:val="172B39"/>
                <w:sz w:val="18"/>
              </w:rPr>
              <w:t>1단계</w:t>
            </w:r>
          </w:p>
        </w:tc>
        <w:tc>
          <w:tcPr>
            <w:tcW w:type="dxa" w:w="2835"/>
            <w:shd w:fill="FFFFFF"/>
            <w:tcMar>
              <w:top w:w="85" w:type="dxa"/>
              <w:left w:w="85" w:type="dxa"/>
              <w:bottom w:w="85" w:type="dxa"/>
              <w:right w:w="85" w:type="dxa"/>
            </w:tcMar>
          </w:tcPr>
          <w:p>
            <w:pPr>
              <w:spacing w:after="40" w:line="252" w:lineRule="auto"/>
            </w:pPr>
            <w:r>
              <w:rPr>
                <w:b w:val="0"/>
                <w:color w:val="172B39"/>
                <w:sz w:val="18"/>
              </w:rPr>
              <w:t>700,000,000원</w:t>
            </w:r>
          </w:p>
        </w:tc>
        <w:tc>
          <w:tcPr>
            <w:tcW w:type="dxa" w:w="2948"/>
            <w:shd w:fill="FFFFFF"/>
            <w:tcMar>
              <w:top w:w="85" w:type="dxa"/>
              <w:left w:w="85" w:type="dxa"/>
              <w:bottom w:w="85" w:type="dxa"/>
              <w:right w:w="85" w:type="dxa"/>
            </w:tcMar>
          </w:tcPr>
          <w:p>
            <w:pPr>
              <w:spacing w:after="40" w:line="252" w:lineRule="auto"/>
            </w:pPr>
            <w:r>
              <w:rPr>
                <w:b w:val="0"/>
                <w:color w:val="172B39"/>
                <w:sz w:val="18"/>
              </w:rPr>
              <w:t>642,386,048원</w:t>
            </w:r>
          </w:p>
        </w:tc>
        <w:tc>
          <w:tcPr>
            <w:tcW w:type="dxa" w:w="2948"/>
            <w:shd w:fill="FFFFFF"/>
            <w:tcMar>
              <w:top w:w="85" w:type="dxa"/>
              <w:left w:w="85" w:type="dxa"/>
              <w:bottom w:w="85" w:type="dxa"/>
              <w:right w:w="85" w:type="dxa"/>
            </w:tcMar>
          </w:tcPr>
          <w:p>
            <w:pPr>
              <w:spacing w:after="40" w:line="252" w:lineRule="auto"/>
            </w:pPr>
            <w:r>
              <w:rPr>
                <w:b w:val="0"/>
                <w:color w:val="172B39"/>
                <w:sz w:val="18"/>
              </w:rPr>
              <w:t>57,613,952원</w:t>
            </w:r>
          </w:p>
        </w:tc>
      </w:tr>
      <w:tr>
        <w:trPr>
          <w:cantSplit/>
        </w:trPr>
        <w:tc>
          <w:tcPr>
            <w:tcW w:type="dxa" w:w="1134"/>
            <w:shd w:fill="F1F5F7"/>
            <w:tcMar>
              <w:top w:w="85" w:type="dxa"/>
              <w:left w:w="85" w:type="dxa"/>
              <w:bottom w:w="85" w:type="dxa"/>
              <w:right w:w="85" w:type="dxa"/>
            </w:tcMar>
          </w:tcPr>
          <w:p>
            <w:pPr>
              <w:spacing w:after="40" w:line="252" w:lineRule="auto"/>
            </w:pPr>
            <w:r>
              <w:rPr>
                <w:b w:val="0"/>
                <w:color w:val="172B39"/>
                <w:sz w:val="18"/>
              </w:rPr>
              <w:t>2단계</w:t>
            </w:r>
          </w:p>
        </w:tc>
        <w:tc>
          <w:tcPr>
            <w:tcW w:type="dxa" w:w="2835"/>
            <w:shd w:fill="F1F5F7"/>
            <w:tcMar>
              <w:top w:w="85" w:type="dxa"/>
              <w:left w:w="85" w:type="dxa"/>
              <w:bottom w:w="85" w:type="dxa"/>
              <w:right w:w="85" w:type="dxa"/>
            </w:tcMar>
          </w:tcPr>
          <w:p>
            <w:pPr>
              <w:spacing w:after="40" w:line="252" w:lineRule="auto"/>
            </w:pPr>
            <w:r>
              <w:rPr>
                <w:b w:val="0"/>
                <w:color w:val="172B39"/>
                <w:sz w:val="18"/>
              </w:rPr>
              <w:t>500,000,000원</w:t>
            </w:r>
          </w:p>
        </w:tc>
        <w:tc>
          <w:tcPr>
            <w:tcW w:type="dxa" w:w="2948"/>
            <w:shd w:fill="F1F5F7"/>
            <w:tcMar>
              <w:top w:w="85" w:type="dxa"/>
              <w:left w:w="85" w:type="dxa"/>
              <w:bottom w:w="85" w:type="dxa"/>
              <w:right w:w="85" w:type="dxa"/>
            </w:tcMar>
          </w:tcPr>
          <w:p>
            <w:pPr>
              <w:spacing w:after="40" w:line="252" w:lineRule="auto"/>
            </w:pPr>
            <w:r>
              <w:rPr>
                <w:b w:val="0"/>
                <w:color w:val="172B39"/>
                <w:sz w:val="18"/>
              </w:rPr>
              <w:t>476,001,056원</w:t>
            </w:r>
          </w:p>
        </w:tc>
        <w:tc>
          <w:tcPr>
            <w:tcW w:type="dxa" w:w="2948"/>
            <w:shd w:fill="F1F5F7"/>
            <w:tcMar>
              <w:top w:w="85" w:type="dxa"/>
              <w:left w:w="85" w:type="dxa"/>
              <w:bottom w:w="85" w:type="dxa"/>
              <w:right w:w="85" w:type="dxa"/>
            </w:tcMar>
          </w:tcPr>
          <w:p>
            <w:pPr>
              <w:spacing w:after="40" w:line="252" w:lineRule="auto"/>
            </w:pPr>
            <w:r>
              <w:rPr>
                <w:b w:val="0"/>
                <w:color w:val="172B39"/>
                <w:sz w:val="18"/>
              </w:rPr>
              <w:t>23,998,944원</w:t>
            </w:r>
          </w:p>
        </w:tc>
      </w:tr>
    </w:tbl>
    <w:p>
      <w:r>
        <w:t>산정 총액은 1,118,387,104원이다. 상한과의 차액을 계약금액에 자동 반영하지 않는다. 기존 15% 예비액은 더하지 않는다. 미견적 품목과 기관 별도 비용을 확인하면 차액이 줄거나 범위 축소가 더 필요할 수 있다.</w:t>
      </w:r>
    </w:p>
    <w:p>
      <w:pPr>
        <w:pStyle w:val="Heading1"/>
      </w:pPr>
      <w:r>
        <w:t>서비스의 이용자와 책임</w:t>
      </w:r>
    </w:p>
    <w:p>
      <w:r>
        <w:t>1차 직접 사용자는 TS 검사 업무 담당자·시설 조치 검토자·운영자다. 국민에게는 담당자가 검토한 후속 안내와 미해결 사항의 확인이라는 편익이 연결된다. 2차 X01은 제한 공개 시험 이용자가 직접 일정 후보를 비교한다. 전국 서비스의 즉시 개통을 포함하지 않는다.</w:t>
      </w:r>
    </w:p>
    <w:p>
      <w:r>
        <w:t>CCK는 자산 적합성 확인·설계·업무 기능·연계 어댑터·시험·인수를 총괄하는 수행 주체로 가정한다. TS는 업무 기준·자료·사용권·기존 인증·인프라·법정 판단을 책임진다. 기존 운영사는 공식 읽기 계약과 필요한 원천 측 수정에 협조한다. 실제 담당자와 계약 가능성은 확정 전이다.</w:t>
      </w:r>
    </w:p>
    <w:p>
      <w:pPr>
        <w:pStyle w:val="Heading1"/>
      </w:pPr>
      <w:r>
        <w:t>재사용과 추가 개발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195"/>
        <w:gridCol w:w="3798"/>
      </w:tblGrid>
      <w:tr>
        <w:trPr>
          <w:cantSplit/>
          <w:tblHeader/>
        </w:trPr>
        <w:tc>
          <w:tcPr>
            <w:tcW w:type="dxa" w:w="1871"/>
            <w:shd w:fill="223E52"/>
            <w:tcMar>
              <w:top w:w="85" w:type="dxa"/>
              <w:left w:w="85" w:type="dxa"/>
              <w:bottom w:w="85" w:type="dxa"/>
              <w:right w:w="85" w:type="dxa"/>
            </w:tcMar>
          </w:tcPr>
          <w:p>
            <w:pPr>
              <w:spacing w:after="40" w:line="252" w:lineRule="auto"/>
            </w:pPr>
            <w:r>
              <w:rPr>
                <w:b/>
                <w:color w:val="FFFFFF"/>
                <w:sz w:val="18"/>
              </w:rPr>
              <w:t>구분</w:t>
            </w:r>
          </w:p>
        </w:tc>
        <w:tc>
          <w:tcPr>
            <w:tcW w:type="dxa" w:w="4195"/>
            <w:shd w:fill="223E52"/>
            <w:tcMar>
              <w:top w:w="85" w:type="dxa"/>
              <w:left w:w="85" w:type="dxa"/>
              <w:bottom w:w="85" w:type="dxa"/>
              <w:right w:w="85" w:type="dxa"/>
            </w:tcMar>
          </w:tcPr>
          <w:p>
            <w:pPr>
              <w:spacing w:after="40" w:line="252" w:lineRule="auto"/>
            </w:pPr>
            <w:r>
              <w:rPr>
                <w:b/>
                <w:color w:val="FFFFFF"/>
                <w:sz w:val="18"/>
              </w:rPr>
              <w:t>적용 방식</w:t>
            </w:r>
          </w:p>
        </w:tc>
        <w:tc>
          <w:tcPr>
            <w:tcW w:type="dxa" w:w="3798"/>
            <w:shd w:fill="223E52"/>
            <w:tcMar>
              <w:top w:w="85" w:type="dxa"/>
              <w:left w:w="85" w:type="dxa"/>
              <w:bottom w:w="85" w:type="dxa"/>
              <w:right w:w="85" w:type="dxa"/>
            </w:tcMar>
          </w:tcPr>
          <w:p>
            <w:pPr>
              <w:spacing w:after="40" w:line="252" w:lineRule="auto"/>
            </w:pPr>
            <w:r>
              <w:rPr>
                <w:b/>
                <w:color w:val="FFFFFF"/>
                <w:sz w:val="18"/>
              </w:rPr>
              <w:t>필수 확인</w:t>
            </w:r>
          </w:p>
        </w:tc>
      </w:tr>
      <w:tr>
        <w:trPr>
          <w:cantSplit/>
        </w:trPr>
        <w:tc>
          <w:tcPr>
            <w:tcW w:type="dxa" w:w="1871"/>
            <w:shd w:fill="FFFFFF"/>
            <w:tcMar>
              <w:top w:w="85" w:type="dxa"/>
              <w:left w:w="85" w:type="dxa"/>
              <w:bottom w:w="85" w:type="dxa"/>
              <w:right w:w="85" w:type="dxa"/>
            </w:tcMar>
          </w:tcPr>
          <w:p>
            <w:pPr>
              <w:spacing w:after="40" w:line="252" w:lineRule="auto"/>
            </w:pPr>
            <w:r>
              <w:rPr>
                <w:b w:val="0"/>
                <w:color w:val="172B39"/>
                <w:sz w:val="18"/>
              </w:rPr>
              <w:t>기존 호출과 검색</w:t>
            </w:r>
          </w:p>
        </w:tc>
        <w:tc>
          <w:tcPr>
            <w:tcW w:type="dxa" w:w="4195"/>
            <w:shd w:fill="FFFFFF"/>
            <w:tcMar>
              <w:top w:w="85" w:type="dxa"/>
              <w:left w:w="85" w:type="dxa"/>
              <w:bottom w:w="85" w:type="dxa"/>
              <w:right w:w="85" w:type="dxa"/>
            </w:tcMar>
          </w:tcPr>
          <w:p>
            <w:pPr>
              <w:spacing w:after="40" w:line="252" w:lineRule="auto"/>
            </w:pPr>
            <w:r>
              <w:rPr>
                <w:b w:val="0"/>
                <w:color w:val="172B39"/>
                <w:sz w:val="18"/>
              </w:rPr>
              <w:t>Nexus 호출·RAG 후보를 로컬 실행에 적응</w:t>
            </w:r>
          </w:p>
        </w:tc>
        <w:tc>
          <w:tcPr>
            <w:tcW w:type="dxa" w:w="3798"/>
            <w:shd w:fill="FFFFFF"/>
            <w:tcMar>
              <w:top w:w="85" w:type="dxa"/>
              <w:left w:w="85" w:type="dxa"/>
              <w:bottom w:w="85" w:type="dxa"/>
              <w:right w:w="85" w:type="dxa"/>
            </w:tcMar>
          </w:tcPr>
          <w:p>
            <w:pPr>
              <w:spacing w:after="40" w:line="252" w:lineRule="auto"/>
            </w:pPr>
            <w:r>
              <w:rPr>
                <w:b w:val="0"/>
                <w:color w:val="172B39"/>
                <w:sz w:val="18"/>
              </w:rPr>
              <w:t>제품 버전·실행 데모·사용권·제한 부하</w:t>
            </w:r>
          </w:p>
        </w:tc>
      </w:tr>
      <w:tr>
        <w:trPr>
          <w:cantSplit/>
        </w:trPr>
        <w:tc>
          <w:tcPr>
            <w:tcW w:type="dxa" w:w="1871"/>
            <w:shd w:fill="F1F5F7"/>
            <w:tcMar>
              <w:top w:w="85" w:type="dxa"/>
              <w:left w:w="85" w:type="dxa"/>
              <w:bottom w:w="85" w:type="dxa"/>
              <w:right w:w="85" w:type="dxa"/>
            </w:tcMar>
          </w:tcPr>
          <w:p>
            <w:pPr>
              <w:spacing w:after="40" w:line="252" w:lineRule="auto"/>
            </w:pPr>
            <w:r>
              <w:rPr>
                <w:b w:val="0"/>
                <w:color w:val="172B39"/>
                <w:sz w:val="18"/>
              </w:rPr>
              <w:t>기존 실행 관리</w:t>
            </w:r>
          </w:p>
        </w:tc>
        <w:tc>
          <w:tcPr>
            <w:tcW w:type="dxa" w:w="4195"/>
            <w:shd w:fill="F1F5F7"/>
            <w:tcMar>
              <w:top w:w="85" w:type="dxa"/>
              <w:left w:w="85" w:type="dxa"/>
              <w:bottom w:w="85" w:type="dxa"/>
              <w:right w:w="85" w:type="dxa"/>
            </w:tcMar>
          </w:tcPr>
          <w:p>
            <w:pPr>
              <w:spacing w:after="40" w:line="252" w:lineRule="auto"/>
            </w:pPr>
            <w:r>
              <w:rPr>
                <w:b w:val="0"/>
                <w:color w:val="172B39"/>
                <w:sz w:val="18"/>
              </w:rPr>
              <w:t>Argus·Keeper의 작업·상태 기능을 필요한 범위만 사용</w:t>
            </w:r>
          </w:p>
        </w:tc>
        <w:tc>
          <w:tcPr>
            <w:tcW w:type="dxa" w:w="3798"/>
            <w:shd w:fill="F1F5F7"/>
            <w:tcMar>
              <w:top w:w="85" w:type="dxa"/>
              <w:left w:w="85" w:type="dxa"/>
              <w:bottom w:w="85" w:type="dxa"/>
              <w:right w:w="85" w:type="dxa"/>
            </w:tcMar>
          </w:tcPr>
          <w:p>
            <w:pPr>
              <w:spacing w:after="40" w:line="252" w:lineRule="auto"/>
            </w:pPr>
            <w:r>
              <w:rPr>
                <w:b w:val="0"/>
                <w:color w:val="172B39"/>
                <w:sz w:val="18"/>
              </w:rPr>
              <w:t>중단·재개 미구현 시 작은 내부 상태 기능 추가 공수 검토</w:t>
            </w:r>
          </w:p>
        </w:tc>
      </w:tr>
      <w:tr>
        <w:trPr>
          <w:cantSplit/>
        </w:trPr>
        <w:tc>
          <w:tcPr>
            <w:tcW w:type="dxa" w:w="1871"/>
            <w:shd w:fill="FFFFFF"/>
            <w:tcMar>
              <w:top w:w="85" w:type="dxa"/>
              <w:left w:w="85" w:type="dxa"/>
              <w:bottom w:w="85" w:type="dxa"/>
              <w:right w:w="85" w:type="dxa"/>
            </w:tcMar>
          </w:tcPr>
          <w:p>
            <w:pPr>
              <w:spacing w:after="40" w:line="252" w:lineRule="auto"/>
            </w:pPr>
            <w:r>
              <w:rPr>
                <w:b w:val="0"/>
                <w:color w:val="172B39"/>
                <w:sz w:val="18"/>
              </w:rPr>
              <w:t>신규 업무 기능</w:t>
            </w:r>
          </w:p>
        </w:tc>
        <w:tc>
          <w:tcPr>
            <w:tcW w:type="dxa" w:w="4195"/>
            <w:shd w:fill="FFFFFF"/>
            <w:tcMar>
              <w:top w:w="85" w:type="dxa"/>
              <w:left w:w="85" w:type="dxa"/>
              <w:bottom w:w="85" w:type="dxa"/>
              <w:right w:w="85" w:type="dxa"/>
            </w:tcMar>
          </w:tcPr>
          <w:p>
            <w:pPr>
              <w:spacing w:after="40" w:line="252" w:lineRule="auto"/>
            </w:pPr>
            <w:r>
              <w:rPr>
                <w:b w:val="0"/>
                <w:color w:val="172B39"/>
                <w:sz w:val="18"/>
              </w:rPr>
              <w:t>결과 코드 매핑·지적과 증빙 대응·검토 화면·읽기 어댑터</w:t>
            </w:r>
          </w:p>
        </w:tc>
        <w:tc>
          <w:tcPr>
            <w:tcW w:type="dxa" w:w="3798"/>
            <w:shd w:fill="FFFFFF"/>
            <w:tcMar>
              <w:top w:w="85" w:type="dxa"/>
              <w:left w:w="85" w:type="dxa"/>
              <w:bottom w:w="85" w:type="dxa"/>
              <w:right w:w="85" w:type="dxa"/>
            </w:tcMar>
          </w:tcPr>
          <w:p>
            <w:pPr>
              <w:spacing w:after="40" w:line="252" w:lineRule="auto"/>
            </w:pPr>
            <w:r>
              <w:rPr>
                <w:b w:val="0"/>
                <w:color w:val="172B39"/>
                <w:sz w:val="18"/>
              </w:rPr>
              <w:t>기존 TS 계약과 산출물 수준 비중복</w:t>
            </w:r>
          </w:p>
        </w:tc>
      </w:tr>
      <w:tr>
        <w:trPr>
          <w:cantSplit/>
        </w:trPr>
        <w:tc>
          <w:tcPr>
            <w:tcW w:type="dxa" w:w="1871"/>
            <w:shd w:fill="F1F5F7"/>
            <w:tcMar>
              <w:top w:w="85" w:type="dxa"/>
              <w:left w:w="85" w:type="dxa"/>
              <w:bottom w:w="85" w:type="dxa"/>
              <w:right w:w="85" w:type="dxa"/>
            </w:tcMar>
          </w:tcPr>
          <w:p>
            <w:pPr>
              <w:spacing w:after="40" w:line="252" w:lineRule="auto"/>
            </w:pPr>
            <w:r>
              <w:rPr>
                <w:b w:val="0"/>
                <w:color w:val="172B39"/>
                <w:sz w:val="18"/>
              </w:rPr>
              <w:t>기존 환경 사용</w:t>
            </w:r>
          </w:p>
        </w:tc>
        <w:tc>
          <w:tcPr>
            <w:tcW w:type="dxa" w:w="4195"/>
            <w:shd w:fill="F1F5F7"/>
            <w:tcMar>
              <w:top w:w="85" w:type="dxa"/>
              <w:left w:w="85" w:type="dxa"/>
              <w:bottom w:w="85" w:type="dxa"/>
              <w:right w:w="85" w:type="dxa"/>
            </w:tcMar>
          </w:tcPr>
          <w:p>
            <w:pPr>
              <w:spacing w:after="40" w:line="252" w:lineRule="auto"/>
            </w:pPr>
            <w:r>
              <w:rPr>
                <w:b w:val="0"/>
                <w:color w:val="172B39"/>
                <w:sz w:val="18"/>
              </w:rPr>
              <w:t>기존 서버·인증·망 활용, 원천 API 권한 확인</w:t>
            </w:r>
          </w:p>
        </w:tc>
        <w:tc>
          <w:tcPr>
            <w:tcW w:type="dxa" w:w="3798"/>
            <w:shd w:fill="F1F5F7"/>
            <w:tcMar>
              <w:top w:w="85" w:type="dxa"/>
              <w:left w:w="85" w:type="dxa"/>
              <w:bottom w:w="85" w:type="dxa"/>
              <w:right w:w="85" w:type="dxa"/>
            </w:tcMar>
          </w:tcPr>
          <w:p>
            <w:pPr>
              <w:spacing w:after="40" w:line="252" w:lineRule="auto"/>
            </w:pPr>
            <w:r>
              <w:rPr>
                <w:b w:val="0"/>
                <w:color w:val="172B39"/>
                <w:sz w:val="18"/>
              </w:rPr>
              <w:t>신규 인프라 0원. 용량 부족은 동시성·범위 조정</w:t>
            </w:r>
          </w:p>
        </w:tc>
      </w:tr>
    </w:tbl>
    <w:p>
      <w:pPr>
        <w:pStyle w:val="Heading1"/>
      </w:pPr>
      <w:r>
        <w:t>AI와 비AI 기능의 역할</w:t>
      </w:r>
    </w:p>
    <w:p>
      <w:r>
        <w:t>규칙은 설비·사례 ID, 날짜, 필수 필드, 권한, 결과 코드를 확인한다. 로컬 LLM은 서술형 조치와 지적의 의미 대응, 누락 이유, 쉬운 설명, 자연어 조건을 처리한다. 화면 비교와 필터만으로 충분한 X01 항목은 일반 SI로 구현한다. 같은 사례로 비AI 체크리스트와 비교해 AI의 추가 가치를 확인한다.</w:t>
      </w:r>
    </w:p>
    <w:p>
      <w:pPr>
        <w:pStyle w:val="Heading1"/>
      </w:pPr>
      <w:r>
        <w:t>축소로 달라지는 이용 경험</w:t>
      </w:r>
    </w:p>
    <w:p>
      <w:r>
        <w:t>1차는 담당자의 공식 파일 입력이 남는다. 이용자가 개인 차량을 즉시 조회하거나 자동으로 정비·리콜 완료를 확인할 수 없다. 2차 예약 후보를 찾더라도 기존 예약 사이트에서 인증과 확정을 진행한다. 이러한 수동 단계는 비용 축소의 명시적 한계다.</w:t>
      </w:r>
    </w:p>
    <w:p>
      <w:r>
        <w:br w:type="page"/>
      </w:r>
    </w:p>
    <w:p>
      <w:pPr>
        <w:pStyle w:val="Heading1"/>
      </w:pPr>
      <w:r>
        <w:t>성과와 기획 기준</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4535"/>
        <w:gridCol w:w="3515"/>
      </w:tblGrid>
      <w:tr>
        <w:trPr>
          <w:cantSplit/>
          <w:tblHeader/>
        </w:trPr>
        <w:tc>
          <w:tcPr>
            <w:tcW w:type="dxa" w:w="1814"/>
            <w:shd w:fill="223E52"/>
            <w:tcMar>
              <w:top w:w="85" w:type="dxa"/>
              <w:left w:w="85" w:type="dxa"/>
              <w:bottom w:w="85" w:type="dxa"/>
              <w:right w:w="85" w:type="dxa"/>
            </w:tcMar>
          </w:tcPr>
          <w:p>
            <w:pPr>
              <w:spacing w:after="40" w:line="252" w:lineRule="auto"/>
            </w:pPr>
            <w:r>
              <w:rPr>
                <w:b/>
                <w:color w:val="FFFFFF"/>
                <w:sz w:val="18"/>
              </w:rPr>
              <w:t>기준</w:t>
            </w:r>
          </w:p>
        </w:tc>
        <w:tc>
          <w:tcPr>
            <w:tcW w:type="dxa" w:w="4535"/>
            <w:shd w:fill="223E52"/>
            <w:tcMar>
              <w:top w:w="85" w:type="dxa"/>
              <w:left w:w="85" w:type="dxa"/>
              <w:bottom w:w="85" w:type="dxa"/>
              <w:right w:w="85" w:type="dxa"/>
            </w:tcMar>
          </w:tcPr>
          <w:p>
            <w:pPr>
              <w:spacing w:after="40" w:line="252" w:lineRule="auto"/>
            </w:pPr>
            <w:r>
              <w:rPr>
                <w:b/>
                <w:color w:val="FFFFFF"/>
                <w:sz w:val="18"/>
              </w:rPr>
              <w:t>이번 적용</w:t>
            </w:r>
          </w:p>
        </w:tc>
        <w:tc>
          <w:tcPr>
            <w:tcW w:type="dxa" w:w="3515"/>
            <w:shd w:fill="223E52"/>
            <w:tcMar>
              <w:top w:w="85" w:type="dxa"/>
              <w:left w:w="85" w:type="dxa"/>
              <w:bottom w:w="85" w:type="dxa"/>
              <w:right w:w="85" w:type="dxa"/>
            </w:tcMar>
          </w:tcPr>
          <w:p>
            <w:pPr>
              <w:spacing w:after="40" w:line="252" w:lineRule="auto"/>
            </w:pPr>
            <w:r>
              <w:rPr>
                <w:b/>
                <w:color w:val="FFFFFF"/>
                <w:sz w:val="18"/>
              </w:rPr>
              <w:t>남은 확인</w:t>
            </w:r>
          </w:p>
        </w:tc>
      </w:tr>
      <w:tr>
        <w:trPr>
          <w:cantSplit/>
        </w:trPr>
        <w:tc>
          <w:tcPr>
            <w:tcW w:type="dxa" w:w="1814"/>
            <w:shd w:fill="FFFFFF"/>
            <w:tcMar>
              <w:top w:w="85" w:type="dxa"/>
              <w:left w:w="85" w:type="dxa"/>
              <w:bottom w:w="85" w:type="dxa"/>
              <w:right w:w="85" w:type="dxa"/>
            </w:tcMar>
          </w:tcPr>
          <w:p>
            <w:pPr>
              <w:spacing w:after="40" w:line="252" w:lineRule="auto"/>
            </w:pPr>
            <w:r>
              <w:rPr>
                <w:b w:val="0"/>
                <w:color w:val="172B39"/>
                <w:sz w:val="18"/>
              </w:rPr>
              <w:t>P01 국민 편익</w:t>
            </w:r>
          </w:p>
        </w:tc>
        <w:tc>
          <w:tcPr>
            <w:tcW w:type="dxa" w:w="4535"/>
            <w:shd w:fill="FFFFFF"/>
            <w:tcMar>
              <w:top w:w="85" w:type="dxa"/>
              <w:left w:w="85" w:type="dxa"/>
              <w:bottom w:w="85" w:type="dxa"/>
              <w:right w:w="85" w:type="dxa"/>
            </w:tcMar>
          </w:tcPr>
          <w:p>
            <w:pPr>
              <w:spacing w:after="40" w:line="252" w:lineRule="auto"/>
            </w:pPr>
            <w:r>
              <w:rPr>
                <w:b w:val="0"/>
                <w:color w:val="172B39"/>
                <w:sz w:val="18"/>
              </w:rPr>
              <w:t>필수 행동 누락·조치 근거 누락과 탐색 왕복을 측정</w:t>
            </w:r>
          </w:p>
        </w:tc>
        <w:tc>
          <w:tcPr>
            <w:tcW w:type="dxa" w:w="3515"/>
            <w:shd w:fill="FFFFFF"/>
            <w:tcMar>
              <w:top w:w="85" w:type="dxa"/>
              <w:left w:w="85" w:type="dxa"/>
              <w:bottom w:w="85" w:type="dxa"/>
              <w:right w:w="85" w:type="dxa"/>
            </w:tcMar>
          </w:tcPr>
          <w:p>
            <w:pPr>
              <w:spacing w:after="40" w:line="252" w:lineRule="auto"/>
            </w:pPr>
            <w:r>
              <w:rPr>
                <w:b w:val="0"/>
                <w:color w:val="172B39"/>
                <w:sz w:val="18"/>
              </w:rPr>
              <w:t>실제 사례의 문제 규모</w:t>
            </w:r>
          </w:p>
        </w:tc>
      </w:tr>
      <w:tr>
        <w:trPr>
          <w:cantSplit/>
        </w:trPr>
        <w:tc>
          <w:tcPr>
            <w:tcW w:type="dxa" w:w="1814"/>
            <w:shd w:fill="F1F5F7"/>
            <w:tcMar>
              <w:top w:w="85" w:type="dxa"/>
              <w:left w:w="85" w:type="dxa"/>
              <w:bottom w:w="85" w:type="dxa"/>
              <w:right w:w="85" w:type="dxa"/>
            </w:tcMar>
          </w:tcPr>
          <w:p>
            <w:pPr>
              <w:spacing w:after="40" w:line="252" w:lineRule="auto"/>
            </w:pPr>
            <w:r>
              <w:rPr>
                <w:b w:val="0"/>
                <w:color w:val="172B39"/>
                <w:sz w:val="18"/>
              </w:rPr>
              <w:t>P02 직무 영향</w:t>
            </w:r>
          </w:p>
        </w:tc>
        <w:tc>
          <w:tcPr>
            <w:tcW w:type="dxa" w:w="4535"/>
            <w:shd w:fill="F1F5F7"/>
            <w:tcMar>
              <w:top w:w="85" w:type="dxa"/>
              <w:left w:w="85" w:type="dxa"/>
              <w:bottom w:w="85" w:type="dxa"/>
              <w:right w:w="85" w:type="dxa"/>
            </w:tcMar>
          </w:tcPr>
          <w:p>
            <w:pPr>
              <w:spacing w:after="40" w:line="252" w:lineRule="auto"/>
            </w:pPr>
            <w:r>
              <w:rPr>
                <w:b w:val="0"/>
                <w:color w:val="172B39"/>
                <w:sz w:val="18"/>
              </w:rPr>
              <w:t>검토·예외처리를 지원하고 감축 인원으로 환산하지 않음</w:t>
            </w:r>
          </w:p>
        </w:tc>
        <w:tc>
          <w:tcPr>
            <w:tcW w:type="dxa" w:w="3515"/>
            <w:shd w:fill="F1F5F7"/>
            <w:tcMar>
              <w:top w:w="85" w:type="dxa"/>
              <w:left w:w="85" w:type="dxa"/>
              <w:bottom w:w="85" w:type="dxa"/>
              <w:right w:w="85" w:type="dxa"/>
            </w:tcMar>
          </w:tcPr>
          <w:p>
            <w:pPr>
              <w:spacing w:after="40" w:line="252" w:lineRule="auto"/>
            </w:pPr>
            <w:r>
              <w:rPr>
                <w:b w:val="0"/>
                <w:color w:val="172B39"/>
                <w:sz w:val="18"/>
              </w:rPr>
              <w:t>현업 수용성과 교육</w:t>
            </w:r>
          </w:p>
        </w:tc>
      </w:tr>
      <w:tr>
        <w:trPr>
          <w:cantSplit/>
        </w:trPr>
        <w:tc>
          <w:tcPr>
            <w:tcW w:type="dxa" w:w="1814"/>
            <w:shd w:fill="FFFFFF"/>
            <w:tcMar>
              <w:top w:w="85" w:type="dxa"/>
              <w:left w:w="85" w:type="dxa"/>
              <w:bottom w:w="85" w:type="dxa"/>
              <w:right w:w="85" w:type="dxa"/>
            </w:tcMar>
          </w:tcPr>
          <w:p>
            <w:pPr>
              <w:spacing w:after="40" w:line="252" w:lineRule="auto"/>
            </w:pPr>
            <w:r>
              <w:rPr>
                <w:b w:val="0"/>
                <w:color w:val="172B39"/>
                <w:sz w:val="18"/>
              </w:rPr>
              <w:t>P03 AX와 SI</w:t>
            </w:r>
          </w:p>
        </w:tc>
        <w:tc>
          <w:tcPr>
            <w:tcW w:type="dxa" w:w="4535"/>
            <w:shd w:fill="FFFFFF"/>
            <w:tcMar>
              <w:top w:w="85" w:type="dxa"/>
              <w:left w:w="85" w:type="dxa"/>
              <w:bottom w:w="85" w:type="dxa"/>
              <w:right w:w="85" w:type="dxa"/>
            </w:tcMar>
          </w:tcPr>
          <w:p>
            <w:pPr>
              <w:spacing w:after="40" w:line="252" w:lineRule="auto"/>
            </w:pPr>
            <w:r>
              <w:rPr>
                <w:b w:val="0"/>
                <w:color w:val="172B39"/>
                <w:sz w:val="18"/>
              </w:rPr>
              <w:t>텍스트 의미 검토와 규칙·화면을 비교</w:t>
            </w:r>
          </w:p>
        </w:tc>
        <w:tc>
          <w:tcPr>
            <w:tcW w:type="dxa" w:w="3515"/>
            <w:shd w:fill="FFFFFF"/>
            <w:tcMar>
              <w:top w:w="85" w:type="dxa"/>
              <w:left w:w="85" w:type="dxa"/>
              <w:bottom w:w="85" w:type="dxa"/>
              <w:right w:w="85" w:type="dxa"/>
            </w:tcMar>
          </w:tcPr>
          <w:p>
            <w:pPr>
              <w:spacing w:after="40" w:line="252" w:lineRule="auto"/>
            </w:pPr>
            <w:r>
              <w:rPr>
                <w:b w:val="0"/>
                <w:color w:val="172B39"/>
                <w:sz w:val="18"/>
              </w:rPr>
              <w:t>비AI 대비 실제 추가 가치</w:t>
            </w:r>
          </w:p>
        </w:tc>
      </w:tr>
      <w:tr>
        <w:trPr>
          <w:cantSplit/>
        </w:trPr>
        <w:tc>
          <w:tcPr>
            <w:tcW w:type="dxa" w:w="1814"/>
            <w:shd w:fill="F1F5F7"/>
            <w:tcMar>
              <w:top w:w="85" w:type="dxa"/>
              <w:left w:w="85" w:type="dxa"/>
              <w:bottom w:w="85" w:type="dxa"/>
              <w:right w:w="85" w:type="dxa"/>
            </w:tcMar>
          </w:tcPr>
          <w:p>
            <w:pPr>
              <w:spacing w:after="40" w:line="252" w:lineRule="auto"/>
            </w:pPr>
            <w:r>
              <w:rPr>
                <w:b w:val="0"/>
                <w:color w:val="172B39"/>
                <w:sz w:val="18"/>
              </w:rPr>
              <w:t>P04 TS 업무</w:t>
            </w:r>
          </w:p>
        </w:tc>
        <w:tc>
          <w:tcPr>
            <w:tcW w:type="dxa" w:w="4535"/>
            <w:shd w:fill="F1F5F7"/>
            <w:tcMar>
              <w:top w:w="85" w:type="dxa"/>
              <w:left w:w="85" w:type="dxa"/>
              <w:bottom w:w="85" w:type="dxa"/>
              <w:right w:w="85" w:type="dxa"/>
            </w:tcMar>
          </w:tcPr>
          <w:p>
            <w:pPr>
              <w:spacing w:after="40" w:line="252" w:lineRule="auto"/>
            </w:pPr>
            <w:r>
              <w:rPr>
                <w:b w:val="0"/>
                <w:color w:val="172B39"/>
                <w:sz w:val="18"/>
              </w:rPr>
              <w:t>자동차검사와 기계식주차장 검사 이후 과정</w:t>
            </w:r>
          </w:p>
        </w:tc>
        <w:tc>
          <w:tcPr>
            <w:tcW w:type="dxa" w:w="3515"/>
            <w:shd w:fill="F1F5F7"/>
            <w:tcMar>
              <w:top w:w="85" w:type="dxa"/>
              <w:left w:w="85" w:type="dxa"/>
              <w:bottom w:w="85" w:type="dxa"/>
              <w:right w:w="85" w:type="dxa"/>
            </w:tcMar>
          </w:tcPr>
          <w:p>
            <w:pPr>
              <w:spacing w:after="40" w:line="252" w:lineRule="auto"/>
            </w:pPr>
            <w:r>
              <w:rPr>
                <w:b w:val="0"/>
                <w:color w:val="172B39"/>
                <w:sz w:val="18"/>
              </w:rPr>
              <w:t>현행 법정·수탁 범위와 담당 조직</w:t>
            </w:r>
          </w:p>
        </w:tc>
      </w:tr>
      <w:tr>
        <w:trPr>
          <w:cantSplit/>
        </w:trPr>
        <w:tc>
          <w:tcPr>
            <w:tcW w:type="dxa" w:w="1814"/>
            <w:shd w:fill="FFFFFF"/>
            <w:tcMar>
              <w:top w:w="85" w:type="dxa"/>
              <w:left w:w="85" w:type="dxa"/>
              <w:bottom w:w="85" w:type="dxa"/>
              <w:right w:w="85" w:type="dxa"/>
            </w:tcMar>
          </w:tcPr>
          <w:p>
            <w:pPr>
              <w:spacing w:after="40" w:line="252" w:lineRule="auto"/>
            </w:pPr>
            <w:r>
              <w:rPr>
                <w:b w:val="0"/>
                <w:color w:val="172B39"/>
                <w:sz w:val="18"/>
              </w:rPr>
              <w:t>P05 확장</w:t>
            </w:r>
          </w:p>
        </w:tc>
        <w:tc>
          <w:tcPr>
            <w:tcW w:type="dxa" w:w="4535"/>
            <w:shd w:fill="FFFFFF"/>
            <w:tcMar>
              <w:top w:w="85" w:type="dxa"/>
              <w:left w:w="85" w:type="dxa"/>
              <w:bottom w:w="85" w:type="dxa"/>
              <w:right w:w="85" w:type="dxa"/>
            </w:tcMar>
          </w:tcPr>
          <w:p>
            <w:pPr>
              <w:spacing w:after="40" w:line="252" w:lineRule="auto"/>
            </w:pPr>
            <w:r>
              <w:rPr>
                <w:b w:val="0"/>
                <w:color w:val="172B39"/>
                <w:sz w:val="18"/>
              </w:rPr>
              <w:t>검토 흐름 재사용과 업무별 규칙을 분리</w:t>
            </w:r>
          </w:p>
        </w:tc>
        <w:tc>
          <w:tcPr>
            <w:tcW w:type="dxa" w:w="3515"/>
            <w:shd w:fill="FFFFFF"/>
            <w:tcMar>
              <w:top w:w="85" w:type="dxa"/>
              <w:left w:w="85" w:type="dxa"/>
              <w:bottom w:w="85" w:type="dxa"/>
              <w:right w:w="85" w:type="dxa"/>
            </w:tcMar>
          </w:tcPr>
          <w:p>
            <w:pPr>
              <w:spacing w:after="40" w:line="252" w:lineRule="auto"/>
            </w:pPr>
            <w:r>
              <w:rPr>
                <w:b w:val="0"/>
                <w:color w:val="172B39"/>
                <w:sz w:val="18"/>
              </w:rPr>
              <w:t>타 기관 데이터 권한은 별도</w:t>
            </w:r>
          </w:p>
        </w:tc>
      </w:tr>
      <w:tr>
        <w:trPr>
          <w:cantSplit/>
        </w:trPr>
        <w:tc>
          <w:tcPr>
            <w:tcW w:type="dxa" w:w="1814"/>
            <w:shd w:fill="F1F5F7"/>
            <w:tcMar>
              <w:top w:w="85" w:type="dxa"/>
              <w:left w:w="85" w:type="dxa"/>
              <w:bottom w:w="85" w:type="dxa"/>
              <w:right w:w="85" w:type="dxa"/>
            </w:tcMar>
          </w:tcPr>
          <w:p>
            <w:pPr>
              <w:spacing w:after="40" w:line="252" w:lineRule="auto"/>
            </w:pPr>
            <w:r>
              <w:rPr>
                <w:b w:val="0"/>
                <w:color w:val="172B39"/>
                <w:sz w:val="18"/>
              </w:rPr>
              <w:t>P06 책임</w:t>
            </w:r>
          </w:p>
        </w:tc>
        <w:tc>
          <w:tcPr>
            <w:tcW w:type="dxa" w:w="4535"/>
            <w:shd w:fill="F1F5F7"/>
            <w:tcMar>
              <w:top w:w="85" w:type="dxa"/>
              <w:left w:w="85" w:type="dxa"/>
              <w:bottom w:w="85" w:type="dxa"/>
              <w:right w:w="85" w:type="dxa"/>
            </w:tcMar>
          </w:tcPr>
          <w:p>
            <w:pPr>
              <w:spacing w:after="40" w:line="252" w:lineRule="auto"/>
            </w:pPr>
            <w:r>
              <w:rPr>
                <w:b w:val="0"/>
                <w:color w:val="172B39"/>
                <w:sz w:val="18"/>
              </w:rPr>
              <w:t>법정 판단은 기존 권한자에게 남김</w:t>
            </w:r>
          </w:p>
        </w:tc>
        <w:tc>
          <w:tcPr>
            <w:tcW w:type="dxa" w:w="3515"/>
            <w:shd w:fill="F1F5F7"/>
            <w:tcMar>
              <w:top w:w="85" w:type="dxa"/>
              <w:left w:w="85" w:type="dxa"/>
              <w:bottom w:w="85" w:type="dxa"/>
              <w:right w:w="85" w:type="dxa"/>
            </w:tcMar>
          </w:tcPr>
          <w:p>
            <w:pPr>
              <w:spacing w:after="40" w:line="252" w:lineRule="auto"/>
            </w:pPr>
            <w:r>
              <w:rPr>
                <w:b w:val="0"/>
                <w:color w:val="172B39"/>
                <w:sz w:val="18"/>
              </w:rPr>
              <w:t>위탁·수행조직 원문</w:t>
            </w:r>
          </w:p>
        </w:tc>
      </w:tr>
      <w:tr>
        <w:trPr>
          <w:cantSplit/>
        </w:trPr>
        <w:tc>
          <w:tcPr>
            <w:tcW w:type="dxa" w:w="1814"/>
            <w:shd w:fill="FFFFFF"/>
            <w:tcMar>
              <w:top w:w="85" w:type="dxa"/>
              <w:left w:w="85" w:type="dxa"/>
              <w:bottom w:w="85" w:type="dxa"/>
              <w:right w:w="85" w:type="dxa"/>
            </w:tcMar>
          </w:tcPr>
          <w:p>
            <w:pPr>
              <w:spacing w:after="40" w:line="252" w:lineRule="auto"/>
            </w:pPr>
            <w:r>
              <w:rPr>
                <w:b w:val="0"/>
                <w:color w:val="172B39"/>
                <w:sz w:val="18"/>
              </w:rPr>
              <w:t>P07 재정</w:t>
            </w:r>
          </w:p>
        </w:tc>
        <w:tc>
          <w:tcPr>
            <w:tcW w:type="dxa" w:w="4535"/>
            <w:shd w:fill="FFFFFF"/>
            <w:tcMar>
              <w:top w:w="85" w:type="dxa"/>
              <w:left w:w="85" w:type="dxa"/>
              <w:bottom w:w="85" w:type="dxa"/>
              <w:right w:w="85" w:type="dxa"/>
            </w:tcMar>
          </w:tcPr>
          <w:p>
            <w:pPr>
              <w:spacing w:after="40" w:line="252" w:lineRule="auto"/>
            </w:pPr>
            <w:r>
              <w:rPr>
                <w:b w:val="0"/>
                <w:color w:val="172B39"/>
                <w:sz w:val="18"/>
              </w:rPr>
              <w:t>7억+5억 상한·공수·견적 조건·운영비 공개</w:t>
            </w:r>
          </w:p>
        </w:tc>
        <w:tc>
          <w:tcPr>
            <w:tcW w:type="dxa" w:w="3515"/>
            <w:shd w:fill="FFFFFF"/>
            <w:tcMar>
              <w:top w:w="85" w:type="dxa"/>
              <w:left w:w="85" w:type="dxa"/>
              <w:bottom w:w="85" w:type="dxa"/>
              <w:right w:w="85" w:type="dxa"/>
            </w:tcMar>
          </w:tcPr>
          <w:p>
            <w:pPr>
              <w:spacing w:after="40" w:line="252" w:lineRule="auto"/>
            </w:pPr>
            <w:r>
              <w:rPr>
                <w:b w:val="0"/>
                <w:color w:val="172B39"/>
                <w:sz w:val="18"/>
              </w:rPr>
              <w:t>발주 절차·기관 별도 비용</w:t>
            </w:r>
          </w:p>
        </w:tc>
      </w:tr>
    </w:tbl>
    <w:p>
      <w:pPr>
        <w:pStyle w:val="Heading1"/>
      </w:pPr>
      <w:r>
        <w:t>인수와 운영</w:t>
      </w:r>
    </w:p>
    <w:p>
      <w:r>
        <w:t>1차 인수 기준은 실제 제한 업무에서 파일 입력부터 검토본 내보내기까지 수행하고 원문·권한·정정·실패 복구를 보존하는 것이다. 2차 착수는 1차 인수와 추가 조회 계약 확보를 전제로 한다. 현장 효과·CCK 가용 인력·예산 승인은 현재 미검증이다.</w:t>
      </w:r>
    </w:p>
    <w:sectPr w:rsidR="00FC693F" w:rsidRPr="0006063C" w:rsidSect="00034616">
      <w:footerReference w:type="default" r:id="rId9"/>
      <w:pgSz w:w="11906" w:h="16838"/>
      <w:pgMar w:top="1020"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맑은 고딕" w:hAnsi="맑은 고딕" w:eastAsia="맑은 고딕"/>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6" w:lineRule="auto"/>
    </w:pPr>
    <w:rPr>
      <w:rFonts w:asciiTheme="majorHAnsi" w:eastAsiaTheme="majorEastAsia" w:hAnsiTheme="majorHAnsi" w:cstheme="majorBidi" w:ascii="맑은 고딕" w:hAnsi="맑은 고딕" w:eastAsia="맑은 고딕"/>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 검사 후속 행동과 조치 검토 서비스 정의서</dc:title>
  <dc:subject>CCK TS AX 사업 구체화</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