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 국민 편의와 안전 AX 요구사항 정의서</w:t>
      </w:r>
    </w:p>
    <w:p>
      <w:pPr>
        <w:pStyle w:val="Subtitle"/>
      </w:pPr>
      <w:r>
        <w:t>버전 0.1   2026-09-10   발주 전 검토안</w:t>
      </w:r>
    </w:p>
    <w:p>
      <w:r>
        <w:t>이 문서는 무엇을 왜 제공해야 하는지를 정의한다. 구현 동작·예외·검수의 상세 기준은 03 요구사항 명세서, 계약 요구와 제출 지시는 04 RFP에서 관리한다. 동일한 요구 ID를 문서 간 유지한다.</w:t>
      </w:r>
    </w:p>
    <w:p>
      <w:pPr>
        <w:pStyle w:val="Heading1"/>
      </w:pPr>
      <w:r>
        <w:t>사업 요구와 범위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231"/>
        <w:gridCol w:w="3515"/>
      </w:tblGrid>
      <w:tr>
        <w:trPr>
          <w:cantSplit/>
          <w:tblHeader/>
        </w:trPr>
        <w:tc>
          <w:tcPr>
            <w:tcW w:type="dxa" w:w="3118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사업 요구</w:t>
            </w:r>
          </w:p>
        </w:tc>
        <w:tc>
          <w:tcPr>
            <w:tcW w:type="dxa" w:w="3231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대상과 연결 요구</w:t>
            </w:r>
          </w:p>
        </w:tc>
        <w:tc>
          <w:tcPr>
            <w:tcW w:type="dxa" w:w="351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검토 지표와 비용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BR01 가능한 예약을 적은 왕복으로 찾는다</w:t>
            </w:r>
          </w:p>
        </w:tc>
        <w:tc>
          <w:tcPr>
            <w:tcW w:type="dxa" w:w="323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X01 / SFR-101~104</w:t>
            </w:r>
          </w:p>
        </w:tc>
        <w:tc>
          <w:tcPr>
            <w:tcW w:type="dxa" w:w="351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희망조건 보존·후보 탐색시간·왕복 횟수 / W07</w:t>
            </w:r>
          </w:p>
        </w:tc>
      </w:tr>
      <w:tr>
        <w:trPr>
          <w:cantSplit/>
        </w:trPr>
        <w:tc>
          <w:tcPr>
            <w:tcW w:type="dxa" w:w="311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BR02 공식 검사 결과에서 다음 행동을 이해한다</w:t>
            </w:r>
          </w:p>
        </w:tc>
        <w:tc>
          <w:tcPr>
            <w:tcW w:type="dxa" w:w="323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X02 / SFR-201~204</w:t>
            </w:r>
          </w:p>
        </w:tc>
        <w:tc>
          <w:tcPr>
            <w:tcW w:type="dxa" w:w="351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필수 행동 누락·근거 없는 안내·이해도 / W04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BR03 관찰 사실을 정확하게 보고한다</w:t>
            </w:r>
          </w:p>
        </w:tc>
        <w:tc>
          <w:tcPr>
            <w:tcW w:type="dxa" w:w="323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X03 / SFR-301~304</w:t>
            </w:r>
          </w:p>
        </w:tc>
        <w:tc>
          <w:tcPr>
            <w:tcW w:type="dxa" w:w="351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사실 변경·필수정보 누락·수신 확인 / W08</w:t>
            </w:r>
          </w:p>
        </w:tc>
      </w:tr>
      <w:tr>
        <w:trPr>
          <w:cantSplit/>
        </w:trPr>
        <w:tc>
          <w:tcPr>
            <w:tcW w:type="dxa" w:w="311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BR04 지적사항과 조치 증빙을 빠짐없이 연결한다</w:t>
            </w:r>
          </w:p>
        </w:tc>
        <w:tc>
          <w:tcPr>
            <w:tcW w:type="dxa" w:w="323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X04 / SFR-401~404</w:t>
            </w:r>
          </w:p>
        </w:tc>
        <w:tc>
          <w:tcPr>
            <w:tcW w:type="dxa" w:w="351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증빙 미연결·미해결 지적·담당자 재검토 / W05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BR05 신청 요건을 확인하고 보완한다</w:t>
            </w:r>
          </w:p>
        </w:tc>
        <w:tc>
          <w:tcPr>
            <w:tcW w:type="dxa" w:w="323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X05 / SFR-501~504</w:t>
            </w:r>
          </w:p>
        </w:tc>
        <w:tc>
          <w:tcPr>
            <w:tcW w:type="dxa" w:w="351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준비물 누락·보완 횟수·신청 단계 전환 / W09</w:t>
            </w:r>
          </w:p>
        </w:tc>
      </w:tr>
      <w:tr>
        <w:trPr>
          <w:cantSplit/>
        </w:trPr>
        <w:tc>
          <w:tcPr>
            <w:tcW w:type="dxa" w:w="311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BR06 근거와 현행 기준을 추적한다</w:t>
            </w:r>
          </w:p>
        </w:tc>
        <w:tc>
          <w:tcPr>
            <w:tcW w:type="dxa" w:w="323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공통 / SFR-002~003,006; DAR-001</w:t>
            </w:r>
          </w:p>
        </w:tc>
        <w:tc>
          <w:tcPr>
            <w:tcW w:type="dxa" w:w="351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출처·버전 보존과 승인 후 반영 / W02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BR07 동의와 권한에 맞게 처리한다</w:t>
            </w:r>
          </w:p>
        </w:tc>
        <w:tc>
          <w:tcPr>
            <w:tcW w:type="dxa" w:w="323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공통 / SFR-004~005,007; SER-001~003</w:t>
            </w:r>
          </w:p>
        </w:tc>
        <w:tc>
          <w:tcPr>
            <w:tcW w:type="dxa" w:w="351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무권한 접근·허위 완료·중복 실행 / W03</w:t>
            </w:r>
          </w:p>
        </w:tc>
      </w:tr>
      <w:tr>
        <w:trPr>
          <w:cantSplit/>
        </w:trPr>
        <w:tc>
          <w:tcPr>
            <w:tcW w:type="dxa" w:w="311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BR08 로컬 환경에서 안정적으로 제공한다</w:t>
            </w:r>
          </w:p>
        </w:tc>
        <w:tc>
          <w:tcPr>
            <w:tcW w:type="dxa" w:w="323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공통 / SFR-001; PER-001~002; COR-001</w:t>
            </w:r>
          </w:p>
        </w:tc>
        <w:tc>
          <w:tcPr>
            <w:tcW w:type="dxa" w:w="351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외부 전송 차단·응답시간·복구 / W02,W06,W10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BR09 누구나 사용하고 오류를 고친다</w:t>
            </w:r>
          </w:p>
        </w:tc>
        <w:tc>
          <w:tcPr>
            <w:tcW w:type="dxa" w:w="323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공통 / UIR-001; QUR-001~002</w:t>
            </w:r>
          </w:p>
        </w:tc>
        <w:tc>
          <w:tcPr>
            <w:tcW w:type="dxa" w:w="351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키보드 완결·빈 상태·정정과 비교평가 / W06,W10</w:t>
            </w:r>
          </w:p>
        </w:tc>
      </w:tr>
      <w:tr>
        <w:trPr>
          <w:cantSplit/>
        </w:trPr>
        <w:tc>
          <w:tcPr>
            <w:tcW w:type="dxa" w:w="311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BR10 서비스 개선과 책임 있는 인수를 수행한다</w:t>
            </w:r>
          </w:p>
        </w:tc>
        <w:tc>
          <w:tcPr>
            <w:tcW w:type="dxa" w:w="323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공통 / SFR-008; PMR-001~004; TER-001</w:t>
            </w:r>
          </w:p>
        </w:tc>
        <w:tc>
          <w:tcPr>
            <w:tcW w:type="dxa" w:w="351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시험·변경·라이선스·운영 인수 / W01,W06,W10</w:t>
            </w:r>
          </w:p>
        </w:tc>
      </w:tr>
    </w:tbl>
    <w:p>
      <w:r>
        <w:br w:type="page"/>
      </w:r>
    </w:p>
    <w:p>
      <w:pPr>
        <w:pStyle w:val="Heading1"/>
      </w:pPr>
      <w:r>
        <w:t>가정과 규모 기준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417"/>
        <w:gridCol w:w="7767"/>
      </w:tblGrid>
      <w:tr>
        <w:trPr>
          <w:cantSplit/>
          <w:tblHeader/>
        </w:trPr>
        <w:tc>
          <w:tcPr>
            <w:tcW w:type="dxa" w:w="680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1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776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가정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A01</w:t>
            </w:r>
          </w:p>
        </w:tc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범위</w:t>
            </w:r>
          </w:p>
        </w:tc>
        <w:tc>
          <w:tcPr>
            <w:tcW w:type="dxa" w:w="776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5개 업무군의 제한된 1개 대표 업무씩. 전국 전업무 구축 아님.</w:t>
            </w:r>
          </w:p>
        </w:tc>
      </w:tr>
      <w:tr>
        <w:trPr>
          <w:cantSplit/>
        </w:trPr>
        <w:tc>
          <w:tcPr>
            <w:tcW w:type="dxa" w:w="680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A02</w:t>
            </w:r>
          </w:p>
        </w:tc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일정</w:t>
            </w:r>
          </w:p>
        </w:tc>
        <w:tc>
          <w:tcPr>
            <w:tcW w:type="dxa" w:w="776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1단계 8개월, 이후 2단계 6개월의 순차 도입 가정. 계약 전 적정사업기간 재산정.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A03</w:t>
            </w:r>
          </w:p>
        </w:tc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운영 부하</w:t>
            </w:r>
          </w:p>
        </w:tc>
        <w:tc>
          <w:tcPr>
            <w:tcW w:type="dxa" w:w="776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전체 일 2,000 업무 세션, 동시 생성 10건, 요청당 입력 8,000·출력 1,000 토큰 이내를 초기 검증 조건으로 가정. 실제 피크 미확정.</w:t>
            </w:r>
          </w:p>
        </w:tc>
      </w:tr>
      <w:tr>
        <w:trPr>
          <w:cantSplit/>
        </w:trPr>
        <w:tc>
          <w:tcPr>
            <w:tcW w:type="dxa" w:w="680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A04</w:t>
            </w:r>
          </w:p>
        </w:tc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데이터</w:t>
            </w:r>
          </w:p>
        </w:tc>
        <w:tc>
          <w:tcPr>
            <w:tcW w:type="dxa" w:w="776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전체 전자 텍스트 10,000건 이하, 5개 시스템 연계. 신규 OCR·도면·영상·센서 처리 없음.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A05</w:t>
            </w:r>
          </w:p>
        </w:tc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기술 자산</w:t>
            </w:r>
          </w:p>
        </w:tc>
        <w:tc>
          <w:tcPr>
            <w:tcW w:type="dxa" w:w="776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기존 자산 사용권과 로컬 호환성을 계약 전 입증. 자유 NL2SQL, 신규 기반모델 학습, 대규모 파인튜닝 미포함.</w:t>
            </w:r>
          </w:p>
        </w:tc>
      </w:tr>
      <w:tr>
        <w:trPr>
          <w:cantSplit/>
        </w:trPr>
        <w:tc>
          <w:tcPr>
            <w:tcW w:type="dxa" w:w="680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A06</w:t>
            </w:r>
          </w:p>
        </w:tc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가격 시점</w:t>
            </w:r>
          </w:p>
        </w:tc>
        <w:tc>
          <w:tcPr>
            <w:tcW w:type="dxa" w:w="776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2026년 불변 가격. 향후 발주 임금·견적·환율 변동 반영 필요.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A07</w:t>
            </w:r>
          </w:p>
        </w:tc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견적 방식</w:t>
            </w:r>
          </w:p>
        </w:tc>
        <w:tc>
          <w:tcPr>
            <w:tcW w:type="dxa" w:w="776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본 WBS 공수 모델은 초기 ROM. 확정된 FP, 원가계산서, 공급사 견적이 아님.</w:t>
            </w:r>
          </w:p>
        </w:tc>
      </w:tr>
      <w:tr>
        <w:trPr>
          <w:cantSplit/>
        </w:trPr>
        <w:tc>
          <w:tcPr>
            <w:tcW w:type="dxa" w:w="680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A08</w:t>
            </w:r>
          </w:p>
        </w:tc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가산 계수</w:t>
            </w:r>
          </w:p>
        </w:tc>
        <w:tc>
          <w:tcPr>
            <w:tcW w:type="dxa" w:w="776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개발 제경비 144%, 기술료 20%는 초기 가격화 가정. 운영 가이드의 범위를 참고한 임시 계수이며 개발에 자동 적용되는 법정요율로 주장하지 않음.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A09</w:t>
            </w:r>
          </w:p>
        </w:tc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유상 운영</w:t>
            </w:r>
          </w:p>
        </w:tc>
        <w:tc>
          <w:tcPr>
            <w:tcW w:type="dxa" w:w="776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전체 도입·검수 후 12개월 정상 운영의 연간 증분비. 24시간 전담 인력·콜센터 없음. 하자보수는 계약 책임으로 구분하여 중복 청구 배제.</w:t>
            </w:r>
          </w:p>
        </w:tc>
      </w:tr>
      <w:tr>
        <w:trPr>
          <w:cantSplit/>
        </w:trPr>
        <w:tc>
          <w:tcPr>
            <w:tcW w:type="dxa" w:w="680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A10</w:t>
            </w:r>
          </w:p>
        </w:tc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예비 충당</w:t>
            </w:r>
          </w:p>
        </w:tc>
        <w:tc>
          <w:tcPr>
            <w:tcW w:type="dxa" w:w="776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구축 공급가액의 15%를 사업주 예산 여유로 별도 표시. 계약대가·자동 지급액 아님.</w:t>
            </w:r>
          </w:p>
        </w:tc>
      </w:tr>
    </w:tbl>
    <w:p>
      <w:pPr>
        <w:pStyle w:val="Heading2"/>
      </w:pPr>
      <w:r>
        <w:t>권한과 제공 책임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8050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제공 책임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CCK 주관사</w:t>
            </w:r>
          </w:p>
        </w:tc>
        <w:tc>
          <w:tcPr>
            <w:tcW w:type="dxa" w:w="805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요구·아키텍처·로컬 적용·통합·시험·하자·운영 인수의 총괄 책임. 직접 인력·협력 계약 증명 필요.</w:t>
            </w:r>
          </w:p>
        </w:tc>
      </w:tr>
      <w:tr>
        <w:trPr>
          <w:cantSplit/>
        </w:trPr>
        <w:tc>
          <w:tcPr>
            <w:tcW w:type="dxa" w:w="181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TS 업무 담당</w:t>
            </w:r>
          </w:p>
        </w:tc>
        <w:tc>
          <w:tcPr>
            <w:tcW w:type="dxa" w:w="8050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법정·수탁 범위·기준·정답·본인권한·검수 의사결정. 데이터 제공과 수용 기준 승인.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TS 운영 및 연계 운영사</w:t>
            </w:r>
          </w:p>
        </w:tc>
        <w:tc>
          <w:tcPr>
            <w:tcW w:type="dxa" w:w="805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인증·API·테스트 환경·공식 상태·장애 협조. 상대 서버 수정비를 분리 확인.</w:t>
            </w:r>
          </w:p>
        </w:tc>
      </w:tr>
      <w:tr>
        <w:trPr>
          <w:cantSplit/>
        </w:trPr>
        <w:tc>
          <w:tcPr>
            <w:tcW w:type="dxa" w:w="181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협력사</w:t>
            </w:r>
          </w:p>
        </w:tc>
        <w:tc>
          <w:tcPr>
            <w:tcW w:type="dxa" w:w="8050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약정된 UI·보안·인프라·어댑터 구현. 주관사의 전체 책임과 검수 창구 유지.</w:t>
            </w:r>
          </w:p>
        </w:tc>
      </w:tr>
    </w:tbl>
    <w:p>
      <w:r>
        <w:br w:type="page"/>
      </w:r>
    </w:p>
    <w:p>
      <w:pPr>
        <w:pStyle w:val="Heading1"/>
      </w:pPr>
      <w:r>
        <w:t>기능과 비기능 요구 목록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592"/>
        <w:gridCol w:w="1191"/>
        <w:gridCol w:w="2608"/>
      </w:tblGrid>
      <w:tr>
        <w:trPr>
          <w:cantSplit/>
          <w:tblHeader/>
        </w:trPr>
        <w:tc>
          <w:tcPr>
            <w:tcW w:type="dxa" w:w="1474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92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요구</w:t>
            </w:r>
          </w:p>
        </w:tc>
        <w:tc>
          <w:tcPr>
            <w:tcW w:type="dxa" w:w="1191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사업 요구</w:t>
            </w:r>
          </w:p>
        </w:tc>
        <w:tc>
          <w:tcPr>
            <w:tcW w:type="dxa" w:w="2608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WBS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SFR-001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로컬 모델 호출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BR08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W02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SFR-002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근거 검색과 인용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BR06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W02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SFR-003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기준과 규칙 버전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BR06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W02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SFR-004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동의와 실행 내용 결속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BR07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W03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SFR-005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업무 상태와 재개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BR07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W03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SFR-006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전자문서 수집과 정정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BR06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W02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SFR-007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허용 API와 반환 검증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BR07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W03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SFR-008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개선 의견과 운영 지표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BR10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SFR-101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조건 구조화와 확인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BR01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W07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SFR-102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실시간 후보와 대안 비교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BR01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W07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SFR-103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예약 재확인과 확정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BR01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W07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SFR-104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예약 변경과 취소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BR01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W07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SFR-201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검사 결과와 기준 결합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BR02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W04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SFR-202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필수 행동과 쉬운 설명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BR02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W04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SFR-203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후속 조치 상태 분리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BR02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W04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SFR-204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결과 정정과 이의 연결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BR02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W04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SFR-301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관찰 사실과 불확실성 분리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BR03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W08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SFR-302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중립적 보완 질문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BR03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W08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SFR-303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원문 대비와 제출 승인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BR03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W08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SFR-304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접수 확인과 보호 정책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BR03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W08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SFR-401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지적사항 단위 구조화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BR04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W05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SFR-402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조치 증빙 대응 검토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BR04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W05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SFR-403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담당자 검토와 반려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BR04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W05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SFR-404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미해결과 재발 이력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BR04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W05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SFR-501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신청 유형과 기준 확인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BR05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W09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SFR-502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요건과 준비자료 대응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BR05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W09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SFR-503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보완과 초안 작성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BR05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W09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SFR-504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공식 접수와 상태 연결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BR05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W09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DAR-001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데이터 품질과 삭제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BR06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W02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SER-001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인증과 최소 권한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BR07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W03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SER-002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개인정보와 비밀정보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BR07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SER-003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문서 내 악성 지시 차단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BR07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PER-001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성능 측정과 자원 규모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BR08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W02,W06,W10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PER-002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시간 초과와 대기열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BR08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W03,W06,W10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COR-001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복구와 운영 연속성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BR08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UIR-001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접근성과 화면 상태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BR09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QUR-001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AI 근거 품질 평가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BR09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W02,W06,W10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QUR-002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비AI 대비 이용성 검증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BR09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TER-001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시험과 요구 추적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BR10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PMR-001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사업과 중복 범위 확정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BR10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W01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PMR-002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단계와 변경 관리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BR10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W01,W10</w:t>
            </w:r>
          </w:p>
        </w:tc>
      </w:tr>
      <w:tr>
        <w:trPr>
          <w:cantSplit/>
        </w:trPr>
        <w:tc>
          <w:tcPr>
            <w:tcW w:type="dxa" w:w="147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PMR-003</w:t>
            </w:r>
          </w:p>
        </w:tc>
        <w:tc>
          <w:tcPr>
            <w:tcW w:type="dxa" w:w="459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인수와 지식재산</w:t>
            </w:r>
          </w:p>
        </w:tc>
        <w:tc>
          <w:tcPr>
            <w:tcW w:type="dxa" w:w="119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BR10</w:t>
            </w:r>
          </w:p>
        </w:tc>
        <w:tc>
          <w:tcPr>
            <w:tcW w:type="dxa" w:w="260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PMR-004</w:t>
            </w:r>
          </w:p>
        </w:tc>
        <w:tc>
          <w:tcPr>
            <w:tcW w:type="dxa" w:w="459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교육과 운영 책임</w:t>
            </w:r>
          </w:p>
        </w:tc>
        <w:tc>
          <w:tcPr>
            <w:tcW w:type="dxa" w:w="11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BR10</w:t>
            </w:r>
          </w:p>
        </w:tc>
        <w:tc>
          <w:tcPr>
            <w:tcW w:type="dxa" w:w="260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W06,W10</w:t>
            </w:r>
          </w:p>
        </w:tc>
      </w:tr>
    </w:tbl>
    <w:p>
      <w:r>
        <w:br w:type="page"/>
      </w:r>
    </w:p>
    <w:p>
      <w:pPr>
        <w:pStyle w:val="Heading1"/>
      </w:pPr>
      <w:r>
        <w:t>기획 기준과 충족 근거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082"/>
        <w:gridCol w:w="4025"/>
      </w:tblGrid>
      <w:tr>
        <w:trPr>
          <w:cantSplit/>
          <w:tblHeader/>
        </w:trPr>
        <w:tc>
          <w:tcPr>
            <w:tcW w:type="dxa" w:w="175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4082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설계 반영</w:t>
            </w:r>
          </w:p>
        </w:tc>
        <w:tc>
          <w:tcPr>
            <w:tcW w:type="dxa" w:w="402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남은 확인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P01 국민 가치</w:t>
            </w:r>
          </w:p>
        </w:tc>
        <w:tc>
          <w:tcPr>
            <w:tcW w:type="dxa" w:w="408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예약·후속 행동·보고 정확성·조치·신청 완결</w:t>
            </w:r>
          </w:p>
        </w:tc>
        <w:tc>
          <w:tcPr>
            <w:tcW w:type="dxa" w:w="402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실제 불편 규모와 대상자 검증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P02 현업 수용</w:t>
            </w:r>
          </w:p>
        </w:tc>
        <w:tc>
          <w:tcPr>
            <w:tcW w:type="dxa" w:w="408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사람 검토 유지, 교육·이의·정정 경로</w:t>
            </w:r>
          </w:p>
        </w:tc>
        <w:tc>
          <w:tcPr>
            <w:tcW w:type="dxa" w:w="402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현업 협의·직무 영향 확인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P03 AI 추가 가치</w:t>
            </w:r>
          </w:p>
        </w:tc>
        <w:tc>
          <w:tcPr>
            <w:tcW w:type="dxa" w:w="408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표준 안내·필터·체크리스트 비교 시험</w:t>
            </w:r>
          </w:p>
        </w:tc>
        <w:tc>
          <w:tcPr>
            <w:tcW w:type="dxa" w:w="402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기능별 추가 가치 실측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P04 TS 업무</w:t>
            </w:r>
          </w:p>
        </w:tc>
        <w:tc>
          <w:tcPr>
            <w:tcW w:type="dxa" w:w="408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기존 공식 업무와 서비스 연결</w:t>
            </w:r>
          </w:p>
        </w:tc>
        <w:tc>
          <w:tcPr>
            <w:tcW w:type="dxa" w:w="402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메가이슈 규모와 실제 원인 검증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P05 재사용</w:t>
            </w:r>
          </w:p>
        </w:tc>
        <w:tc>
          <w:tcPr>
            <w:tcW w:type="dxa" w:w="408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공통 처리와 기관별 규칙·권한·API 분리</w:t>
            </w:r>
          </w:p>
        </w:tc>
        <w:tc>
          <w:tcPr>
            <w:tcW w:type="dxa" w:w="402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재사용 권리·타 기관 수요 확인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P06 소관 권한</w:t>
            </w:r>
          </w:p>
        </w:tc>
        <w:tc>
          <w:tcPr>
            <w:tcW w:type="dxa" w:w="4082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업무 책임·시행일 매핑을 착수 요구에 포함</w:t>
            </w:r>
          </w:p>
        </w:tc>
        <w:tc>
          <w:tcPr>
            <w:tcW w:type="dxa" w:w="402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개별 법령·위탁·실제 수행조직 대조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P07 재정·책임</w:t>
            </w:r>
          </w:p>
        </w:tc>
        <w:tc>
          <w:tcPr>
            <w:tcW w:type="dxa" w:w="408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공수·가격·운영비·단계별 중단 조건</w:t>
            </w:r>
          </w:p>
        </w:tc>
        <w:tc>
          <w:tcPr>
            <w:tcW w:type="dxa" w:w="402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예산·심의·발주 유형 적용 확정</w:t>
            </w:r>
          </w:p>
        </w:tc>
      </w:tr>
    </w:tbl>
    <w:p>
      <w:pPr>
        <w:pStyle w:val="Heading2"/>
      </w:pPr>
      <w:r>
        <w:t>채택과 변경 기준</w:t>
      </w:r>
    </w:p>
    <w:p>
      <w:r>
        <w:t>필수는 해당 서비스가 계약 범위에 채택될 때의 필수다. 2단계 항목을 1단계 검수 조건으로 자동 적용하지 않는다. 요구 제거·변경은 관련 화면·API·시험·WBS·비용을 함께 갱신하고 변경 사유·승인자·적용 버전을 남긴다.</w:t>
      </w:r>
    </w:p>
    <w:p>
      <w:r>
        <w:t>착수 전 확정 항목: 대표 업무와 데이터 제공, API 계약, CCK 제품 데모·사용권·인력, 기존 과업 비중복, 품질 목표와 시험 환경, 발주 및 심의 경로. API 미제공 시 준비/조회 모드로의 축소를 별도 합의하며 전체 실행 모드 비용을 그대로 지급하지 않는다.</w:t>
      </w:r>
    </w:p>
    <w:p>
      <w:pPr>
        <w:pStyle w:val="Heading1"/>
      </w:pPr>
      <w:r>
        <w:t>근거와 적용 범위</w:t>
      </w:r>
    </w:p>
    <w:p>
      <w:r>
        <w:t>S03 소프트웨어사업 계약 및 관리감독에 관한 지침. 2023-05-15 시행, 고시 제2023-15호. 조사일 2026-09-10. 제3조 예산편성의 기능·비기능·HW·SW 범위 명확화 확인. 세부 발주 절차의 적용은 발주기관 검토 필요.</w:t>
        <w:br/>
        <w:t>https://law.go.kr/LSW/admRulInfoP.do?admRulSeq=2100000223356</w:t>
      </w:r>
    </w:p>
    <w:p>
      <w:r>
        <w:t>S08 기술 확장 검토와 사용자 경험. 2026-09-10. 조사일 2026-09-10. 파생 조사와 사용자 현장 의견. CCK 실제 수행능력·TS 의사결정의 증명 아님.</w:t>
        <w:br/>
        <w:t>../../04_기관리서치/TS_대화구조화/기술확장_2026-09-10/CCK_TS_기술기반_확장검토.md</w:t>
      </w:r>
    </w:p>
    <w:sectPr w:rsidR="00FC693F" w:rsidRPr="0006063C" w:rsidSect="00034616">
      <w:footerReference w:type="default" r:id="rId9"/>
      <w:pgSz w:w="11906" w:h="16838"/>
      <w:pgMar w:top="1020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 국민 편의와 안전 AX 요구사항 정의서</dc:title>
  <dc:subject>CCK TS AX 사업 구체화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