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AI PMS 1차 개발범위 정의서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2026년 9월 11일  |  v0.1  |  기관 검토용 설계안</w:t>
      </w:r>
    </w:p>
    <w:p>
      <w:r>
        <w:rPr>
          <w:rFonts w:ascii="맑은 고딕" w:hAnsi="맑은 고딕" w:eastAsia="맑은 고딕" w:cs="맑은 고딕"/>
          <w:b/>
          <w:color w:val="000000"/>
        </w:rPr>
        <w:t>공공서비스 이용자가 시스템 품질 저하와 지원 공백으로 겪는 불편을 줄이기 위해, 담당자와 수행사가 사업의 기준·증거·결정·미결 책임을 이어 관리하도록 한다. 실제 국민 효과는 대상 서비스와 지표를 정해 검증한다.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1차 제공 범위는 공동 사업관리와 기초 AI 검토, 다면평가 수집, 인수인계·유지관리다. 기관 단위로 도입하되 최초 검토는 한 사업의 산출물 승인 흐름에서 시작한다. 본 문서는 범위 협의용 설계안이다.</w:t>
      </w:r>
    </w:p>
    <w:p>
      <w:pPr>
        <w:pStyle w:val="Heading1"/>
      </w:pPr>
      <w:r>
        <w:t>1 범위 기준과 사용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79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정의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독자와 목적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기획·사업·계약 담당자, 수행사 PM, CCK 책임자가 제공 범위와 조건을 협의한다.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시간축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Y1은 착수 후 최초 제공 연차다. 확정 착수일·개발기간·예산을 뜻하지 않는다.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범위 집계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Y1 총 46개 = 필수 제안 M 44개 + 조건부 C 2개. M도 상세 조건과 기관 적용 확정이 필요하다.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후속 범위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5개, Y3 7개는 최초 적용 연차를 유지한다. 이미 제공한 Y1 기능은 후속 연차에도 유지한다.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초기 검증 단위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한 사업·한 산출물의 기준부터 승인·미결 인계까지 검토한다. 초기 검증 완료를 Y1 전체 완료로 보지 않는다.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환경 제약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로컬 서버 사용. 신규 인프라 투자비 0원. 외부 클라우드 LLM 자동 전송 및 신규 OCR·VLM은 제외한다.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문서 간 관계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SRS 58개 식별자와 116개 수용기준을 유지한다. 본 문서는 적용 범위와 결정 조건을 보완한다.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이번 검토의 결론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기관 단위 공동 서비스 방식이 인수인계와 복수 계약의 연속성을 설명하기에 적합하다. 다만 첫 사업·자료·권한·환경이 아직 정해지지 않았으므로 계약용 범위 확정과 품질·가격 보장은 후속 결정으로 남긴다.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참조: 2026년 9월 10일 요구사항 분석서·명세서·원장 v0.1, 서비스모델 정의서 v0.1, 프로젝트 CCK 로컬 LLM 적용범위 v1.2. 원장 집계는 이번에 대조했으며, 신규 현업 조사나 법령 적용 판정은 수행하지 않았다.</w:t>
      </w:r>
    </w:p>
    <w:p>
      <w:pPr>
        <w:pStyle w:val="Heading1"/>
        <w:pageBreakBefore/>
      </w:pPr>
      <w:r>
        <w:t>2 서비스 제공 묶음과 책임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기관은 도입 고객이자 업무 운영 책임자이며, 발주기관·수행사·배정된 검토자가 같은 사업공간을 이용한다. CCK는 응용 서비스와 기술운영을 제공하고 기관의 업무·평가 확정권을 대신하지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20"/>
        <w:gridCol w:w="5560"/>
        <w:gridCol w:w="2780"/>
      </w:tblGrid>
      <w:tr>
        <w:trPr>
          <w:cantSplit/>
          <w:tblHeader w:val="true"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묶음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기관과 이용자가 받는 결과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요구 범위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P1 공동 사업관리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서비스·사업·계약 연결, 합의 기준, 일정·업무함·요청·병목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SFR-001~010 / 10개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P2 검토와 보완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제출 전 점검, 접수 버전, 근거 후보, 소명·재검증·확정 이력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SFR-011~018 / 8개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P3 평가와 수행이력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역할별 주기적 응답, 우수·미흡·개선 근거, 고지·소명·정정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SFR-023~026 / 4개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P4 인계와 유지관리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미결 책임 승계, 지원 종류·기간, 갱신·차기 계약 준비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SFR-029~031 / 3개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P5 품질과 자료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권한·추적·AI 품질·로컬 처리·성능·복구·접근성·자료 정책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NFR-001~008, DAR-001~004 / 12개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P6 도입과 운영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교육·책임·장애 대응·종료 인수, 대가·수행 범위·편익 검토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OPR-001~004, BMR-001~003 / 7개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조건부 연계</w:t>
            </w:r>
          </w:p>
        </w:tc>
        <w:tc>
          <w:tcPr>
            <w:tcW w:type="dxa" w:w="5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계정·조직, 계약·전자결재·기존 PMS의 승인된 정보 연결</w:t>
            </w:r>
          </w:p>
        </w:tc>
        <w:tc>
          <w:tcPr>
            <w:tcW w:type="dxa" w:w="27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IFR-001~002 / 2개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제공 대안의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5480"/>
        <w:gridCol w:w="2560"/>
      </w:tblGrid>
      <w:tr>
        <w:trPr>
          <w:cantSplit/>
          <w:tblHeader w:val="true"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대안</w:t>
            </w:r>
          </w:p>
        </w:tc>
        <w:tc>
          <w:tcPr>
            <w:tcW w:type="dxa" w:w="5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효과와 부담</w:t>
            </w:r>
          </w:p>
        </w:tc>
        <w:tc>
          <w:tcPr>
            <w:tcW w:type="dxa" w:w="2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적용 판단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단일 사업 전용</w:t>
            </w:r>
          </w:p>
        </w:tc>
        <w:tc>
          <w:tcPr>
            <w:tcW w:type="dxa" w:w="5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초기 적용은 작지만 종료 후 계속 관리 조건을 별도 확보해야 함</w:t>
            </w:r>
          </w:p>
        </w:tc>
        <w:tc>
          <w:tcPr>
            <w:tcW w:type="dxa" w:w="2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최초 검증 단위로 활용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단위 공동 서비스</w:t>
            </w:r>
          </w:p>
        </w:tc>
        <w:tc>
          <w:tcPr>
            <w:tcW w:type="dxa" w:w="5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복수 계약·담당자 교체에 대응. 기관 권한·운영 책임 설계 필요</w:t>
            </w:r>
          </w:p>
        </w:tc>
        <w:tc>
          <w:tcPr>
            <w:tcW w:type="dxa" w:w="2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권고안. 제한된 사업부터 검토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다기관 통합 서비스</w:t>
            </w:r>
          </w:p>
        </w:tc>
        <w:tc>
          <w:tcPr>
            <w:tcW w:type="dxa" w:w="5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확산 가능성은 있으나 공유 근거·평가·운영 협의 부담이 큼</w:t>
            </w:r>
          </w:p>
        </w:tc>
        <w:tc>
          <w:tcPr>
            <w:tcW w:type="dxa" w:w="2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후속 검토. Y1 일괄 제공 제외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위 비용·기간 비교는 상대적 설계 판단이다. 실제 견적은 대상·자료·자산·인력·기관 협조를 확인한 후 산정한다. 수행사의 기본 참여·소명·정정은 유료 등급이나 평가 점수와 연계하지 않는다.</w:t>
      </w:r>
    </w:p>
    <w:p>
      <w:pPr>
        <w:pStyle w:val="Heading1"/>
        <w:pageBreakBefore/>
      </w:pPr>
      <w:r>
        <w:t>3 첫 검증 흐름과 서비스 경계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첫 검증 대상은 시험결과서 등 한 산출물 유형이다. 문서가 존재하는지와 요구사항을 입증하는지는 구분하며, 기준 버전과 제출 버전을 지정해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0"/>
        <w:gridCol w:w="4360"/>
        <w:gridCol w:w="4240"/>
      </w:tblGrid>
      <w:tr>
        <w:trPr>
          <w:cantSplit/>
          <w:tblHeader w:val="true"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단계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사람의 행동과 책임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남아야 할 기록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 기준 확인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기관·수행사가 완료조건을 검토하고 권한자가 확정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원문 위치·적용 기준·책임·완료조건·버전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 제출과 접수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수행사가 증거를 연결해 제출하고 접수 결과를 확인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제출자·시각·버전·접수 성공 또는 실패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3 기초 검토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AI가 누락·불일치 후보를 제시하고 검토자가 원문 확인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 범위·후보·근거·미처리 구간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4 소명과 보완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검토자가 요청하고 수행사가 소명 또는 재제출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이견·보완 책임·새 버전·변경 사유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 재검증과 판단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검토자가 현재 버전을 확인하고 권한자가 판단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재검증 근거·확정 또는 미결·철회 이력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6 계속 관리</w:t>
            </w:r>
          </w:p>
        </w:tc>
        <w:tc>
          <w:tcPr>
            <w:tcW w:type="dxa" w:w="43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후임이 미결·지원 책임을 인수하고 평가 근거를 확인</w:t>
            </w:r>
          </w:p>
        </w:tc>
        <w:tc>
          <w:tcPr>
            <w:tcW w:type="dxa" w:w="42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인수 책임·지원 근거·정정된 수행이력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반드시 확인할 실패 흐름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AI 분석 실패: 유효 접수는 유지하고 미검사 구간과 수동 검토 경로를 표시한다. 접수 완료를 내용 승인으로 표시하지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새 버전과 기준 변경: 과거 승인 자동 승계를 금지하고 재검토 대상을 표시한다. 늦은 일정만으로 수행사 책임을 단정하지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권한 회수·평가 이견·미인수: 접근 범위와 정정 상태를 유지하고 미결 책임을 종결로 바꾸지 않는다.</w:t>
      </w:r>
    </w:p>
    <w:p>
      <w:pPr>
        <w:pStyle w:val="Heading2"/>
      </w:pPr>
      <w:r>
        <w:t>서비스 간 정보 관계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기관·서비스·사업·계약 → 기준·과업 → 제출·증거 → 검토·판단·조치 → 수행이력·인계·지원 책임으로 연결한다. Y2 감리와 Y3 분석은 이 정보를 허용된 범위에서 재사용한다.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전자결재·계약 시스템은 확인된 공식 기록의 원천으로 연결한다. 로컬 LLM은 후보와 설명을 제공하며 승인권자가 아니다. 물리 DB·API 경로·제품 UI는 후속 상세 설계에서 정의한다.</w:t>
      </w:r>
    </w:p>
    <w:p>
      <w:pPr>
        <w:pStyle w:val="Heading1"/>
        <w:pageBreakBefore/>
      </w:pPr>
      <w:r>
        <w:t>4 1차 요구사항 적용 목록 1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M은 필수 제안, C는 선행조건 확인 후 채택할 조건부 항목이다. 모든 식별자는 PMS-로 시작하며 기존 명세서의 상세 정의와 수용기준을 그대로 참조한다.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0"/>
        <w:gridCol w:w="4700"/>
        <w:gridCol w:w="680"/>
        <w:gridCol w:w="2500"/>
      </w:tblGrid>
      <w:tr>
        <w:trPr>
          <w:cantSplit/>
          <w:tblHeader w:val="true"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요구 ID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요구명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직접 연결 TBD 번호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기관·서비스·사업·계약의 연결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01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참여 조직·역할·위임 관리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02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기준 원문 등록·적용 정보 관리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03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PMS-SFR-004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요구·의무·완료조건 후보 추출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PMS-SFR-005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공동 기준 검토·확정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02, 03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PMS-SFR-006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기준·범위·일정 변경의 영향 관리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03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PMS-SFR-007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공동 WBS·네 종류 일정·선행조건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PMS-SFR-008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역할별 업무함·알림·상향 요청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08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PMS-SFR-009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자료 요청·회신·회의 결정 연결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PMS-SFR-010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이슈·위험·병목·책임 구분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산출물·요구사항·검증증거 대응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증거 등록·출처·확인 상태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수행사 제출 전 자체점검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PMS-SFR-014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공식 제출·접수증·버전 고정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PMS-SFR-015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분석 상태 분리·실패 복구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PMS-SFR-016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기초 검토 후보·근거 제공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직접 연결이 없더라도 기관별 권한·자료·품질·운영 조건은 적용한다. TBD 숫자는 미확정 사항 검토표의 동일 번호를 뜻하며, 표의 완료 여부는 아직 판단하지 않았다.</w:t>
      </w:r>
    </w:p>
    <w:p>
      <w:pPr>
        <w:pStyle w:val="Heading1"/>
        <w:pageBreakBefore/>
      </w:pPr>
      <w:r>
        <w:t>5 1차 요구사항 적용 목록 2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M은 필수 제안, C는 선행조건 확인 후 채택할 조건부 항목이다. 모든 식별자는 PMS-로 시작하며 기존 명세서의 상세 정의와 수용기준을 그대로 참조한다.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0"/>
        <w:gridCol w:w="4700"/>
        <w:gridCol w:w="680"/>
        <w:gridCol w:w="2500"/>
      </w:tblGrid>
      <w:tr>
        <w:trPr>
          <w:cantSplit/>
          <w:tblHeader w:val="true"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요구 ID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요구명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직접 연결 TBD 번호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PMS-SFR-017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보완 요청·소명·의견 차이 관리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PMS-SFR-018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현재 버전 재검증·확정·철회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02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PMS-SFR-023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주기적 다면평가 계획·배정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06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PMS-SFR-024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역할별 응답·관찰 불가·중복 처리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06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PMS-SFR-025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기본 수행이력과 긍정·미흡 근거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06, 07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PMS-SFR-026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평가 고지·소명·재검토·정정 반영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06, 07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PMS-SFR-029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상시 인수인계와 미결 책임 승계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공통 조건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PMS-SFR-030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유지관리 종류·기산 사건·책임 관리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03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PMS-SFR-031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지원 공백·갱신·차기 계약 준비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08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기관·사업·문서의 접근 통제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02, 07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판단·변경 이력의 추적성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07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AI 검토 품질·근거·평가 범위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05, 09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PMS-NFR-004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로컬 처리·문서 명령과 업무권한 분리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PMS-NFR-005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업무 응답·분석 처리량의 성능 목표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PMS-NFR-006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가용성·복구·접수 보존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PMS-NFR-007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접근성·업무 이해·오류 복구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13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직접 연결이 없더라도 기관별 권한·자료·품질·운영 조건은 적용한다. TBD 숫자는 미확정 사항 검토표의 동일 번호를 뜻하며, 표의 완료 여부는 아직 판단하지 않았다.</w:t>
      </w:r>
    </w:p>
    <w:p>
      <w:pPr>
        <w:pStyle w:val="Heading1"/>
        <w:pageBreakBefore/>
      </w:pPr>
      <w:r>
        <w:t>6 1차 요구사항 적용 목록 3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M은 필수 제안, C는 선행조건 확인 후 채택할 조건부 항목이다. 모든 식별자는 PMS-로 시작하며 기존 명세서의 상세 정의와 수용기준을 그대로 참조한다.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0"/>
        <w:gridCol w:w="4700"/>
        <w:gridCol w:w="680"/>
        <w:gridCol w:w="2500"/>
      </w:tblGrid>
      <w:tr>
        <w:trPr>
          <w:cantSplit/>
          <w:tblHeader w:val="true"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요구 ID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요구명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직접 연결 TBD 번호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PMS-NFR-008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변경 영향·버전별 재현·유지보수성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PMS-DAR-001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핵심 업무자료의 최소 항목·관계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PMS-DAR-002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지원 문서·추출 범위·원문 대응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PMS-DAR-003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버전·관계·이관 자료의 정합성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PMS-DAR-004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보존·정정·반출·폐기 정책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07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PMS-IFR-001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계정·조직 정보 연계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02, 14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PMS-IFR-002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계약·전자결재·기존 PMS 기록 연계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03, 14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PMS-OPR-001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기관 적용·교육·기본 참여 지원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01, 02, 11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PMS-OPR-002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기준·평가 운영과 이해충돌 관리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02, 06, 09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PMS-OPR-003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장애·미반영·오류 대응 운영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08, 10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PMS-OPR-004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계약 종료·운영 인수·계속 열람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07, 11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PMS-BMR-001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기관 도입·기본 참여·대가의 분리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PMS-BMR-002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CCK 주관 책임·재사용·비중복 확인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01, 10, 11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PMS-BMR-003</w:t>
            </w:r>
          </w:p>
        </w:tc>
        <w:tc>
          <w:tcPr>
            <w:tcW w:type="dxa" w:w="47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순편익·품질·국민 효과의 검증 계획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5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12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직접 연결이 없더라도 기관별 권한·자료·품질·운영 조건은 적용한다. TBD 숫자는 미확정 사항 검토표의 동일 번호를 뜻하며, 표의 완료 여부는 아직 판단하지 않았다.</w:t>
      </w:r>
    </w:p>
    <w:p>
      <w:r>
        <w:rPr>
          <w:rFonts w:ascii="맑은 고딕" w:hAnsi="맑은 고딕" w:eastAsia="맑은 고딕" w:cs="맑은 고딕"/>
          <w:b/>
          <w:color w:val="000000"/>
        </w:rPr>
        <w:t>집계 대조: SFR 25 + NFR 8 + DAR 4 + IFR 2 + OPR 4 + BMR 3 = 46개. 조건부 IFR 2개를 제외한 필수 제안은 44개다. 요구 수는 개발 공수·기능 크기·완료율의 대리 지표가 아니다.</w:t>
      </w:r>
    </w:p>
    <w:p>
      <w:pPr>
        <w:pStyle w:val="Heading1"/>
        <w:pageBreakBefore/>
      </w:pPr>
      <w:r>
        <w:t>7 후속 범위와 조건부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0"/>
        <w:gridCol w:w="6040"/>
        <w:gridCol w:w="1800"/>
      </w:tblGrid>
      <w:tr>
        <w:trPr>
          <w:cantSplit/>
          <w:tblHeader w:val="true"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요구 ID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후속 제공 내용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최초 연차와 구분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PMS-SFR-019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정보화사업 감리 검사기준 관리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PMS-SFR-020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요구 단위 검사 실행·범위 기록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PMS-SFR-021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구조화 Finding·전문 시정·재검증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PMS-SFR-022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AI·감리사의 독립 검토와 차이 관리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PMS-SFR-027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다면평가의 역할·시점별 분석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PMS-SFR-028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사업·역할별 레퍼런스 조회 고도화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PMS-SFR-032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성과·피드백의 문제 정의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PMS-SFR-033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개선 대안·기존 계약·신규 투자 비교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PMS-SFR-034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차기 RFP 요구 초안과 근거 추적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PMS-SFR-035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협업·컨소시엄 역량 탐색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C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PMS-SFR-036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기관별 서비스 규칙의 반복 적용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Y3 / M</w:t>
            </w:r>
          </w:p>
        </w:tc>
      </w:tr>
      <w:tr>
        <w:trPr>
          <w:cantSplit/>
        </w:trPr>
        <w:tc>
          <w:tcPr>
            <w:tcW w:type="dxa" w:w="23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PMS-IFR-003</w:t>
            </w:r>
          </w:p>
        </w:tc>
        <w:tc>
          <w:tcPr>
            <w:tcW w:type="dxa" w:w="6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외부 시험·운영 결과 수집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/ C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Y1 조건부 연계가 불가능한 경우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IFR-001은 승인된 계정·조직의 수동 등록과 권한 회수 절차, IFR-002는 공식 원문 등록·식별정보 대조로 대체할 수 있는지 협의한다. 이는 자동 연계 완료를 뜻하지 않는다. 대체 경로도 권한·정합성·업무 부담 기준을 충족해야 한다.</w:t>
      </w:r>
    </w:p>
    <w:p>
      <w:pPr>
        <w:pStyle w:val="Heading2"/>
      </w:pPr>
      <w:r>
        <w:t>현재 제공 범위에서 제외하는 항목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자동 법적 판정·낙찰·기업 배제·벌점, 감리원 대체, 회계감사·건설 등 타 감리의 실제 제공, 신규 OCR·영상·VLM·센서·제어, 외부 클라우드 LLM 자동 전송, 기관 간 무단 자료 공유는 포함하지 않는다.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Y1에 평가 수집과 정정은 유지한다. 이를 Y3로 미루거나 Y3 분석·추천 기능을 Y1 제공 실적으로 앞당기지 않는다. 조건부 기능은 미채택 근거와 영향 요구를 기록한다.</w:t>
      </w:r>
    </w:p>
    <w:p>
      <w:pPr>
        <w:pStyle w:val="Heading1"/>
        <w:pageBreakBefore/>
      </w:pPr>
      <w:r>
        <w:t>8 설계 확정을 위한 통과 조건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아래는 앞으로 적용할 검토 조건이다. 현재는 문서 초안 단계이며 기관 승인·독립 검토·제품 시험을 완료한 상태가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0"/>
        <w:gridCol w:w="6120"/>
        <w:gridCol w:w="2460"/>
      </w:tblGrid>
      <w:tr>
        <w:trPr>
          <w:cantSplit/>
          <w:tblHeader w:val="true"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관문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필요 문서와 조건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책임 역할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G1 대상 확정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대상 사업·업무 근거·기존 과업 대조·국민 효과 경로 / TBD-01·03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기획·사업·계약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G2 자료와 권한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원문 샘플·지원 범위·역할표·자료 이용 및 보존 정책 / TBD-02·04·07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업무·자료·보안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G3 제공 범위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로컬 자원·CCK 자산·사용권·조건부 연계·운영 시간창 / TBD-08·10·14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CCK 기술·기관 운영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G4 수용 조건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 검토·사용성·평가 수집의 적용 조건과 검토 절차 / TBD-05·06·13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품질·평가·현업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G5 계약과 효과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제공 묶음·원가·책임·종료 인수·효과 기준값 / TBD-11·12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구매·기획·CCK</w:t>
            </w:r>
          </w:p>
        </w:tc>
      </w:tr>
      <w:tr>
        <w:trPr>
          <w:cantSplit/>
        </w:trPr>
        <w:tc>
          <w:tcPr>
            <w:tcW w:type="dxa" w:w="15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후속 G6 감리</w:t>
            </w:r>
          </w:p>
        </w:tc>
        <w:tc>
          <w:tcPr>
            <w:tcW w:type="dxa" w:w="6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대상·기준·전문가·독립성·시정 확인 / TBD-09</w:t>
            </w:r>
          </w:p>
        </w:tc>
        <w:tc>
          <w:tcPr>
            <w:tcW w:type="dxa" w:w="24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감리 담당·전문가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검토 후 인계할 설계 산출물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기관 적용 기준선: 채택 요구 ID, 제외·조건부 사유, 역할과 자료, 기한·운영 조건, 결정 근거·버전.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논리 설계: 유스케이스, 상태·예외, 자료 사전, 행위별 권한, 화면 정보구조와 연계 계약의 범위. 구현 코드는 포함하지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수용 검토 계획: 기존 116개 조건 중 적용 대상, 추가 조건, 책임자, 환경, 증빙과 미확정 수치의 확정 기록.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현업 검토 기록: 기관 담당·수행사·후임·평가 운영자의 이견·추가 부담·정정 결과. 내부 자체점검을 독립 검토로 표시하지 않는다.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관문 미충족 시 해당 적용·계약 확정을 보류한다. 독립적으로 가능한 설계 정리는 계속한다. 문서상 범위 합의와 향후 구현 착수 지시는 별도로 관리한다.</w:t>
      </w:r>
    </w:p>
    <w:p>
      <w:pPr>
        <w:pStyle w:val="Heading1"/>
        <w:pageBreakBefore/>
      </w:pPr>
      <w:r>
        <w:t>9 비용 제약과 편익 검토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신규 인프라 투자비 0원은 전체 사업비가 0원이라는 뜻이 아니다. 응용 SW 개발·기존 환경 설정·연계·검수·교육·자료 정비·운영 지원의 인력 및 허용 비용은 별도로 산정한다.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8040"/>
      </w:tblGrid>
      <w:tr>
        <w:trPr>
          <w:cantSplit/>
          <w:tblHeader w:val="true"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이번 범위의 처리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신규 인프라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GPU·서버·저장·백업·망 장비 구매·증설·임차, 클라우드 자원비: 신규 사업비에 계상하지 않음.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장비 비용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장비 유지보수와 자원 증분도 이번 용역비에 계상하지 않음. 기존 자원 사용권·가용성은 확인 필요.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응용 서비스 비용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SW 개발, 기존 환경 배포 설정, 허용 연계, 검수, 데이터 복원 시험 공수 등을 근거별로 구분. 가격·공수 미확정.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자원 부족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동시성·자료량·대기열·모델 설정·업무 범위를 조정하고 품질을 재검토. 충족 불가 시 범위 축소·보류.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측정할 편익과 비용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8040"/>
      </w:tblGrid>
      <w:tr>
        <w:trPr>
          <w:cantSplit/>
          <w:tblHeader w:val="true"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판단 항목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측정과 해석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관리와 검토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동일 업무량의 현행 총시간과 도입 후 총시간을 비교한다. 추가 입력·AI 확인·오류 대응을 포함한다.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시간가치와 예산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순절감시간에 확인된 역할별 시간가치를 적용한다. 실제 지출 감소는 별도 자료로 확인하며 감축 인원으로 환산하지 않는다.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재작업과 지연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중복 계산을 제외한 재보완·대기·미결 책임·지원 공백의 변화와 영향을 확인한다.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국민 효과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선정한 서비스의 장애·처리 지연·이용 불편·접근성으로 연결한다. PMS 시간 절감을 국민 편익으로 곧바로 대입하지 않는다.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전체 경제성</w:t>
            </w:r>
          </w:p>
        </w:tc>
        <w:tc>
          <w:tcPr>
            <w:tcW w:type="dxa" w:w="80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초기 도입·교육·이관과 추가 운영 부담을 포함한다. 평가기간·가격 기준·비중복 원칙을 정하고 후속 기능 편익은 적용 이후에 반영한다.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TBD-11·12에서 자료와 목표를 정한다. 현행·규칙 기반·AI 지원 대안을 비교해 AI의 추가 가치가 부족하면 적용 범위를 재검토한다. 이번 문서에는 실측 근거 없는 절감률·가격·투자수익률을 넣지 않는다.</w:t>
      </w:r>
    </w:p>
    <w:p>
      <w:pPr>
        <w:pStyle w:val="Heading1"/>
        <w:pageBreakBefore/>
      </w:pPr>
      <w:r>
        <w:t>10 기준선 보완과 검토 기록</w:t>
      </w:r>
    </w:p>
    <w:p>
      <w:pPr>
        <w:pStyle w:val="Heading2"/>
      </w:pPr>
      <w:r>
        <w:t>CR 01 기존 인프라 사용 조건 반영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근거는 프로젝트 지침 CCK 로컬 LLM 적용범위 v1.2의 U-INFRA-01이다. 기존 요구사항 v0.1의 식별자·연차·수량은 유지하고 다음 요구의 기관 적용 조건을 보완한다. 기존 Word·원장은 이번 작업에서 수정하지 않았다.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0"/>
        <w:gridCol w:w="7680"/>
      </w:tblGrid>
      <w:tr>
        <w:trPr>
          <w:cantSplit/>
          <w:tblHeader w:val="true"/>
        </w:trPr>
        <w:tc>
          <w:tcPr>
            <w:tcW w:type="dxa" w:w="2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연결 요구</w:t>
            </w:r>
          </w:p>
        </w:tc>
        <w:tc>
          <w:tcPr>
            <w:tcW w:type="dxa" w:w="7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보완할 내용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PMS-NFR-004</w:t>
            </w:r>
          </w:p>
        </w:tc>
        <w:tc>
          <w:tcPr>
            <w:tcW w:type="dxa" w:w="7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모델·임베딩 등 필요한 처리의 로컬 실행 경계와 기존 자원 사용권 확인.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PMS-NFR-005</w:t>
            </w:r>
          </w:p>
        </w:tc>
        <w:tc>
          <w:tcPr>
            <w:tcW w:type="dxa" w:w="7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환경 용량을 기준으로 업무 응답과 분석 성능·동시성을 각각 정함.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PMS-NFR-006</w:t>
            </w:r>
          </w:p>
        </w:tc>
        <w:tc>
          <w:tcPr>
            <w:tcW w:type="dxa" w:w="7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기존 자원으로 복구·접수 보존 목표를 충족하는지 확인. 백업 장비 구매를 기본 해법으로 넣지 않음.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PMS-BMR-002</w:t>
            </w:r>
          </w:p>
        </w:tc>
        <w:tc>
          <w:tcPr>
            <w:tcW w:type="dxa" w:w="7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CCK 자산·협력·사용권·인력과 인프라 0원 제약을 반영한 공급 범위 확인.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PMS-BMR-003</w:t>
            </w:r>
          </w:p>
        </w:tc>
        <w:tc>
          <w:tcPr>
            <w:tcW w:type="dxa" w:w="7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신규 인프라 투자비를 사업비에 넣지 않되 응용 SW·운영 부담과 실제 편익의 구분 유지.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P01부터 P07까지 후속 검토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0"/>
        <w:gridCol w:w="80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기준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범위 정의에 반영한 내용과 확인 과제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P01 국민 편익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대상 서비스의 품질·연속성 개선 경로를 제1·9장과 TBD-01·12에서 확인.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P02 현업 수용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입력·확인 부담과 역할 변화·교육을 P6·TBD-12·13에서 검토.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P03 AI 추가 가치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규칙 기반 대안과 AI 검토의 순효과를 TBD-05·12에서 비교.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P04 실제 문제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관리 부담 가설을 대상 사업·국민 서비스의 증거와 연결. TBD-01·03.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P05 반복 적용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기관별 공통 기능과 자료 공유 권한 구분. SFR-036은 Y3 유지.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P06 업무 권한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유형·업무·위탁·감리 적용 원문 확인은 TBD-01·03·09.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P07 재정과 책임</w:t>
            </w:r>
          </w:p>
        </w:tc>
        <w:tc>
          <w:tcPr>
            <w:tcW w:type="dxa" w:w="80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인프라 0원, 원가·수행 책임·효과·사업별 심의 경로는 TBD-11·12 및 대상 기관에서 확인.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현재 판정: 기관 협의에 사용할 설계 초안 작성 완료. 계약용 기준선 확정은 미완료. 결정권자·실자료·품질 목표·원가 및 기관 검토가 다음 입력이며, 제품 구현은 이번 범위에 포함하지 않는다.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 w:cs="맑은 고딕"/>
        <w:color w:val="000000"/>
        <w:sz w:val="16"/>
      </w:rPr>
      <w:t xml:space="preserve">Public AI PMS 1차 개발범위 정의서   |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00"/>
    </w:pPr>
    <w:rPr>
      <w:rFonts w:ascii="맑은 고딕" w:hAnsi="맑은 고딕" w:eastAsia="맑은 고딕" w:cs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40"/>
    </w:pPr>
    <w:rPr>
      <w:rFonts w:asciiTheme="majorHAnsi" w:eastAsiaTheme="majorEastAsia" w:hAnsiTheme="majorHAnsi" w:cstheme="majorBidi" w:ascii="맑은 고딕" w:hAnsi="맑은 고딕" w:eastAsia="맑은 고딕" w:cs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4" w:lineRule="auto"/>
      <w:contextualSpacing/>
    </w:pPr>
    <w:rPr>
      <w:rFonts w:ascii="맑은 고딕" w:hAnsi="맑은 고딕" w:eastAsia="맑은 고딕" w:cs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93" w:lineRule="auto"/>
      <w:contextualSpacing/>
    </w:pPr>
    <w:rPr>
      <w:rFonts w:ascii="맑은 고딕" w:hAnsi="맑은 고딕" w:eastAsia="맑은 고딕" w:cs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140"/>
    </w:pPr>
    <w:rPr>
      <w:rFonts w:ascii="맑은 고딕" w:hAnsi="맑은 고딕"/>
      <w:color w:val="000000"/>
      <w:sz w:val="22"/>
    </w:rPr>
  </w:style>
  <w:style w:type="paragraph" w:customStyle="1" w:styleId="TOC2">
    <w:name w:val="TOC 2"/>
    <w:pPr>
      <w:spacing w:after="140"/>
    </w:pPr>
    <w:rPr>
      <w:rFonts w:ascii="맑은 고딕" w:hAnsi="맑은 고딕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AI PMS 1차 개발범위 정의서</dc:title>
  <dc:subject>공공 정보화사업 관리 및 검증 서비스 요구사항</dc:subject>
  <dc:creator/>
  <cp:keywords>Public AI-PMS, 요구사항, 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