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 국민 편의와 안전 AX 요구사항 명세서</w:t>
      </w:r>
    </w:p>
    <w:p>
      <w:pPr>
        <w:pStyle w:val="Subtitle"/>
      </w:pPr>
      <w:r>
        <w:t>버전 0.1   2026-09-10   발주 전 검토안</w:t>
      </w:r>
    </w:p>
    <w:p>
      <w:r>
        <w:t>기능 28건과 데이터·보안·성능·품질·관리 등 15건, 총 43건의 검토 명세다. 각 수치 기준은 발주 전 협의할 초안이며 CCK 제품의 측정 성능이 아니다.</w:t>
      </w:r>
    </w:p>
    <w:p>
      <w:pPr>
        <w:pStyle w:val="Heading1"/>
      </w:pPr>
      <w:r>
        <w:t>명세 읽기와 공통 계약</w:t>
      </w:r>
    </w:p>
    <w:p>
      <w:r>
        <w:t>입력과 사전조건은 처리 문장 및 데이터 항목에, 정상·예외 처리는 요구 본문에, 기대 결과는 검수 기준에 명시한다. 모든 T 요구 ID는 해당 요구를 Given 사전조건 / When 정상 또는 오류 주입 / Then 검수 기준으로 시험하는 추적 ID다. 구현 단계에서 세부 테스트 번호를 확장한다.</w:t>
      </w:r>
    </w:p>
    <w:p>
      <w:r>
        <w:t>외부 URL과 실제 API 명세가 미제공이므로 아래 API ID는 설계 계약 식별자다. 운영 URL·스키마가 이미 존재한다고 의미하지 않는다. 사례별 인증·데이터·원천 기준을 확보한 후 구현한다.</w:t>
      </w:r>
    </w:p>
    <w:p>
      <w:r>
        <w:br w:type="page"/>
      </w:r>
    </w:p>
    <w:p>
      <w:pPr>
        <w:pStyle w:val="Heading2"/>
      </w:pPr>
      <w:r>
        <w:t>SFR 001 로컬 모델 호출</w:t>
      </w:r>
    </w:p>
    <w:p>
      <w:r>
        <w:t>BR08 / 공통 / 필수 / W02 / 검수 T-SFR-001</w:t>
      </w:r>
    </w:p>
    <w:p>
      <w:r>
        <w:t>처리 요구: 입력 텍스트를 승인된 로컬 LLM·임베딩·재순위화 엔드포인트에만 전달한다. 모델·프롬프트 버전과 요청 ID를 저장하고 출력 JSON 스키마를 검증한다. 스키마 재시도는 최대 1회이며 실패 시 수동 경로를 제시한다.</w:t>
      </w:r>
    </w:p>
    <w:p>
      <w:r>
        <w:t>검수 기준: 외부 네트워크를 차단하고 정상·스키마 오류·모델 중단을 주입했을 때 외부 호출 0건, 실패 표시, 원문 보존을 확인한다.</w:t>
      </w:r>
    </w:p>
    <w:p>
      <w:r>
        <w:t>화면 UI-C · 연계 API-C01 · 데이터 ModelVersion, Task · 권한 시스템 서비스 계정</w:t>
      </w:r>
    </w:p>
    <w:p>
      <w:pPr>
        <w:pStyle w:val="Heading2"/>
      </w:pPr>
      <w:r>
        <w:t>SFR 002 근거 검색과 인용</w:t>
      </w:r>
    </w:p>
    <w:p>
      <w:r>
        <w:t>BR06 / 공통 / 필수 / W02 / 검수 T-SFR-002</w:t>
      </w:r>
    </w:p>
    <w:p>
      <w:r>
        <w:t>처리 요구: 기관·업무·사용자 권한 및 기준시점으로 검색 범위를 먼저 제한한다. 출력의 사실 주장마다 문서 ID, 버전, 항목 위치를 연결한다. 근거가 없거나 상충하면 미확인과 확인 담당자를 표시한다.</w:t>
      </w:r>
    </w:p>
    <w:p>
      <w:r>
        <w:t>검수 기준: 접근 가능한 근거·금지 근거·상충 근거 사례에서 인용 위치와 원문 일치를 검수하고 금지 문서 제목·본문·요약의 노출 0건을 확인한다.</w:t>
      </w:r>
    </w:p>
    <w:p>
      <w:r>
        <w:t>화면 UI-C · 연계 API-C02 · 데이터 Case, Evidence · 권한 업무 권한 보유 사용자</w:t>
      </w:r>
    </w:p>
    <w:p>
      <w:pPr>
        <w:pStyle w:val="Heading2"/>
      </w:pPr>
      <w:r>
        <w:t>SFR 003 기준과 규칙 버전</w:t>
      </w:r>
    </w:p>
    <w:p>
      <w:r>
        <w:t>BR06 / 공통 / 필수 / W02 / 검수 T-SFR-003</w:t>
      </w:r>
    </w:p>
    <w:p>
      <w:r>
        <w:t>처리 요구: 기한·자격·필수 조건은 승인된 규칙 테이블에서 계산한다. 적용 시작·종료일과 승인자를 기록하고 시행 예정 기준은 현행 기준과 구별한다. 소급 정정은 영향을 받은 사례 목록을 생성한다.</w:t>
      </w:r>
    </w:p>
    <w:p>
      <w:r>
        <w:t>검수 기준: 개정일 전날·당일·다음날과 중첩 버전을 입력하면 기대 규칙을 적용하고, 유효 기준이 없으면 확정 안내를 차단한다.</w:t>
      </w:r>
    </w:p>
    <w:p>
      <w:r>
        <w:t>화면 UI-A · 연계 API-C02 · 데이터 RuleVersion · 권한 기준 편집자와 별도 승인자</w:t>
      </w:r>
    </w:p>
    <w:p>
      <w:r>
        <w:br w:type="page"/>
      </w:r>
    </w:p>
    <w:p>
      <w:pPr>
        <w:pStyle w:val="Heading2"/>
      </w:pPr>
      <w:r>
        <w:t>SFR 004 동의와 실행 내용 결속</w:t>
      </w:r>
    </w:p>
    <w:p>
      <w:r>
        <w:t>BR07 / 공통 / 필수 / W03 / 검수 T-SFR-004</w:t>
      </w:r>
    </w:p>
    <w:p>
      <w:r>
        <w:t>처리 요구: 외부 제출 전 대상·내용·효과·필수 개인정보를 요약한다. 사용자가 승인한 페이로드 해시·버전·동의시각을 실행 요청에 결속한다. 내용이 바뀌면 기존 승인을 무효화한다.</w:t>
      </w:r>
    </w:p>
    <w:p>
      <w:r>
        <w:t>검수 기준: 승인 후 항목 변경·다른 사용자 실행·승인 만료 시 외부 쓰기 요청이 발생하지 않고 재승인을 요구한다.</w:t>
      </w:r>
    </w:p>
    <w:p>
      <w:r>
        <w:t>화면 UI-C · 연계 API-C03 · 데이터 Consent, Execution · 권한 본인 또는 위임 확인 사용자</w:t>
      </w:r>
    </w:p>
    <w:p>
      <w:pPr>
        <w:pStyle w:val="Heading2"/>
      </w:pPr>
      <w:r>
        <w:t>SFR 005 업무 상태와 재개</w:t>
      </w:r>
    </w:p>
    <w:p>
      <w:r>
        <w:t>BR07 / 공통 / 필수 / W03 / 검수 T-SFR-005</w:t>
      </w:r>
    </w:p>
    <w:p>
      <w:r>
        <w:t>처리 요구: 초안→검토중→승인대기→요청중→공식완료/실패/결과미확인 상태를 구별한다. 외부 쓰기는 idempotency key를 사용하고 타임아웃 후 상태조회 전 자동 재제출을 차단한다.</w:t>
      </w:r>
    </w:p>
    <w:p>
      <w:r>
        <w:t>검수 기준: 동일 요청 재전송·프로세스 재시작·응답 유실 시 실제 외부 처리 1건 이하와 상태 재구성을 확인한다. 미확인은 실패나 완료로 표시하지 않는다.</w:t>
      </w:r>
    </w:p>
    <w:p>
      <w:r>
        <w:t>화면 UI-C · 연계 API-C03 · 데이터 Task, Execution · 권한 실행 권한 서비스 계정</w:t>
      </w:r>
    </w:p>
    <w:p>
      <w:pPr>
        <w:pStyle w:val="Heading2"/>
      </w:pPr>
      <w:r>
        <w:t>SFR 006 전자문서 수집과 정정</w:t>
      </w:r>
    </w:p>
    <w:p>
      <w:r>
        <w:t>BR06 / 공통 / 필수 / W02 / 검수 T-SFR-006</w:t>
      </w:r>
    </w:p>
    <w:p>
      <w:r>
        <w:t>처리 요구: 텍스트 PDF·DOCX·CSV·JSON 등 합의 형식의 파일을 크기·형식·악성코드 검사 후 수집한다. 원문·해시·항목·작성시점·권한을 연결한다. 이미지 전용·암호 문서는 처리불가 사유와 대체 입력을 제공한다.</w:t>
      </w:r>
    </w:p>
    <w:p>
      <w:r>
        <w:t>검수 기준: 정상 파일·중복 파일·잘못된 형식·20MB 초과·이미지 전용 파일에서 입력 정책과 오류 안내를 확인한다. 원문을 AI 출력으로 덮어쓰지 않는다.</w:t>
      </w:r>
    </w:p>
    <w:p>
      <w:r>
        <w:t>화면 UI-C · 연계 API-C04 · 데이터 Document, Evidence · 권한 자료 제공자 및 검토자</w:t>
      </w:r>
    </w:p>
    <w:p>
      <w:r>
        <w:br w:type="page"/>
      </w:r>
    </w:p>
    <w:p>
      <w:pPr>
        <w:pStyle w:val="Heading2"/>
      </w:pPr>
      <w:r>
        <w:t>SFR 007 허용 API와 반환 검증</w:t>
      </w:r>
    </w:p>
    <w:p>
      <w:r>
        <w:t>BR07 / 공통 / 필수 / W03 / 검수 T-SFR-007</w:t>
      </w:r>
    </w:p>
    <w:p>
      <w:r>
        <w:t>처리 요구: 호출 대상·메서드·파라미터를 허용 목록으로 제한한다. LLM은 인증정보·임의 URL·SQL을 생성해 실행할 수 없다. 공식 응답의 상태·대상·시점을 검증하고 오류 코드를 표준화한다.</w:t>
      </w:r>
    </w:p>
    <w:p>
      <w:r>
        <w:t>검수 기준: 임의 URL·SQL·추가 파라미터를 문서나 사용자 입력에 삽입하면 실행이 차단된다. 공식 응답의 다른 차량·사례 ID 혼입을 오류로 처리한다.</w:t>
      </w:r>
    </w:p>
    <w:p>
      <w:r>
        <w:t>화면 UI-A · 연계 API-C05 · 데이터 ConnectorContract · 권한 연계 서비스 계정</w:t>
      </w:r>
    </w:p>
    <w:p>
      <w:pPr>
        <w:pStyle w:val="Heading2"/>
      </w:pPr>
      <w:r>
        <w:t>SFR 008 개선 의견과 운영 지표</w:t>
      </w:r>
    </w:p>
    <w:p>
      <w:r>
        <w:t>BR10 / 공통 / 필수 / W06,W10 / 검수 T-SFR-008</w:t>
      </w:r>
    </w:p>
    <w:p>
      <w:r>
        <w:t>처리 요구: 사용자의 정정·불편·중단 위치를 개인정보 최소화하여 수집한다. 개선과제에 근거·담당자·판단·후속 결과를 연결한다. 전 직원의 의견이나 사고 감소로 일반화하지 않는다.</w:t>
      </w:r>
    </w:p>
    <w:p>
      <w:r>
        <w:t>검수 기준: 정정 제출→검토→반영→재검증 흐름을 재현하고, 사용자 원문을 운영 통계에 노출하지 않는다. 집계 분모와 기간을 화면에 표시한다.</w:t>
      </w:r>
    </w:p>
    <w:p>
      <w:r>
        <w:t>화면 UI-A · 연계 API-C06 · 데이터 Feedback, Metric · 권한 운영자</w:t>
      </w:r>
    </w:p>
    <w:p>
      <w:pPr>
        <w:pStyle w:val="Heading2"/>
      </w:pPr>
      <w:r>
        <w:t>SFR 101 조건 구조화와 확인</w:t>
      </w:r>
    </w:p>
    <w:p>
      <w:r>
        <w:t>BR01 / X01 / 필수 / W07 / 검수 T-SFR-101</w:t>
      </w:r>
    </w:p>
    <w:p>
      <w:r>
        <w:t>처리 요구: 희망 날짜·시간·지역·이동 범위와 공식 검사 조건을 필수/선호로 구조화하고 편집 가능한 확인 화면을 제공한다. 상대 날짜는 절대 날짜와 시간대를 표시한다.</w:t>
      </w:r>
    </w:p>
    <w:p>
      <w:r>
        <w:t>검수 기준: “다음 주 오후, 토요일도 가능” 입력 후 날짜 해석과 완화 조건을 확인한다. 필수조건 변경은 별도 동의 없이는 적용하지 않는다.</w:t>
      </w:r>
    </w:p>
    <w:p>
      <w:r>
        <w:t>화면 UI-X01 · 연계 API-X01 · 데이터 Condition · 권한 본인 또는 위임 확인 사용자</w:t>
      </w:r>
    </w:p>
    <w:p>
      <w:r>
        <w:br w:type="page"/>
      </w:r>
    </w:p>
    <w:p>
      <w:pPr>
        <w:pStyle w:val="Heading2"/>
      </w:pPr>
      <w:r>
        <w:t>SFR 102 실시간 후보와 대안 비교</w:t>
      </w:r>
    </w:p>
    <w:p>
      <w:r>
        <w:t>BR01 / X01 / 필수 / W07 / 검수 T-SFR-102</w:t>
      </w:r>
    </w:p>
    <w:p>
      <w:r>
        <w:t>처리 요구: 공식 조회 결과의 검사소·가능 시간·조회시각을 같은 화면에 표시한다. 마감·휴무·조회불가를 구별하고 조건 유지 상태에서 날짜·장소 대안을 비교한다.</w:t>
      </w:r>
    </w:p>
    <w:p>
      <w:r>
        <w:t>검수 기준: 마감 응답은 빈 슬롯을 만들지 않고, 조회불가를 마감으로 표시하지 않는다. 날짜 변경 후 차량·필수조건이 보존된다.</w:t>
      </w:r>
    </w:p>
    <w:p>
      <w:r>
        <w:t>화면 UI-X01 · 연계 API-X01 · 데이터 Slot · 권한 본인 또는 위임 확인 사용자</w:t>
      </w:r>
    </w:p>
    <w:p>
      <w:pPr>
        <w:pStyle w:val="Heading2"/>
      </w:pPr>
      <w:r>
        <w:t>SFR 103 예약 재확인과 확정</w:t>
      </w:r>
    </w:p>
    <w:p>
      <w:r>
        <w:t>BR01 / X01 / 필수 / W07 / 검수 T-SFR-103</w:t>
      </w:r>
    </w:p>
    <w:p>
      <w:r>
        <w:t>처리 요구: 사용자 승인 후 슬롯을 재조회하고 예약 요청을 보낸다. 공식 예약 번호 수신 시에만 완료 표시한다. 미확인 상태는 상태조회로 해소한다.</w:t>
      </w:r>
    </w:p>
    <w:p>
      <w:r>
        <w:t>검수 기준: 승인 직후 타인 선점·통신 중단·중복 클릭을 재현한다. 예약 1건 이하, 허위 완료 0건이며 미확인 결과를 복구할 수 있다.</w:t>
      </w:r>
    </w:p>
    <w:p>
      <w:r>
        <w:t>화면 UI-X01 · 연계 API-X01 · 데이터 Booking · 권한 본인 또는 위임 확인 사용자</w:t>
      </w:r>
    </w:p>
    <w:p>
      <w:pPr>
        <w:pStyle w:val="Heading2"/>
      </w:pPr>
      <w:r>
        <w:t>SFR 104 예약 변경과 취소</w:t>
      </w:r>
    </w:p>
    <w:p>
      <w:r>
        <w:t>BR01 / X01 / 필수 / W07 / 검수 T-SFR-104</w:t>
      </w:r>
    </w:p>
    <w:p>
      <w:r>
        <w:t>처리 요구: 공식 변경·취소 정책과 결과를 표시하고 영향 확인 후 실행한다. 변경 API가 없으면 공식 채널로 안내하고 완료 여부는 미확인으로 유지한다.</w:t>
      </w:r>
    </w:p>
    <w:p>
      <w:r>
        <w:t>검수 기준: 취소 불가 시점·이미 취소·승인 후 조건 변경에서 정책 위반 요청을 차단하고 공식 결과와 동일한 상태를 표시한다.</w:t>
      </w:r>
    </w:p>
    <w:p>
      <w:r>
        <w:t>화면 UI-X01 · 연계 API-X01 · 데이터 Booking · 권한 본인 또는 위임 확인 사용자</w:t>
      </w:r>
    </w:p>
    <w:p>
      <w:r>
        <w:br w:type="page"/>
      </w:r>
    </w:p>
    <w:p>
      <w:pPr>
        <w:pStyle w:val="Heading2"/>
      </w:pPr>
      <w:r>
        <w:t>SFR 201 검사 결과와 기준 결합</w:t>
      </w:r>
    </w:p>
    <w:p>
      <w:r>
        <w:t>BR02 / X02 / 필수 / W04 / 검수 T-SFR-201</w:t>
      </w:r>
    </w:p>
    <w:p>
      <w:r>
        <w:t>처리 요구: 승인된 결과 코드·차량/대상 식별자·검사시각을 가져와 해당 버전의 근거를 연결한다. 초기 범위는 자동차검사 10개 결과 유형과 코드 100개 이하이다.</w:t>
      </w:r>
    </w:p>
    <w:p>
      <w:r>
        <w:t>검수 기준: 본인 결과·다른 사람 결과·미등록 코드·이전 기준을 입력하여 접근차단·근거 버전·미확인 표시를 확인한다.</w:t>
      </w:r>
    </w:p>
    <w:p>
      <w:r>
        <w:t>화면 UI-X02 · 연계 API-X02 · 데이터 InspectionResult · 권한 본인 또는 위임 확인 사용자</w:t>
      </w:r>
    </w:p>
    <w:p>
      <w:pPr>
        <w:pStyle w:val="Heading2"/>
      </w:pPr>
      <w:r>
        <w:t>SFR 202 필수 행동과 쉬운 설명</w:t>
      </w:r>
    </w:p>
    <w:p>
      <w:r>
        <w:t>BR02 / X02 / 필수 / W04 / 검수 T-SFR-202</w:t>
      </w:r>
    </w:p>
    <w:p>
      <w:r>
        <w:t>처리 요구: 규칙에 따라 필수·권고·추가확인 행동을 분류하고 쉬운 설명을 생성한다. 수치·기한·결과 판정 원문은 함께 보존하며 정비 진단·운행 안전 보증은 하지 않는다.</w:t>
      </w:r>
    </w:p>
    <w:p>
      <w:r>
        <w:t>검수 기준: 복합 결과에서 정답표의 필수 행동과 기한을 누락·변조하지 않는다. 설명과 근거가 충돌하면 전문가 연결로 전환한다.</w:t>
      </w:r>
    </w:p>
    <w:p>
      <w:r>
        <w:t>화면 UI-X02 · 연계 API-X02 · 데이터 Action · 권한 본인 또는 위임 확인 사용자</w:t>
      </w:r>
    </w:p>
    <w:p>
      <w:pPr>
        <w:pStyle w:val="Heading2"/>
      </w:pPr>
      <w:r>
        <w:t>SFR 203 후속 조치 상태 분리</w:t>
      </w:r>
    </w:p>
    <w:p>
      <w:r>
        <w:t>BR02 / X02 / 필수 / W04 / 검수 T-SFR-203</w:t>
      </w:r>
    </w:p>
    <w:p>
      <w:r>
        <w:t>처리 요구: 사용자 확인·신청 접수·공식 조치완료를 서로 다른 상태로 표시한다. 완료에는 근거 발행기관·시각·대상을 연결한다. 연계가 없으면 공식 채널 링크와 사용자의 기록만 제공한다.</w:t>
      </w:r>
    </w:p>
    <w:p>
      <w:r>
        <w:t>검수 기준: 사용자가 완료 버튼을 눌러도 공식 수리완료로 바뀌지 않는다. 공식 상태 응답이 없는 경우 완료 배지가 생기지 않는다.</w:t>
      </w:r>
    </w:p>
    <w:p>
      <w:r>
        <w:t>화면 UI-X02 · 연계 API-X02 · 데이터 ActionStatus · 권한 본인 또는 위임 확인 사용자</w:t>
      </w:r>
    </w:p>
    <w:p>
      <w:r>
        <w:br w:type="page"/>
      </w:r>
    </w:p>
    <w:p>
      <w:pPr>
        <w:pStyle w:val="Heading2"/>
      </w:pPr>
      <w:r>
        <w:t>SFR 204 결과 정정과 이의 연결</w:t>
      </w:r>
    </w:p>
    <w:p>
      <w:r>
        <w:t>BR02 / X02 / 필수 / W04 / 검수 T-SFR-204</w:t>
      </w:r>
    </w:p>
    <w:p>
      <w:r>
        <w:t>처리 요구: 사용자 정정 요청을 원 결과와 분리 저장하고 담당자의 확인 상태를 보여준다. 리콜 표본은 사용 승인된 자료만 처리하며 개인별 대상/수리 조회 확장은 데이터 계약 후 반영한다.</w:t>
      </w:r>
    </w:p>
    <w:p>
      <w:r>
        <w:t>검수 기준: 오류 신고 뒤 공식 원 결과가 임의 수정되지 않고, 수정된 공식 결과 수신 시 이전 설명을 구버전으로 표시한다.</w:t>
      </w:r>
    </w:p>
    <w:p>
      <w:r>
        <w:t>화면 UI-X02 · 연계 API-X02 · 데이터 Correction · 권한 본인 또는 위임 확인 사용자</w:t>
      </w:r>
    </w:p>
    <w:p>
      <w:pPr>
        <w:pStyle w:val="Heading2"/>
      </w:pPr>
      <w:r>
        <w:t>SFR 301 관찰 사실과 불확실성 분리</w:t>
      </w:r>
    </w:p>
    <w:p>
      <w:r>
        <w:t>BR03 / X03 / 필수 / W08 / 검수 T-SFR-301</w:t>
      </w:r>
    </w:p>
    <w:p>
      <w:r>
        <w:t>처리 요구: 사용자 서술을 원문과 함께 관찰 사실·추정·미확인으로 분류한다. 초기 대상은 자동차 결함 보고 한 종류이며 항공·철도 신고체계는 범위 밖이다.</w:t>
      </w:r>
    </w:p>
    <w:p>
      <w:r>
        <w:t>검수 기준: 불명확한 시점·추정 원인 입력 시 사실로 단정하지 않는다. 원문 문장과 분류의 위치가 대응한다.</w:t>
      </w:r>
    </w:p>
    <w:p>
      <w:r>
        <w:t>화면 UI-X03 · 연계 API-X03 · 데이터 ReportDraft · 권한 본인 또는 위임 확인 사용자</w:t>
      </w:r>
    </w:p>
    <w:p>
      <w:pPr>
        <w:pStyle w:val="Heading2"/>
      </w:pPr>
      <w:r>
        <w:t>SFR 302 중립적 보완 질문</w:t>
      </w:r>
    </w:p>
    <w:p>
      <w:r>
        <w:t>BR03 / X03 / 필수 / W08 / 검수 T-SFR-302</w:t>
      </w:r>
    </w:p>
    <w:p>
      <w:r>
        <w:t>처리 요구: 해당 신고 서식의 필수 항목 누락만 질문한다. 특정 원인·책임자 진술을 유도하지 않고 기억나지 않음 선택을 제공한다. 긴급 상황은 공식 긴급 경로를 우선 안내한다.</w:t>
      </w:r>
    </w:p>
    <w:p>
      <w:r>
        <w:t>검수 기준: 필수 필드가 비면 필요한 질문을 제시하고 모르는 답변을 임의 생성하지 않는다. 긴급 문구 사례에서 보고 작성 완료를 기다리게 하지 않는다.</w:t>
      </w:r>
    </w:p>
    <w:p>
      <w:r>
        <w:t>화면 UI-X03 · 연계 API-X03 · 데이터 ReportField · 권한 본인 또는 위임 확인 사용자</w:t>
      </w:r>
    </w:p>
    <w:p>
      <w:r>
        <w:br w:type="page"/>
      </w:r>
    </w:p>
    <w:p>
      <w:pPr>
        <w:pStyle w:val="Heading2"/>
      </w:pPr>
      <w:r>
        <w:t>SFR 303 원문 대비와 제출 승인</w:t>
      </w:r>
    </w:p>
    <w:p>
      <w:r>
        <w:t>BR03 / X03 / 필수 / W08 / 검수 T-SFR-303</w:t>
      </w:r>
    </w:p>
    <w:p>
      <w:r>
        <w:t>처리 요구: 원문과 정리문을 나란히 표시하고 추가·삭제·변경을 확인시킨다. 작성자가 수정·승인한 버전만 공식 접수 인터페이스에 전달한다.</w:t>
      </w:r>
    </w:p>
    <w:p>
      <w:r>
        <w:t>검수 기준: AI가 추정 책임을 추가한 경우 차이가 드러나며 작성자가 제거할 수 있다. 미승인 버전 제출은 차단된다.</w:t>
      </w:r>
    </w:p>
    <w:p>
      <w:r>
        <w:t>화면 UI-X03 · 연계 API-X03 · 데이터 ReportVersion · 권한 본인 또는 위임 확인 사용자</w:t>
      </w:r>
    </w:p>
    <w:p>
      <w:pPr>
        <w:pStyle w:val="Heading2"/>
      </w:pPr>
      <w:r>
        <w:t>SFR 304 접수 확인과 보호 정책</w:t>
      </w:r>
    </w:p>
    <w:p>
      <w:r>
        <w:t>BR03 / X03 / 필수 / W08 / 검수 T-SFR-304</w:t>
      </w:r>
    </w:p>
    <w:p>
      <w:r>
        <w:t>처리 요구: 보고 유형별 공개 범위·수신기관·보존 정책을 화면에 표시하고 접수번호 수신 여부를 기록한다. 보호 법제·기관 권한이 미확정이면 실데이터 접수를 열지 않는다.</w:t>
      </w:r>
    </w:p>
    <w:p>
      <w:r>
        <w:t>검수 기준: 접수 실패·미확인·권한 없는 열람에서 상태가 구별되고 보고 원문이 일반 검색·전체 통계에 유출되지 않는다.</w:t>
      </w:r>
    </w:p>
    <w:p>
      <w:r>
        <w:t>화면 UI-X03 · 연계 API-X03 · 데이터 ReportReceipt · 권한 본인 또는 위임 확인 사용자</w:t>
      </w:r>
    </w:p>
    <w:p>
      <w:pPr>
        <w:pStyle w:val="Heading2"/>
      </w:pPr>
      <w:r>
        <w:t>SFR 401 지적사항 단위 구조화</w:t>
      </w:r>
    </w:p>
    <w:p>
      <w:r>
        <w:t>BR04 / X04 / 필수 / W05 / 검수 T-SFR-401</w:t>
      </w:r>
    </w:p>
    <w:p>
      <w:r>
        <w:t>처리 요구: 기계식주차장 한 업무의 지적사항 ID·근거·조치 요구·담당·기한을 연결한다. 유형 20개 이하로 시작하며 검사의 원 판정을 AI로 변경하지 않는다.</w:t>
      </w:r>
    </w:p>
    <w:p>
      <w:r>
        <w:t>검수 기준: 복수 지적 문서에서 승인된 필수 항목이 각 ID에 연결되고, 기한이 불명확하면 보완 대상으로 남는다.</w:t>
      </w:r>
    </w:p>
    <w:p>
      <w:r>
        <w:t>화면 UI-X04 · 연계 API-X04 · 데이터 Finding · 권한 권한 있는 담당자</w:t>
      </w:r>
    </w:p>
    <w:p>
      <w:r>
        <w:br w:type="page"/>
      </w:r>
    </w:p>
    <w:p>
      <w:pPr>
        <w:pStyle w:val="Heading2"/>
      </w:pPr>
      <w:r>
        <w:t>SFR 402 조치 증빙 대응 검토</w:t>
      </w:r>
    </w:p>
    <w:p>
      <w:r>
        <w:t>BR04 / X04 / 필수 / W05 / 검수 T-SFR-402</w:t>
      </w:r>
    </w:p>
    <w:p>
      <w:r>
        <w:t>처리 요구: 전자 텍스트 증빙의 항목을 지적사항별로 대응시킨다. 충족 가능·불충분·상충·미확인을 제안하고 근거 위치와 누락 이유를 제시한다. 사진 자체의 결함 판독은 하지 않는다.</w:t>
      </w:r>
    </w:p>
    <w:p>
      <w:r>
        <w:t>검수 기준: 다른 설비 증빙·구버전 증빙·무관 문구를 넣으면 동일 건의 충족 증거로 승인하지 않고 차이를 설명한다.</w:t>
      </w:r>
    </w:p>
    <w:p>
      <w:r>
        <w:t>화면 UI-X04 · 연계 API-X04 · 데이터 ActionEvidence · 권한 권한 있는 담당자</w:t>
      </w:r>
    </w:p>
    <w:p>
      <w:pPr>
        <w:pStyle w:val="Heading2"/>
      </w:pPr>
      <w:r>
        <w:t>SFR 403 담당자 검토와 반려</w:t>
      </w:r>
    </w:p>
    <w:p>
      <w:r>
        <w:t>BR04 / X04 / 필수 / W05 / 검수 T-SFR-403</w:t>
      </w:r>
    </w:p>
    <w:p>
      <w:r>
        <w:t>처리 요구: 검토자가 근거·AI 제안·변경 내역을 확인하고 조치증빙의 행정적 수리 또는 보완 요청을 결정한다. 물리적 안전·재가동 허가는 해당 권한자의 별도 절차로 남긴다.</w:t>
      </w:r>
    </w:p>
    <w:p>
      <w:r>
        <w:t>검수 기준: AI가 충족으로 제안해도 검토자 확인 전 종결하지 않는다. 반려 의견·재제출·담당자 변경 이력이 보존된다.</w:t>
      </w:r>
    </w:p>
    <w:p>
      <w:r>
        <w:t>화면 UI-X04 · 연계 API-X04 · 데이터 ReviewDecision · 권한 권한 있는 담당자</w:t>
      </w:r>
    </w:p>
    <w:p>
      <w:pPr>
        <w:pStyle w:val="Heading2"/>
      </w:pPr>
      <w:r>
        <w:t>SFR 404 미해결과 재발 이력</w:t>
      </w:r>
    </w:p>
    <w:p>
      <w:r>
        <w:t>BR04 / X04 / 필수 / W05 / 검수 T-SFR-404</w:t>
      </w:r>
    </w:p>
    <w:p>
      <w:r>
        <w:t>처리 요구: 미해결 사유·기한 경과·반복 지적을 조회하고 담당자에게 후속 확인 대상을 제공한다. 반복 언급을 사고 예측이나 위험 점수로 단정하지 않는다.</w:t>
      </w:r>
    </w:p>
    <w:p>
      <w:r>
        <w:t>검수 기준: 기한 경과·조치 철회·지적 재개방 시 목록과 상태가 일치하며 미해결 건이 종결 집계에서 제외된다.</w:t>
      </w:r>
    </w:p>
    <w:p>
      <w:r>
        <w:t>화면 UI-X04 · 연계 API-X04 · 데이터 FindingHistory · 권한 권한 있는 담당자</w:t>
      </w:r>
    </w:p>
    <w:p>
      <w:r>
        <w:br w:type="page"/>
      </w:r>
    </w:p>
    <w:p>
      <w:pPr>
        <w:pStyle w:val="Heading2"/>
      </w:pPr>
      <w:r>
        <w:t>SFR 501 신청 유형과 기준 확인</w:t>
      </w:r>
    </w:p>
    <w:p>
      <w:r>
        <w:t>BR05 / X05 / 필수 / W09 / 검수 T-SFR-501</w:t>
      </w:r>
    </w:p>
    <w:p>
      <w:r>
        <w:t>처리 요구: 자격 또는 튜닝 중 선정된 한 신청의 대상·조건·기준 버전을 확인한다. 최종 범위는 서식 5종 이하로 합의하고 적용 권한이 불명확한 유형은 안내만 제공한다.</w:t>
      </w:r>
    </w:p>
    <w:p>
      <w:r>
        <w:t>검수 기준: 동명이인·상충 자격·미등록 신청 유형에서 자동 자격 판정을 내리지 않고 공식 확인 경로를 표시한다.</w:t>
      </w:r>
    </w:p>
    <w:p>
      <w:r>
        <w:t>화면 UI-X05 · 연계 API-X05 · 데이터 ApplicationType · 권한 본인 또는 위임 확인 사용자</w:t>
      </w:r>
    </w:p>
    <w:p>
      <w:pPr>
        <w:pStyle w:val="Heading2"/>
      </w:pPr>
      <w:r>
        <w:t>SFR 502 요건과 준비자료 대응</w:t>
      </w:r>
    </w:p>
    <w:p>
      <w:r>
        <w:t>BR05 / X05 / 필수 / W09 / 검수 T-SFR-502</w:t>
      </w:r>
    </w:p>
    <w:p>
      <w:r>
        <w:t>처리 요구: 사용자 상황과 승인된 요건을 연결해 필수·조건부 준비자료를 제시한다. 조건부 적용 이유와 미확인 항목을 보여준다. 도면의 안전 적합성을 판단하지 않는다.</w:t>
      </w:r>
    </w:p>
    <w:p>
      <w:r>
        <w:t>검수 기준: 예외 요건·면제조건·기준 개정 사례에서 정답표와 준비 목록을 대조하고 모르는 조건을 사용자에게 확인한다.</w:t>
      </w:r>
    </w:p>
    <w:p>
      <w:r>
        <w:t>화면 UI-X05 · 연계 API-X05 · 데이터 RequirementEvidence · 권한 본인 또는 위임 확인 사용자</w:t>
      </w:r>
    </w:p>
    <w:p>
      <w:pPr>
        <w:pStyle w:val="Heading2"/>
      </w:pPr>
      <w:r>
        <w:t>SFR 503 보완과 초안 작성</w:t>
      </w:r>
    </w:p>
    <w:p>
      <w:r>
        <w:t>BR05 / X05 / 필수 / W09 / 검수 T-SFR-503</w:t>
      </w:r>
    </w:p>
    <w:p>
      <w:r>
        <w:t>처리 요구: 전자 텍스트 서류의 누락·상충을 표시하고 수정 제안을 만든다. 원문과 초안을 보존하며 사용자 입력에 없는 경력·사실을 채워 넣지 않는다.</w:t>
      </w:r>
    </w:p>
    <w:p>
      <w:r>
        <w:t>검수 기준: 필수 자료 누락·증빙 불일치·서식 버전 차이를 제시하고, 수정 후 해당 누락 표시만 해소되는지 확인한다.</w:t>
      </w:r>
    </w:p>
    <w:p>
      <w:r>
        <w:t>화면 UI-X05 · 연계 API-X05 · 데이터 ApplicationDraft · 권한 본인 또는 위임 확인 사용자</w:t>
      </w:r>
    </w:p>
    <w:p>
      <w:r>
        <w:br w:type="page"/>
      </w:r>
    </w:p>
    <w:p>
      <w:pPr>
        <w:pStyle w:val="Heading2"/>
      </w:pPr>
      <w:r>
        <w:t>SFR 504 공식 접수와 상태 연결</w:t>
      </w:r>
    </w:p>
    <w:p>
      <w:r>
        <w:t>BR05 / X05 / 필수 / W09 / 검수 T-SFR-504</w:t>
      </w:r>
    </w:p>
    <w:p>
      <w:r>
        <w:t>처리 요구: 승인된 데이터만 공식 신청 채널로 전달하거나 내려받을 수 있게 한다. 접수와 자격·안전 승인 상태를 구분한다. 본 예산은 접수 어댑터 1개를 가정한다.</w:t>
      </w:r>
    </w:p>
    <w:p>
      <w:r>
        <w:t>검수 기준: 접수번호를 받더라도 자격 승인으로 표시하지 않는다. API 부재 시 파일 준비 모드로 범위를 재합의하고 실행 완료를 만들지 않는다.</w:t>
      </w:r>
    </w:p>
    <w:p>
      <w:r>
        <w:t>화면 UI-X05 · 연계 API-X05 · 데이터 ApplicationReceipt · 권한 본인 또는 위임 확인 사용자</w:t>
      </w:r>
    </w:p>
    <w:p>
      <w:pPr>
        <w:pStyle w:val="Heading2"/>
      </w:pPr>
      <w:r>
        <w:t>DAR 001 데이터 품질과 삭제</w:t>
      </w:r>
    </w:p>
    <w:p>
      <w:r>
        <w:t>BR06 / 공통 / 필수 / W02 / 검수 T-DAR-001</w:t>
      </w:r>
    </w:p>
    <w:p>
      <w:r>
        <w:t>처리 요구: 데이터 사전·원천·버전·권한·보존기간·파기 담당을 정의한다. 동의 철회 및 삭제는 원문·검색 색인·캐시·파생 요약에 전파하고 백업은 정해진 수명 이후 제거한다. 보존기간은 TS 기록·개인정보 기준으로 계약 전 확정한다.</w:t>
      </w:r>
    </w:p>
    <w:p>
      <w:r>
        <w:t>검수 기준: 삭제 대상 테스트 ID가 검색·캐시에서 더 이상 조회되지 않으며 보존 예외의 근거와 만료를 감사할 수 있다.</w:t>
      </w:r>
    </w:p>
    <w:p>
      <w:r>
        <w:t>화면 공통 화면 · 연계 공통 계약 · 데이터 업무 및 감사 데이터 · 권한 업무·운영·보안 담당자</w:t>
      </w:r>
    </w:p>
    <w:p>
      <w:pPr>
        <w:pStyle w:val="Heading2"/>
      </w:pPr>
      <w:r>
        <w:t>SER 001 인증과 최소 권한</w:t>
      </w:r>
    </w:p>
    <w:p>
      <w:r>
        <w:t>BR07 / 공통 / 필수 / W03 / 검수 T-SER-001</w:t>
      </w:r>
    </w:p>
    <w:p>
      <w:r>
        <w:t>처리 요구: 기존 본인확인·SSO에 연계하고 사용자·대리인·검토자·관리자·서비스 계정을 분리한다. 모든 문서·사례·API에서 서버 측 권한검사를 수행하고 운영자 원문 열람은 사유를 남긴다.</w:t>
      </w:r>
    </w:p>
    <w:p>
      <w:r>
        <w:t>검수 기준: 직접 URL·다른 ID·검색·다운로드·내보내기 경로의 수평/수직 권한 우회 테스트에서 무권한 노출 0건.</w:t>
      </w:r>
    </w:p>
    <w:p>
      <w:r>
        <w:t>화면 공통 화면 · 연계 공통 계약 · 데이터 업무 및 감사 데이터 · 권한 업무·운영·보안 담당자</w:t>
      </w:r>
    </w:p>
    <w:p>
      <w:r>
        <w:br w:type="page"/>
      </w:r>
    </w:p>
    <w:p>
      <w:pPr>
        <w:pStyle w:val="Heading2"/>
      </w:pPr>
      <w:r>
        <w:t>SER 002 개인정보와 비밀정보</w:t>
      </w:r>
    </w:p>
    <w:p>
      <w:r>
        <w:t>BR07 / 공통 / 필수 / W06,W10 / 검수 T-SER-002</w:t>
      </w:r>
    </w:p>
    <w:p>
      <w:r>
        <w:t>처리 요구: 전송·저장 보호, 인증정보 비밀 저장소 관리, 로그 마스킹, 다운로드 통제를 적용한다. 원문을 모델 학습에 재사용하지 않는 것을 기본으로 하고 별도 적법한 근거·승인 시에만 변경한다.</w:t>
      </w:r>
    </w:p>
    <w:p>
      <w:r>
        <w:t>검수 기준: 개인식별·토큰·비밀번호를 포함한 입력으로 로그·오류·모델 추적을 검사하여 원값 노출 0건. 실제 TLS·저장 암호화 구성을 검수한다.</w:t>
      </w:r>
    </w:p>
    <w:p>
      <w:r>
        <w:t>화면 공통 화면 · 연계 공통 계약 · 데이터 업무 및 감사 데이터 · 권한 업무·운영·보안 담당자</w:t>
      </w:r>
    </w:p>
    <w:p>
      <w:pPr>
        <w:pStyle w:val="Heading2"/>
      </w:pPr>
      <w:r>
        <w:t>SER 003 문서 내 악성 지시 차단</w:t>
      </w:r>
    </w:p>
    <w:p>
      <w:r>
        <w:t>BR07 / 공통 / 필수 / W06,W10 / 검수 T-SER-003</w:t>
      </w:r>
    </w:p>
    <w:p>
      <w:r>
        <w:t>처리 요구: 검색 문서·보고 내용의 지시문은 업무 데이터로 처리한다. 권한 변경·외부 전송·실행 승인 우회는 응용 계층에서 차단하며 패키지 취약점과 라이선스를 관리한다.</w:t>
      </w:r>
    </w:p>
    <w:p>
      <w:r>
        <w:t>검수 기준: 권한 우회·시스템 프롬프트 유출·데이터 외부 반출·임의 도구 실행 공격세트를 수행하고 치명적·높음 결함 미해결 0건을 확인한다.</w:t>
      </w:r>
    </w:p>
    <w:p>
      <w:r>
        <w:t>화면 공통 화면 · 연계 공통 계약 · 데이터 업무 및 감사 데이터 · 권한 업무·운영·보안 담당자</w:t>
      </w:r>
    </w:p>
    <w:p>
      <w:pPr>
        <w:pStyle w:val="Heading2"/>
      </w:pPr>
      <w:r>
        <w:t>PER 001 성능 측정과 자원 규모</w:t>
      </w:r>
    </w:p>
    <w:p>
      <w:r>
        <w:t>BR08 / 공통 / 필수 / W02,W06,W10 / 검수 T-PER-001</w:t>
      </w:r>
    </w:p>
    <w:p>
      <w:r>
        <w:t>처리 요구: 로컬 환경에서 A03 부하와 60분 지속 시험을 수행한다. 비생성 화면/API 자체처리 p95 3초 이내, 생성 첫 표시 p95 8초 이내, 전체 응답 p95 40초 이내를 초안 목표로 한다. 외부 API 대기와 내부 처리를 구분한다.</w:t>
      </w:r>
    </w:p>
    <w:p>
      <w:r>
        <w:t>검수 기준: 요청 8,000 입력/1,000 출력 토큰 이내의 고정 세트로 동시 생성 10건을 시험한다. 부하·모델·GPU·캐시 조건·실패율·p95를 제출하고 목표 미달은 증설/범위 재협의 후 재검수한다.</w:t>
      </w:r>
    </w:p>
    <w:p>
      <w:r>
        <w:t>화면 공통 화면 · 연계 공통 계약 · 데이터 업무 및 감사 데이터 · 권한 업무·운영·보안 담당자</w:t>
      </w:r>
    </w:p>
    <w:p>
      <w:r>
        <w:br w:type="page"/>
      </w:r>
    </w:p>
    <w:p>
      <w:pPr>
        <w:pStyle w:val="Heading2"/>
      </w:pPr>
      <w:r>
        <w:t>PER 002 시간 초과와 대기열</w:t>
      </w:r>
    </w:p>
    <w:p>
      <w:r>
        <w:t>BR08 / 공통 / 필수 / W03,W06,W10 / 검수 T-PER-002</w:t>
      </w:r>
    </w:p>
    <w:p>
      <w:r>
        <w:t>처리 요구: 로컬 생성 60초 경과 시 결과 지연을 표시하고 취소를 제공한다. 큐 길이 상한과 요청별 타임아웃을 설정한다. 외부 쓰기 요청 취소가 원거래 취소를 의미한다고 표시하지 않는다.</w:t>
      </w:r>
    </w:p>
    <w:p>
      <w:r>
        <w:t>검수 기준: 과부하·취소·모델 중단에서도 UI가 응답하고, 재시도 전 진행 상태를 확인하며 승인된 외부 작업이 중복 실행되지 않는다.</w:t>
      </w:r>
    </w:p>
    <w:p>
      <w:r>
        <w:t>화면 공통 화면 · 연계 공통 계약 · 데이터 업무 및 감사 데이터 · 권한 업무·운영·보안 담당자</w:t>
      </w:r>
    </w:p>
    <w:p>
      <w:pPr>
        <w:pStyle w:val="Heading2"/>
      </w:pPr>
      <w:r>
        <w:t>COR 001 복구와 운영 연속성</w:t>
      </w:r>
    </w:p>
    <w:p>
      <w:r>
        <w:t>BR08 / 공통 / 필수 / W06,W10 / 검수 T-COR-001</w:t>
      </w:r>
    </w:p>
    <w:p>
      <w:r>
        <w:t>처리 요구: 서버·모델·색인·업무 데이터의 백업 및 복원 절차와 버전 롤백을 제공한다. RTO 4시간, RPO 24시간은 초기 목표다. 거래 상태는 공식 원장과 재대사하며 보조 DB 유실을 허위 완료로 보정하지 않는다.</w:t>
      </w:r>
    </w:p>
    <w:p>
      <w:r>
        <w:t>검수 기준: 격리 시험환경에서 백업 복원과 이전 버전 재기동 시간을 측정하고 진행중·미확인 거래의 재대사 결과를 제출한다. 단일 서버의 무중단 제공을 보증하지 않는다.</w:t>
      </w:r>
    </w:p>
    <w:p>
      <w:r>
        <w:t>화면 공통 화면 · 연계 공통 계약 · 데이터 업무 및 감사 데이터 · 권한 업무·운영·보안 담당자</w:t>
      </w:r>
    </w:p>
    <w:p>
      <w:pPr>
        <w:pStyle w:val="Heading2"/>
      </w:pPr>
      <w:r>
        <w:t>UIR 001 접근성과 화면 상태</w:t>
      </w:r>
    </w:p>
    <w:p>
      <w:r>
        <w:t>BR09 / 공통 / 필수 / W06,W10 / 검수 T-UIR-001</w:t>
      </w:r>
    </w:p>
    <w:p>
      <w:r>
        <w:t>처리 요구: WCAG 2.2 AA를 목표로 키보드 조작·초점·레이블·오류 안내·200% 확대·모바일 재배치를 제공한다. 로딩·빈 결과·일부 성공·실패·권한 거부·오프라인·미확인을 구별한다.</w:t>
      </w:r>
    </w:p>
    <w:p>
      <w:r>
        <w:t>검수 기준: 대표 업무를 마우스 없이 끝내고 스크린리더로 입력·상태·오류를 확인한다. 360px와 1280px 폭에서 핵심 행동과 근거가 잘리지 않는지 수동 검수한다.</w:t>
      </w:r>
    </w:p>
    <w:p>
      <w:r>
        <w:t>화면 공통 화면 · 연계 공통 계약 · 데이터 업무 및 감사 데이터 · 권한 업무·운영·보안 담당자</w:t>
      </w:r>
    </w:p>
    <w:p>
      <w:r>
        <w:br w:type="page"/>
      </w:r>
    </w:p>
    <w:p>
      <w:pPr>
        <w:pStyle w:val="Heading2"/>
      </w:pPr>
      <w:r>
        <w:t>QUR 001 AI 근거 품질 평가</w:t>
      </w:r>
    </w:p>
    <w:p>
      <w:r>
        <w:t>BR09 / 공통 / 필수 / W02,W06,W10 / 검수 T-QUR-001</w:t>
      </w:r>
    </w:p>
    <w:p>
      <w:r>
        <w:t>처리 요구: 서비스별 100개 업무 사례를 초기 예산으로 확보한다. 정상 60·예외 25·권한/안전 15개를 구성하고 전문가 2인이 불일치를 보존·조정한다. 개발용과 최종 보존 세트를 분리한다.</w:t>
      </w:r>
    </w:p>
    <w:p>
      <w:r>
        <w:t>검수 기준: 필수 사실·기한 보존율 98% 이상, 인용 일치율 95% 이상을 초안 목표로 한다. 검수세트에서 무권한 노출·허위 공식완료·무승인 실행은 0건이어야 한다. 0건을 운영 위험 0으로 해석하지 않는다. 보존율은 필수 사실이 정의된 사례 중 해당 사실을 모두 보존한 사례 비율, 인용 일치율은 인용 요구 사례 중 모든 인용이 원문과 일치한 사례 비율이다. 분모·유보·평가 제외 건수를 별도 보고한다.</w:t>
      </w:r>
    </w:p>
    <w:p>
      <w:r>
        <w:t>화면 공통 화면 · 연계 공통 계약 · 데이터 업무 및 감사 데이터 · 권한 업무·운영·보안 담당자</w:t>
      </w:r>
    </w:p>
    <w:p>
      <w:pPr>
        <w:pStyle w:val="Heading2"/>
      </w:pPr>
      <w:r>
        <w:t>QUR 002 비AI 대비 이용성 검증</w:t>
      </w:r>
    </w:p>
    <w:p>
      <w:r>
        <w:t>BR09 / 공통 / 필수 / W06,W10 / 검수 T-QUR-002</w:t>
      </w:r>
    </w:p>
    <w:p>
      <w:r>
        <w:t>처리 요구: 표준 안내·필터·체크리스트를 비교안으로 유지한다. 서비스별 최소 12명 예비 이용자에게 순서를 교차 배정하고 완료·시간·오류·이해도를 관찰한다. 고령·접근성 수요를 포함한다.</w:t>
      </w:r>
    </w:p>
    <w:p>
      <w:r>
        <w:t>검수 기준: 시험 결과와 사례별 실패를 제출한다. 우월성·사고감소를 통계적으로 보장하지 않으며 명확한 추가 가치가 없으면 해당 AI 기능을 유보·축소한다. 최종 표본은 예비 결과 후 정한다.</w:t>
      </w:r>
    </w:p>
    <w:p>
      <w:r>
        <w:t>화면 공통 화면 · 연계 공통 계약 · 데이터 업무 및 감사 데이터 · 권한 업무·운영·보안 담당자</w:t>
      </w:r>
    </w:p>
    <w:p>
      <w:pPr>
        <w:pStyle w:val="Heading2"/>
      </w:pPr>
      <w:r>
        <w:t>TER 001 시험과 요구 추적</w:t>
      </w:r>
    </w:p>
    <w:p>
      <w:r>
        <w:t>BR10 / 공통 / 필수 / W06,W10 / 검수 T-TER-001</w:t>
      </w:r>
    </w:p>
    <w:p>
      <w:r>
        <w:t>처리 요구: 모든 ID를 화면·API·데이터·코드·시험 증거에 연결한다. 단위·계약·통합·권한·사용자 인수시험을 구분하고 실패 건과 재시험 기록을 보존한다.</w:t>
      </w:r>
    </w:p>
    <w:p>
      <w:r>
        <w:t>검수 기준: 요구 누락 0건, 계약 범위 필수 시험 미수행 0건, 치명적/높음 결함 미해결 0건. 경미한 결함은 발주기관이 기한·책임을 승인한다.</w:t>
      </w:r>
    </w:p>
    <w:p>
      <w:r>
        <w:t>화면 공통 화면 · 연계 공통 계약 · 데이터 업무 및 감사 데이터 · 권한 업무·운영·보안 담당자</w:t>
      </w:r>
    </w:p>
    <w:p>
      <w:r>
        <w:br w:type="page"/>
      </w:r>
    </w:p>
    <w:p>
      <w:pPr>
        <w:pStyle w:val="Heading2"/>
      </w:pPr>
      <w:r>
        <w:t>PMR 001 사업과 중복 범위 확정</w:t>
      </w:r>
    </w:p>
    <w:p>
      <w:r>
        <w:t>BR10 / 공통 / 필수 / W01 / 검수 T-PMR-001</w:t>
      </w:r>
    </w:p>
    <w:p>
      <w:r>
        <w:t>처리 요구: 최종 계약·기존 요구사항·변경합의·실제 기능을 대조하여 신규·재사용·제외를 확정한다. 업무 소관·위임·위탁·담당조직·근거 시행일을 TS와 확인한다. 미확정 업무는 개발 착수 대상에서 분리한다.</w:t>
      </w:r>
    </w:p>
    <w:p>
      <w:r>
        <w:t>검수 기준: X01~X05별 비중복 표와 권한 책임표에 업무 담당자 확인이 있고, 중복 기능은 요구·WBS·예산에서 함께 제외된다.</w:t>
      </w:r>
    </w:p>
    <w:p>
      <w:r>
        <w:t>화면 공통 화면 · 연계 공통 계약 · 데이터 업무 및 감사 데이터 · 권한 업무·운영·보안 담당자</w:t>
      </w:r>
    </w:p>
    <w:p>
      <w:pPr>
        <w:pStyle w:val="Heading2"/>
      </w:pPr>
      <w:r>
        <w:t>PMR 002 단계와 변경 관리</w:t>
      </w:r>
    </w:p>
    <w:p>
      <w:r>
        <w:t>BR10 / 공통 / 필수 / W01,W10 / 검수 T-PMR-002</w:t>
      </w:r>
    </w:p>
    <w:p>
      <w:r>
        <w:t>처리 요구: 1단계 8개월·2단계 6개월 가정에 따라 월별 산출물을 제출한다. 범위·데이터·API·성능 변경은 비용·일정·시험 영향을 기록하고 계약상 변경 절차로 확정한다.</w:t>
      </w:r>
    </w:p>
    <w:p>
      <w:r>
        <w:t>검수 기준: WBS·위험·이슈·변경대장과 요구사항 버전이 일치한다. 불확실한 외부 API를 확보된 것으로 보고하지 않는다.</w:t>
      </w:r>
    </w:p>
    <w:p>
      <w:r>
        <w:t>화면 공통 화면 · 연계 공통 계약 · 데이터 업무 및 감사 데이터 · 권한 업무·운영·보안 담당자</w:t>
      </w:r>
    </w:p>
    <w:p>
      <w:pPr>
        <w:pStyle w:val="Heading2"/>
      </w:pPr>
      <w:r>
        <w:t>PMR 003 인수와 지식재산</w:t>
      </w:r>
    </w:p>
    <w:p>
      <w:r>
        <w:t>BR10 / 공통 / 필수 / W06,W10 / 검수 T-PMR-003</w:t>
      </w:r>
    </w:p>
    <w:p>
      <w:r>
        <w:t>처리 요구: 설계·소스·설정·규칙·프롬프트·평가세트·API 계약·SBOM·운영 매뉴얼을 계약상 권리 범위와 함께 인계한다. 기존 자산과 신규 산출물의 소유·수정·재사용·유지보수 권리를 구분한다.</w:t>
      </w:r>
    </w:p>
    <w:p>
      <w:r>
        <w:t>검수 기준: 깨끗한 검수환경에서 전달 패키지로 재설치·복구가 가능하고, 라이선스 만료·계약 종료 시 데이터·근거·상태를 표준 형식으로 반출한다.</w:t>
      </w:r>
    </w:p>
    <w:p>
      <w:r>
        <w:t>화면 공통 화면 · 연계 공통 계약 · 데이터 업무 및 감사 데이터 · 권한 업무·운영·보안 담당자</w:t>
      </w:r>
    </w:p>
    <w:p>
      <w:r>
        <w:br w:type="page"/>
      </w:r>
    </w:p>
    <w:p>
      <w:pPr>
        <w:pStyle w:val="Heading2"/>
      </w:pPr>
      <w:r>
        <w:t>PMR 004 교육과 운영 책임</w:t>
      </w:r>
    </w:p>
    <w:p>
      <w:r>
        <w:t>BR10 / 공통 / 필수 / W06,W10 / 검수 T-PMR-004</w:t>
      </w:r>
    </w:p>
    <w:p>
      <w:r>
        <w:t>처리 요구: 사용자·검토자·기준 관리자·운영자를 대상으로 단계별 교육 4회와 4주 시범운영을 수행한다. 근무시간 지원·장애 등급·연락망·권한·규칙 갱신 책임과 유상 운영/하자 책임 경계를 정한다.</w:t>
      </w:r>
    </w:p>
    <w:p>
      <w:r>
        <w:t>검수 기준: 운영 담당자가 근거 갱신·사용자 정정·실패 재개·백업 복구를 시연한다. 인력 감축 환산을 성과지표로 사용하지 않는다.</w:t>
      </w:r>
    </w:p>
    <w:p>
      <w:r>
        <w:t>화면 공통 화면 · 연계 공통 계약 · 데이터 업무 및 감사 데이터 · 권한 업무·운영·보안 담당자</w:t>
      </w:r>
    </w:p>
    <w:p>
      <w:r>
        <w:br w:type="page"/>
      </w:r>
    </w:p>
    <w:p>
      <w:pPr>
        <w:pStyle w:val="Heading1"/>
      </w:pPr>
      <w:r>
        <w:t>화면 정의와 사용자 흐름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494"/>
        <w:gridCol w:w="6123"/>
      </w:tblGrid>
      <w:tr>
        <w:trPr>
          <w:cantSplit/>
          <w:tblHeader/>
        </w:trPr>
        <w:tc>
          <w:tcPr>
            <w:tcW w:type="dxa" w:w="1247"/>
            <w:shd w:fill="223E52"/>
            <w:tcMar>
              <w:top w:w="85" w:type="dxa"/>
              <w:left w:w="85" w:type="dxa"/>
              <w:bottom w:w="85" w:type="dxa"/>
              <w:right w:w="85" w:type="dxa"/>
            </w:tcMar>
          </w:tcPr>
          <w:p>
            <w:pPr>
              <w:spacing w:after="40" w:line="252" w:lineRule="auto"/>
            </w:pPr>
            <w:r>
              <w:rPr>
                <w:b/>
                <w:color w:val="FFFFFF"/>
                <w:sz w:val="18"/>
              </w:rPr>
              <w:t>화면</w:t>
            </w:r>
          </w:p>
        </w:tc>
        <w:tc>
          <w:tcPr>
            <w:tcW w:type="dxa" w:w="2494"/>
            <w:shd w:fill="223E52"/>
            <w:tcMar>
              <w:top w:w="85" w:type="dxa"/>
              <w:left w:w="85" w:type="dxa"/>
              <w:bottom w:w="85" w:type="dxa"/>
              <w:right w:w="85" w:type="dxa"/>
            </w:tcMar>
          </w:tcPr>
          <w:p>
            <w:pPr>
              <w:spacing w:after="40" w:line="252" w:lineRule="auto"/>
            </w:pPr>
            <w:r>
              <w:rPr>
                <w:b/>
                <w:color w:val="FFFFFF"/>
                <w:sz w:val="18"/>
              </w:rPr>
              <w:t>목적</w:t>
            </w:r>
          </w:p>
        </w:tc>
        <w:tc>
          <w:tcPr>
            <w:tcW w:type="dxa" w:w="6123"/>
            <w:shd w:fill="223E52"/>
            <w:tcMar>
              <w:top w:w="85" w:type="dxa"/>
              <w:left w:w="85" w:type="dxa"/>
              <w:bottom w:w="85" w:type="dxa"/>
              <w:right w:w="85" w:type="dxa"/>
            </w:tcMar>
          </w:tcPr>
          <w:p>
            <w:pPr>
              <w:spacing w:after="40" w:line="252" w:lineRule="auto"/>
            </w:pPr>
            <w:r>
              <w:rPr>
                <w:b/>
                <w:color w:val="FFFFFF"/>
                <w:sz w:val="18"/>
              </w:rPr>
              <w:t>기본 흐름</w:t>
            </w:r>
          </w:p>
        </w:tc>
      </w:tr>
      <w:tr>
        <w:trPr>
          <w:cantSplit/>
        </w:trPr>
        <w:tc>
          <w:tcPr>
            <w:tcW w:type="dxa" w:w="1247"/>
            <w:shd w:fill="FFFFFF"/>
            <w:tcMar>
              <w:top w:w="85" w:type="dxa"/>
              <w:left w:w="85" w:type="dxa"/>
              <w:bottom w:w="85" w:type="dxa"/>
              <w:right w:w="85" w:type="dxa"/>
            </w:tcMar>
          </w:tcPr>
          <w:p>
            <w:pPr>
              <w:spacing w:after="40" w:line="252" w:lineRule="auto"/>
            </w:pPr>
            <w:r>
              <w:rPr>
                <w:b w:val="0"/>
                <w:color w:val="172B39"/>
                <w:sz w:val="18"/>
              </w:rPr>
              <w:t>UI-C</w:t>
            </w:r>
          </w:p>
        </w:tc>
        <w:tc>
          <w:tcPr>
            <w:tcW w:type="dxa" w:w="2494"/>
            <w:shd w:fill="FFFFFF"/>
            <w:tcMar>
              <w:top w:w="85" w:type="dxa"/>
              <w:left w:w="85" w:type="dxa"/>
              <w:bottom w:w="85" w:type="dxa"/>
              <w:right w:w="85" w:type="dxa"/>
            </w:tcMar>
          </w:tcPr>
          <w:p>
            <w:pPr>
              <w:spacing w:after="40" w:line="252" w:lineRule="auto"/>
            </w:pPr>
            <w:r>
              <w:rPr>
                <w:b w:val="0"/>
                <w:color w:val="172B39"/>
                <w:sz w:val="18"/>
              </w:rPr>
              <w:t>공통 사례와 근거</w:t>
            </w:r>
          </w:p>
        </w:tc>
        <w:tc>
          <w:tcPr>
            <w:tcW w:type="dxa" w:w="6123"/>
            <w:shd w:fill="FFFFFF"/>
            <w:tcMar>
              <w:top w:w="85" w:type="dxa"/>
              <w:left w:w="85" w:type="dxa"/>
              <w:bottom w:w="85" w:type="dxa"/>
              <w:right w:w="85" w:type="dxa"/>
            </w:tcMar>
          </w:tcPr>
          <w:p>
            <w:pPr>
              <w:spacing w:after="40" w:line="252" w:lineRule="auto"/>
            </w:pPr>
            <w:r>
              <w:rPr>
                <w:b w:val="0"/>
                <w:color w:val="172B39"/>
                <w:sz w:val="18"/>
              </w:rPr>
              <w:t>사례 권한 확인 → 입력 → 근거/정정 → 승인 → 처리 상태. 근거 열기는 현재 입력 유지.</w:t>
            </w:r>
          </w:p>
        </w:tc>
      </w:tr>
      <w:tr>
        <w:trPr>
          <w:cantSplit/>
        </w:trPr>
        <w:tc>
          <w:tcPr>
            <w:tcW w:type="dxa" w:w="1247"/>
            <w:shd w:fill="F1F5F7"/>
            <w:tcMar>
              <w:top w:w="85" w:type="dxa"/>
              <w:left w:w="85" w:type="dxa"/>
              <w:bottom w:w="85" w:type="dxa"/>
              <w:right w:w="85" w:type="dxa"/>
            </w:tcMar>
          </w:tcPr>
          <w:p>
            <w:pPr>
              <w:spacing w:after="40" w:line="252" w:lineRule="auto"/>
            </w:pPr>
            <w:r>
              <w:rPr>
                <w:b w:val="0"/>
                <w:color w:val="172B39"/>
                <w:sz w:val="18"/>
              </w:rPr>
              <w:t>UI-A</w:t>
            </w:r>
          </w:p>
        </w:tc>
        <w:tc>
          <w:tcPr>
            <w:tcW w:type="dxa" w:w="2494"/>
            <w:shd w:fill="F1F5F7"/>
            <w:tcMar>
              <w:top w:w="85" w:type="dxa"/>
              <w:left w:w="85" w:type="dxa"/>
              <w:bottom w:w="85" w:type="dxa"/>
              <w:right w:w="85" w:type="dxa"/>
            </w:tcMar>
          </w:tcPr>
          <w:p>
            <w:pPr>
              <w:spacing w:after="40" w:line="252" w:lineRule="auto"/>
            </w:pPr>
            <w:r>
              <w:rPr>
                <w:b w:val="0"/>
                <w:color w:val="172B39"/>
                <w:sz w:val="18"/>
              </w:rPr>
              <w:t>기준과 운영 관리</w:t>
            </w:r>
          </w:p>
        </w:tc>
        <w:tc>
          <w:tcPr>
            <w:tcW w:type="dxa" w:w="6123"/>
            <w:shd w:fill="F1F5F7"/>
            <w:tcMar>
              <w:top w:w="85" w:type="dxa"/>
              <w:left w:w="85" w:type="dxa"/>
              <w:bottom w:w="85" w:type="dxa"/>
              <w:right w:w="85" w:type="dxa"/>
            </w:tcMar>
          </w:tcPr>
          <w:p>
            <w:pPr>
              <w:spacing w:after="40" w:line="252" w:lineRule="auto"/>
            </w:pPr>
            <w:r>
              <w:rPr>
                <w:b w:val="0"/>
                <w:color w:val="172B39"/>
                <w:sz w:val="18"/>
              </w:rPr>
              <w:t>편집자 초안 → 별도 승인 → 버전 활성 → 영향 확인. 일반 이용자 접근 차단.</w:t>
            </w:r>
          </w:p>
        </w:tc>
      </w:tr>
      <w:tr>
        <w:trPr>
          <w:cantSplit/>
        </w:trPr>
        <w:tc>
          <w:tcPr>
            <w:tcW w:type="dxa" w:w="1247"/>
            <w:shd w:fill="FFFFFF"/>
            <w:tcMar>
              <w:top w:w="85" w:type="dxa"/>
              <w:left w:w="85" w:type="dxa"/>
              <w:bottom w:w="85" w:type="dxa"/>
              <w:right w:w="85" w:type="dxa"/>
            </w:tcMar>
          </w:tcPr>
          <w:p>
            <w:pPr>
              <w:spacing w:after="40" w:line="252" w:lineRule="auto"/>
            </w:pPr>
            <w:r>
              <w:rPr>
                <w:b w:val="0"/>
                <w:color w:val="172B39"/>
                <w:sz w:val="18"/>
              </w:rPr>
              <w:t>UI-X01</w:t>
            </w:r>
          </w:p>
        </w:tc>
        <w:tc>
          <w:tcPr>
            <w:tcW w:type="dxa" w:w="2494"/>
            <w:shd w:fill="FFFFFF"/>
            <w:tcMar>
              <w:top w:w="85" w:type="dxa"/>
              <w:left w:w="85" w:type="dxa"/>
              <w:bottom w:w="85" w:type="dxa"/>
              <w:right w:w="85" w:type="dxa"/>
            </w:tcMar>
          </w:tcPr>
          <w:p>
            <w:pPr>
              <w:spacing w:after="40" w:line="252" w:lineRule="auto"/>
            </w:pPr>
            <w:r>
              <w:rPr>
                <w:b w:val="0"/>
                <w:color w:val="172B39"/>
                <w:sz w:val="18"/>
              </w:rPr>
              <w:t>예약 조건과 가능 시간</w:t>
            </w:r>
          </w:p>
        </w:tc>
        <w:tc>
          <w:tcPr>
            <w:tcW w:type="dxa" w:w="6123"/>
            <w:shd w:fill="FFFFFF"/>
            <w:tcMar>
              <w:top w:w="85" w:type="dxa"/>
              <w:left w:w="85" w:type="dxa"/>
              <w:bottom w:w="85" w:type="dxa"/>
              <w:right w:w="85" w:type="dxa"/>
            </w:tcMar>
          </w:tcPr>
          <w:p>
            <w:pPr>
              <w:spacing w:after="40" w:line="252" w:lineRule="auto"/>
            </w:pPr>
            <w:r>
              <w:rPr>
                <w:b w:val="0"/>
                <w:color w:val="172B39"/>
                <w:sz w:val="18"/>
              </w:rPr>
              <w:t>조건 확인 → 같은 화면에서 날짜/검사소/마감 비교 → 최종 확인 → 공식 결과.</w:t>
            </w:r>
          </w:p>
        </w:tc>
      </w:tr>
      <w:tr>
        <w:trPr>
          <w:cantSplit/>
        </w:trPr>
        <w:tc>
          <w:tcPr>
            <w:tcW w:type="dxa" w:w="1247"/>
            <w:shd w:fill="F1F5F7"/>
            <w:tcMar>
              <w:top w:w="85" w:type="dxa"/>
              <w:left w:w="85" w:type="dxa"/>
              <w:bottom w:w="85" w:type="dxa"/>
              <w:right w:w="85" w:type="dxa"/>
            </w:tcMar>
          </w:tcPr>
          <w:p>
            <w:pPr>
              <w:spacing w:after="40" w:line="252" w:lineRule="auto"/>
            </w:pPr>
            <w:r>
              <w:rPr>
                <w:b w:val="0"/>
                <w:color w:val="172B39"/>
                <w:sz w:val="18"/>
              </w:rPr>
              <w:t>UI-X02</w:t>
            </w:r>
          </w:p>
        </w:tc>
        <w:tc>
          <w:tcPr>
            <w:tcW w:type="dxa" w:w="2494"/>
            <w:shd w:fill="F1F5F7"/>
            <w:tcMar>
              <w:top w:w="85" w:type="dxa"/>
              <w:left w:w="85" w:type="dxa"/>
              <w:bottom w:w="85" w:type="dxa"/>
              <w:right w:w="85" w:type="dxa"/>
            </w:tcMar>
          </w:tcPr>
          <w:p>
            <w:pPr>
              <w:spacing w:after="40" w:line="252" w:lineRule="auto"/>
            </w:pPr>
            <w:r>
              <w:rPr>
                <w:b w:val="0"/>
                <w:color w:val="172B39"/>
                <w:sz w:val="18"/>
              </w:rPr>
              <w:t>결과와 행동 목록</w:t>
            </w:r>
          </w:p>
        </w:tc>
        <w:tc>
          <w:tcPr>
            <w:tcW w:type="dxa" w:w="6123"/>
            <w:shd w:fill="F1F5F7"/>
            <w:tcMar>
              <w:top w:w="85" w:type="dxa"/>
              <w:left w:w="85" w:type="dxa"/>
              <w:bottom w:w="85" w:type="dxa"/>
              <w:right w:w="85" w:type="dxa"/>
            </w:tcMar>
          </w:tcPr>
          <w:p>
            <w:pPr>
              <w:spacing w:after="40" w:line="252" w:lineRule="auto"/>
            </w:pPr>
            <w:r>
              <w:rPr>
                <w:b w:val="0"/>
                <w:color w:val="172B39"/>
                <w:sz w:val="18"/>
              </w:rPr>
              <w:t>본인 결과 → 쉬운 설명과 원문 → 필수/권고/확인 → 출처별 조치 상태.</w:t>
            </w:r>
          </w:p>
        </w:tc>
      </w:tr>
      <w:tr>
        <w:trPr>
          <w:cantSplit/>
        </w:trPr>
        <w:tc>
          <w:tcPr>
            <w:tcW w:type="dxa" w:w="1247"/>
            <w:shd w:fill="FFFFFF"/>
            <w:tcMar>
              <w:top w:w="85" w:type="dxa"/>
              <w:left w:w="85" w:type="dxa"/>
              <w:bottom w:w="85" w:type="dxa"/>
              <w:right w:w="85" w:type="dxa"/>
            </w:tcMar>
          </w:tcPr>
          <w:p>
            <w:pPr>
              <w:spacing w:after="40" w:line="252" w:lineRule="auto"/>
            </w:pPr>
            <w:r>
              <w:rPr>
                <w:b w:val="0"/>
                <w:color w:val="172B39"/>
                <w:sz w:val="18"/>
              </w:rPr>
              <w:t>UI-X03</w:t>
            </w:r>
          </w:p>
        </w:tc>
        <w:tc>
          <w:tcPr>
            <w:tcW w:type="dxa" w:w="2494"/>
            <w:shd w:fill="FFFFFF"/>
            <w:tcMar>
              <w:top w:w="85" w:type="dxa"/>
              <w:left w:w="85" w:type="dxa"/>
              <w:bottom w:w="85" w:type="dxa"/>
              <w:right w:w="85" w:type="dxa"/>
            </w:tcMar>
          </w:tcPr>
          <w:p>
            <w:pPr>
              <w:spacing w:after="40" w:line="252" w:lineRule="auto"/>
            </w:pPr>
            <w:r>
              <w:rPr>
                <w:b w:val="0"/>
                <w:color w:val="172B39"/>
                <w:sz w:val="18"/>
              </w:rPr>
              <w:t>보고 작성과 원문 비교</w:t>
            </w:r>
          </w:p>
        </w:tc>
        <w:tc>
          <w:tcPr>
            <w:tcW w:type="dxa" w:w="6123"/>
            <w:shd w:fill="FFFFFF"/>
            <w:tcMar>
              <w:top w:w="85" w:type="dxa"/>
              <w:left w:w="85" w:type="dxa"/>
              <w:bottom w:w="85" w:type="dxa"/>
              <w:right w:w="85" w:type="dxa"/>
            </w:tcMar>
          </w:tcPr>
          <w:p>
            <w:pPr>
              <w:spacing w:after="40" w:line="252" w:lineRule="auto"/>
            </w:pPr>
            <w:r>
              <w:rPr>
                <w:b w:val="0"/>
                <w:color w:val="172B39"/>
                <w:sz w:val="18"/>
              </w:rPr>
              <w:t>사실/추정 확인 → 중립 질문 → 변경 비교 → 작성자 승인 → 접수번호.</w:t>
            </w:r>
          </w:p>
        </w:tc>
      </w:tr>
      <w:tr>
        <w:trPr>
          <w:cantSplit/>
        </w:trPr>
        <w:tc>
          <w:tcPr>
            <w:tcW w:type="dxa" w:w="1247"/>
            <w:shd w:fill="F1F5F7"/>
            <w:tcMar>
              <w:top w:w="85" w:type="dxa"/>
              <w:left w:w="85" w:type="dxa"/>
              <w:bottom w:w="85" w:type="dxa"/>
              <w:right w:w="85" w:type="dxa"/>
            </w:tcMar>
          </w:tcPr>
          <w:p>
            <w:pPr>
              <w:spacing w:after="40" w:line="252" w:lineRule="auto"/>
            </w:pPr>
            <w:r>
              <w:rPr>
                <w:b w:val="0"/>
                <w:color w:val="172B39"/>
                <w:sz w:val="18"/>
              </w:rPr>
              <w:t>UI-X04</w:t>
            </w:r>
          </w:p>
        </w:tc>
        <w:tc>
          <w:tcPr>
            <w:tcW w:type="dxa" w:w="2494"/>
            <w:shd w:fill="F1F5F7"/>
            <w:tcMar>
              <w:top w:w="85" w:type="dxa"/>
              <w:left w:w="85" w:type="dxa"/>
              <w:bottom w:w="85" w:type="dxa"/>
              <w:right w:w="85" w:type="dxa"/>
            </w:tcMar>
          </w:tcPr>
          <w:p>
            <w:pPr>
              <w:spacing w:after="40" w:line="252" w:lineRule="auto"/>
            </w:pPr>
            <w:r>
              <w:rPr>
                <w:b w:val="0"/>
                <w:color w:val="172B39"/>
                <w:sz w:val="18"/>
              </w:rPr>
              <w:t>지적과 조치 증빙</w:t>
            </w:r>
          </w:p>
        </w:tc>
        <w:tc>
          <w:tcPr>
            <w:tcW w:type="dxa" w:w="6123"/>
            <w:shd w:fill="F1F5F7"/>
            <w:tcMar>
              <w:top w:w="85" w:type="dxa"/>
              <w:left w:w="85" w:type="dxa"/>
              <w:bottom w:w="85" w:type="dxa"/>
              <w:right w:w="85" w:type="dxa"/>
            </w:tcMar>
          </w:tcPr>
          <w:p>
            <w:pPr>
              <w:spacing w:after="40" w:line="252" w:lineRule="auto"/>
            </w:pPr>
            <w:r>
              <w:rPr>
                <w:b w:val="0"/>
                <w:color w:val="172B39"/>
                <w:sz w:val="18"/>
              </w:rPr>
              <w:t>지적 선택 → 증빙 대응 → 불충분 사유 → 권한자 검토 → 보완 또는 행정 종결.</w:t>
            </w:r>
          </w:p>
        </w:tc>
      </w:tr>
      <w:tr>
        <w:trPr>
          <w:cantSplit/>
        </w:trPr>
        <w:tc>
          <w:tcPr>
            <w:tcW w:type="dxa" w:w="1247"/>
            <w:shd w:fill="FFFFFF"/>
            <w:tcMar>
              <w:top w:w="85" w:type="dxa"/>
              <w:left w:w="85" w:type="dxa"/>
              <w:bottom w:w="85" w:type="dxa"/>
              <w:right w:w="85" w:type="dxa"/>
            </w:tcMar>
          </w:tcPr>
          <w:p>
            <w:pPr>
              <w:spacing w:after="40" w:line="252" w:lineRule="auto"/>
            </w:pPr>
            <w:r>
              <w:rPr>
                <w:b w:val="0"/>
                <w:color w:val="172B39"/>
                <w:sz w:val="18"/>
              </w:rPr>
              <w:t>UI-X05</w:t>
            </w:r>
          </w:p>
        </w:tc>
        <w:tc>
          <w:tcPr>
            <w:tcW w:type="dxa" w:w="2494"/>
            <w:shd w:fill="FFFFFF"/>
            <w:tcMar>
              <w:top w:w="85" w:type="dxa"/>
              <w:left w:w="85" w:type="dxa"/>
              <w:bottom w:w="85" w:type="dxa"/>
              <w:right w:w="85" w:type="dxa"/>
            </w:tcMar>
          </w:tcPr>
          <w:p>
            <w:pPr>
              <w:spacing w:after="40" w:line="252" w:lineRule="auto"/>
            </w:pPr>
            <w:r>
              <w:rPr>
                <w:b w:val="0"/>
                <w:color w:val="172B39"/>
                <w:sz w:val="18"/>
              </w:rPr>
              <w:t>신청 준비와 보완</w:t>
            </w:r>
          </w:p>
        </w:tc>
        <w:tc>
          <w:tcPr>
            <w:tcW w:type="dxa" w:w="6123"/>
            <w:shd w:fill="FFFFFF"/>
            <w:tcMar>
              <w:top w:w="85" w:type="dxa"/>
              <w:left w:w="85" w:type="dxa"/>
              <w:bottom w:w="85" w:type="dxa"/>
              <w:right w:w="85" w:type="dxa"/>
            </w:tcMar>
          </w:tcPr>
          <w:p>
            <w:pPr>
              <w:spacing w:after="40" w:line="252" w:lineRule="auto"/>
            </w:pPr>
            <w:r>
              <w:rPr>
                <w:b w:val="0"/>
                <w:color w:val="172B39"/>
                <w:sz w:val="18"/>
              </w:rPr>
              <w:t>유형 확인 → 조건별 요건 → 누락/상충 → 초안 확인 → 공식 접수 상태.</w:t>
            </w:r>
          </w:p>
        </w:tc>
      </w:tr>
    </w:tbl>
    <w:p>
      <w:r>
        <w:t>모든 화면은 로딩 중 중복 실행을 막되 취소·상태조회는 제공한다. 빈 결과와 시스템 오류를 구별하고 입력 오류는 해당 필드·초점·해결 방법을 제시한다. 일부 성공은 성공 항목과 재시도 항목을 분리한다. 재시도는 조회부터 수행하며 외부 제출은 승인·중복 제어를 거친다. 모바일은 단일 열, 근거는 펼침 방식으로 제공하고 뒤로 이동 시 입력을 유지한다.</w:t>
      </w:r>
    </w:p>
    <w:p>
      <w:pPr>
        <w:pStyle w:val="Heading2"/>
      </w:pPr>
      <w:r>
        <w:t>업무 상태</w:t>
      </w:r>
    </w:p>
    <w:p>
      <w:r>
        <w:t>초안 → 검토중 → 승인대기 → 요청중 → 공식완료 / 실패 / 결과미확인. 반려는 초안으로 돌아가 새 버전을 만든다. 결과미확인은 공식 상태 대사로만 해소한다. X04의 증빙 수리와 X05의 접수완료는 안전·자격의 최종 승인 상태와 별개다.</w:t>
      </w:r>
    </w:p>
    <w:p>
      <w:r>
        <w:br w:type="page"/>
      </w:r>
    </w:p>
    <w:p>
      <w:pPr>
        <w:pStyle w:val="Heading1"/>
      </w:pPr>
      <w:r>
        <w:t>인터페이스와 데이터 계약</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1984"/>
        <w:gridCol w:w="6576"/>
      </w:tblGrid>
      <w:tr>
        <w:trPr>
          <w:cantSplit/>
          <w:tblHeader/>
        </w:trPr>
        <w:tc>
          <w:tcPr>
            <w:tcW w:type="dxa" w:w="1304"/>
            <w:shd w:fill="223E52"/>
            <w:tcMar>
              <w:top w:w="85" w:type="dxa"/>
              <w:left w:w="85" w:type="dxa"/>
              <w:bottom w:w="85" w:type="dxa"/>
              <w:right w:w="85" w:type="dxa"/>
            </w:tcMar>
          </w:tcPr>
          <w:p>
            <w:pPr>
              <w:spacing w:after="40" w:line="252" w:lineRule="auto"/>
            </w:pPr>
            <w:r>
              <w:rPr>
                <w:b/>
                <w:color w:val="FFFFFF"/>
                <w:sz w:val="18"/>
              </w:rPr>
              <w:t>ID</w:t>
            </w:r>
          </w:p>
        </w:tc>
        <w:tc>
          <w:tcPr>
            <w:tcW w:type="dxa" w:w="1984"/>
            <w:shd w:fill="223E52"/>
            <w:tcMar>
              <w:top w:w="85" w:type="dxa"/>
              <w:left w:w="85" w:type="dxa"/>
              <w:bottom w:w="85" w:type="dxa"/>
              <w:right w:w="85" w:type="dxa"/>
            </w:tcMar>
          </w:tcPr>
          <w:p>
            <w:pPr>
              <w:spacing w:after="40" w:line="252" w:lineRule="auto"/>
            </w:pPr>
            <w:r>
              <w:rPr>
                <w:b/>
                <w:color w:val="FFFFFF"/>
                <w:sz w:val="18"/>
              </w:rPr>
              <w:t>대상</w:t>
            </w:r>
          </w:p>
        </w:tc>
        <w:tc>
          <w:tcPr>
            <w:tcW w:type="dxa" w:w="6576"/>
            <w:shd w:fill="223E52"/>
            <w:tcMar>
              <w:top w:w="85" w:type="dxa"/>
              <w:left w:w="85" w:type="dxa"/>
              <w:bottom w:w="85" w:type="dxa"/>
              <w:right w:w="85" w:type="dxa"/>
            </w:tcMar>
          </w:tcPr>
          <w:p>
            <w:pPr>
              <w:spacing w:after="40" w:line="252" w:lineRule="auto"/>
            </w:pPr>
            <w:r>
              <w:rPr>
                <w:b/>
                <w:color w:val="FFFFFF"/>
                <w:sz w:val="18"/>
              </w:rPr>
              <w:t>요청과 응답 핵심 필드</w:t>
            </w:r>
          </w:p>
        </w:tc>
      </w:tr>
      <w:tr>
        <w:trPr>
          <w:cantSplit/>
        </w:trPr>
        <w:tc>
          <w:tcPr>
            <w:tcW w:type="dxa" w:w="1304"/>
            <w:shd w:fill="FFFFFF"/>
            <w:tcMar>
              <w:top w:w="85" w:type="dxa"/>
              <w:left w:w="85" w:type="dxa"/>
              <w:bottom w:w="85" w:type="dxa"/>
              <w:right w:w="85" w:type="dxa"/>
            </w:tcMar>
          </w:tcPr>
          <w:p>
            <w:pPr>
              <w:spacing w:after="40" w:line="252" w:lineRule="auto"/>
            </w:pPr>
            <w:r>
              <w:rPr>
                <w:b w:val="0"/>
                <w:color w:val="172B39"/>
                <w:sz w:val="18"/>
              </w:rPr>
              <w:t>API-C01</w:t>
            </w:r>
          </w:p>
        </w:tc>
        <w:tc>
          <w:tcPr>
            <w:tcW w:type="dxa" w:w="1984"/>
            <w:shd w:fill="FFFFFF"/>
            <w:tcMar>
              <w:top w:w="85" w:type="dxa"/>
              <w:left w:w="85" w:type="dxa"/>
              <w:bottom w:w="85" w:type="dxa"/>
              <w:right w:w="85" w:type="dxa"/>
            </w:tcMar>
          </w:tcPr>
          <w:p>
            <w:pPr>
              <w:spacing w:after="40" w:line="252" w:lineRule="auto"/>
            </w:pPr>
            <w:r>
              <w:rPr>
                <w:b w:val="0"/>
                <w:color w:val="172B39"/>
                <w:sz w:val="18"/>
              </w:rPr>
              <w:t>로컬 호출</w:t>
            </w:r>
          </w:p>
        </w:tc>
        <w:tc>
          <w:tcPr>
            <w:tcW w:type="dxa" w:w="6576"/>
            <w:shd w:fill="FFFFFF"/>
            <w:tcMar>
              <w:top w:w="85" w:type="dxa"/>
              <w:left w:w="85" w:type="dxa"/>
              <w:bottom w:w="85" w:type="dxa"/>
              <w:right w:w="85" w:type="dxa"/>
            </w:tcMar>
          </w:tcPr>
          <w:p>
            <w:pPr>
              <w:spacing w:after="40" w:line="252" w:lineRule="auto"/>
            </w:pPr>
            <w:r>
              <w:rPr>
                <w:b w:val="0"/>
                <w:color w:val="172B39"/>
                <w:sz w:val="18"/>
              </w:rPr>
              <w:t>task_id, model_version, schema_id, input → output, usage, status</w:t>
            </w:r>
          </w:p>
        </w:tc>
      </w:tr>
      <w:tr>
        <w:trPr>
          <w:cantSplit/>
        </w:trPr>
        <w:tc>
          <w:tcPr>
            <w:tcW w:type="dxa" w:w="1304"/>
            <w:shd w:fill="F1F5F7"/>
            <w:tcMar>
              <w:top w:w="85" w:type="dxa"/>
              <w:left w:w="85" w:type="dxa"/>
              <w:bottom w:w="85" w:type="dxa"/>
              <w:right w:w="85" w:type="dxa"/>
            </w:tcMar>
          </w:tcPr>
          <w:p>
            <w:pPr>
              <w:spacing w:after="40" w:line="252" w:lineRule="auto"/>
            </w:pPr>
            <w:r>
              <w:rPr>
                <w:b w:val="0"/>
                <w:color w:val="172B39"/>
                <w:sz w:val="18"/>
              </w:rPr>
              <w:t>API-C02</w:t>
            </w:r>
          </w:p>
        </w:tc>
        <w:tc>
          <w:tcPr>
            <w:tcW w:type="dxa" w:w="1984"/>
            <w:shd w:fill="F1F5F7"/>
            <w:tcMar>
              <w:top w:w="85" w:type="dxa"/>
              <w:left w:w="85" w:type="dxa"/>
              <w:bottom w:w="85" w:type="dxa"/>
              <w:right w:w="85" w:type="dxa"/>
            </w:tcMar>
          </w:tcPr>
          <w:p>
            <w:pPr>
              <w:spacing w:after="40" w:line="252" w:lineRule="auto"/>
            </w:pPr>
            <w:r>
              <w:rPr>
                <w:b w:val="0"/>
                <w:color w:val="172B39"/>
                <w:sz w:val="18"/>
              </w:rPr>
              <w:t>기준 검색</w:t>
            </w:r>
          </w:p>
        </w:tc>
        <w:tc>
          <w:tcPr>
            <w:tcW w:type="dxa" w:w="6576"/>
            <w:shd w:fill="F1F5F7"/>
            <w:tcMar>
              <w:top w:w="85" w:type="dxa"/>
              <w:left w:w="85" w:type="dxa"/>
              <w:bottom w:w="85" w:type="dxa"/>
              <w:right w:w="85" w:type="dxa"/>
            </w:tcMar>
          </w:tcPr>
          <w:p>
            <w:pPr>
              <w:spacing w:after="40" w:line="252" w:lineRule="auto"/>
            </w:pPr>
            <w:r>
              <w:rPr>
                <w:b w:val="0"/>
                <w:color w:val="172B39"/>
                <w:sz w:val="18"/>
              </w:rPr>
              <w:t>business_id, effective_at, scope → rule/evidence/version</w:t>
            </w:r>
          </w:p>
        </w:tc>
      </w:tr>
      <w:tr>
        <w:trPr>
          <w:cantSplit/>
        </w:trPr>
        <w:tc>
          <w:tcPr>
            <w:tcW w:type="dxa" w:w="1304"/>
            <w:shd w:fill="FFFFFF"/>
            <w:tcMar>
              <w:top w:w="85" w:type="dxa"/>
              <w:left w:w="85" w:type="dxa"/>
              <w:bottom w:w="85" w:type="dxa"/>
              <w:right w:w="85" w:type="dxa"/>
            </w:tcMar>
          </w:tcPr>
          <w:p>
            <w:pPr>
              <w:spacing w:after="40" w:line="252" w:lineRule="auto"/>
            </w:pPr>
            <w:r>
              <w:rPr>
                <w:b w:val="0"/>
                <w:color w:val="172B39"/>
                <w:sz w:val="18"/>
              </w:rPr>
              <w:t>API-C03</w:t>
            </w:r>
          </w:p>
        </w:tc>
        <w:tc>
          <w:tcPr>
            <w:tcW w:type="dxa" w:w="1984"/>
            <w:shd w:fill="FFFFFF"/>
            <w:tcMar>
              <w:top w:w="85" w:type="dxa"/>
              <w:left w:w="85" w:type="dxa"/>
              <w:bottom w:w="85" w:type="dxa"/>
              <w:right w:w="85" w:type="dxa"/>
            </w:tcMar>
          </w:tcPr>
          <w:p>
            <w:pPr>
              <w:spacing w:after="40" w:line="252" w:lineRule="auto"/>
            </w:pPr>
            <w:r>
              <w:rPr>
                <w:b w:val="0"/>
                <w:color w:val="172B39"/>
                <w:sz w:val="18"/>
              </w:rPr>
              <w:t>실행과 상태</w:t>
            </w:r>
          </w:p>
        </w:tc>
        <w:tc>
          <w:tcPr>
            <w:tcW w:type="dxa" w:w="6576"/>
            <w:shd w:fill="FFFFFF"/>
            <w:tcMar>
              <w:top w:w="85" w:type="dxa"/>
              <w:left w:w="85" w:type="dxa"/>
              <w:bottom w:w="85" w:type="dxa"/>
              <w:right w:w="85" w:type="dxa"/>
            </w:tcMar>
          </w:tcPr>
          <w:p>
            <w:pPr>
              <w:spacing w:after="40" w:line="252" w:lineRule="auto"/>
            </w:pPr>
            <w:r>
              <w:rPr>
                <w:b w:val="0"/>
                <w:color w:val="172B39"/>
                <w:sz w:val="18"/>
              </w:rPr>
              <w:t>case_id, consent_hash, payload_version, idempotency_key → official_id, state</w:t>
            </w:r>
          </w:p>
        </w:tc>
      </w:tr>
      <w:tr>
        <w:trPr>
          <w:cantSplit/>
        </w:trPr>
        <w:tc>
          <w:tcPr>
            <w:tcW w:type="dxa" w:w="1304"/>
            <w:shd w:fill="F1F5F7"/>
            <w:tcMar>
              <w:top w:w="85" w:type="dxa"/>
              <w:left w:w="85" w:type="dxa"/>
              <w:bottom w:w="85" w:type="dxa"/>
              <w:right w:w="85" w:type="dxa"/>
            </w:tcMar>
          </w:tcPr>
          <w:p>
            <w:pPr>
              <w:spacing w:after="40" w:line="252" w:lineRule="auto"/>
            </w:pPr>
            <w:r>
              <w:rPr>
                <w:b w:val="0"/>
                <w:color w:val="172B39"/>
                <w:sz w:val="18"/>
              </w:rPr>
              <w:t>API-C04</w:t>
            </w:r>
          </w:p>
        </w:tc>
        <w:tc>
          <w:tcPr>
            <w:tcW w:type="dxa" w:w="1984"/>
            <w:shd w:fill="F1F5F7"/>
            <w:tcMar>
              <w:top w:w="85" w:type="dxa"/>
              <w:left w:w="85" w:type="dxa"/>
              <w:bottom w:w="85" w:type="dxa"/>
              <w:right w:w="85" w:type="dxa"/>
            </w:tcMar>
          </w:tcPr>
          <w:p>
            <w:pPr>
              <w:spacing w:after="40" w:line="252" w:lineRule="auto"/>
            </w:pPr>
            <w:r>
              <w:rPr>
                <w:b w:val="0"/>
                <w:color w:val="172B39"/>
                <w:sz w:val="18"/>
              </w:rPr>
              <w:t>문서 수집</w:t>
            </w:r>
          </w:p>
        </w:tc>
        <w:tc>
          <w:tcPr>
            <w:tcW w:type="dxa" w:w="6576"/>
            <w:shd w:fill="F1F5F7"/>
            <w:tcMar>
              <w:top w:w="85" w:type="dxa"/>
              <w:left w:w="85" w:type="dxa"/>
              <w:bottom w:w="85" w:type="dxa"/>
              <w:right w:w="85" w:type="dxa"/>
            </w:tcMar>
          </w:tcPr>
          <w:p>
            <w:pPr>
              <w:spacing w:after="40" w:line="252" w:lineRule="auto"/>
            </w:pPr>
            <w:r>
              <w:rPr>
                <w:b w:val="0"/>
                <w:color w:val="172B39"/>
                <w:sz w:val="18"/>
              </w:rPr>
              <w:t>document_id, hash, owner, file_type, version → blocks, errors</w:t>
            </w:r>
          </w:p>
        </w:tc>
      </w:tr>
      <w:tr>
        <w:trPr>
          <w:cantSplit/>
        </w:trPr>
        <w:tc>
          <w:tcPr>
            <w:tcW w:type="dxa" w:w="1304"/>
            <w:shd w:fill="FFFFFF"/>
            <w:tcMar>
              <w:top w:w="85" w:type="dxa"/>
              <w:left w:w="85" w:type="dxa"/>
              <w:bottom w:w="85" w:type="dxa"/>
              <w:right w:w="85" w:type="dxa"/>
            </w:tcMar>
          </w:tcPr>
          <w:p>
            <w:pPr>
              <w:spacing w:after="40" w:line="252" w:lineRule="auto"/>
            </w:pPr>
            <w:r>
              <w:rPr>
                <w:b w:val="0"/>
                <w:color w:val="172B39"/>
                <w:sz w:val="18"/>
              </w:rPr>
              <w:t>API-C05</w:t>
            </w:r>
          </w:p>
        </w:tc>
        <w:tc>
          <w:tcPr>
            <w:tcW w:type="dxa" w:w="1984"/>
            <w:shd w:fill="FFFFFF"/>
            <w:tcMar>
              <w:top w:w="85" w:type="dxa"/>
              <w:left w:w="85" w:type="dxa"/>
              <w:bottom w:w="85" w:type="dxa"/>
              <w:right w:w="85" w:type="dxa"/>
            </w:tcMar>
          </w:tcPr>
          <w:p>
            <w:pPr>
              <w:spacing w:after="40" w:line="252" w:lineRule="auto"/>
            </w:pPr>
            <w:r>
              <w:rPr>
                <w:b w:val="0"/>
                <w:color w:val="172B39"/>
                <w:sz w:val="18"/>
              </w:rPr>
              <w:t>연계 허용목록</w:t>
            </w:r>
          </w:p>
        </w:tc>
        <w:tc>
          <w:tcPr>
            <w:tcW w:type="dxa" w:w="6576"/>
            <w:shd w:fill="FFFFFF"/>
            <w:tcMar>
              <w:top w:w="85" w:type="dxa"/>
              <w:left w:w="85" w:type="dxa"/>
              <w:bottom w:w="85" w:type="dxa"/>
              <w:right w:w="85" w:type="dxa"/>
            </w:tcMar>
          </w:tcPr>
          <w:p>
            <w:pPr>
              <w:spacing w:after="40" w:line="252" w:lineRule="auto"/>
            </w:pPr>
            <w:r>
              <w:rPr>
                <w:b w:val="0"/>
                <w:color w:val="172B39"/>
                <w:sz w:val="18"/>
              </w:rPr>
              <w:t>connector_id, operation, typed_params → source, fetched_at, result</w:t>
            </w:r>
          </w:p>
        </w:tc>
      </w:tr>
      <w:tr>
        <w:trPr>
          <w:cantSplit/>
        </w:trPr>
        <w:tc>
          <w:tcPr>
            <w:tcW w:type="dxa" w:w="1304"/>
            <w:shd w:fill="F1F5F7"/>
            <w:tcMar>
              <w:top w:w="85" w:type="dxa"/>
              <w:left w:w="85" w:type="dxa"/>
              <w:bottom w:w="85" w:type="dxa"/>
              <w:right w:w="85" w:type="dxa"/>
            </w:tcMar>
          </w:tcPr>
          <w:p>
            <w:pPr>
              <w:spacing w:after="40" w:line="252" w:lineRule="auto"/>
            </w:pPr>
            <w:r>
              <w:rPr>
                <w:b w:val="0"/>
                <w:color w:val="172B39"/>
                <w:sz w:val="18"/>
              </w:rPr>
              <w:t>API-C06</w:t>
            </w:r>
          </w:p>
        </w:tc>
        <w:tc>
          <w:tcPr>
            <w:tcW w:type="dxa" w:w="1984"/>
            <w:shd w:fill="F1F5F7"/>
            <w:tcMar>
              <w:top w:w="85" w:type="dxa"/>
              <w:left w:w="85" w:type="dxa"/>
              <w:bottom w:w="85" w:type="dxa"/>
              <w:right w:w="85" w:type="dxa"/>
            </w:tcMar>
          </w:tcPr>
          <w:p>
            <w:pPr>
              <w:spacing w:after="40" w:line="252" w:lineRule="auto"/>
            </w:pPr>
            <w:r>
              <w:rPr>
                <w:b w:val="0"/>
                <w:color w:val="172B39"/>
                <w:sz w:val="18"/>
              </w:rPr>
              <w:t>피드백</w:t>
            </w:r>
          </w:p>
        </w:tc>
        <w:tc>
          <w:tcPr>
            <w:tcW w:type="dxa" w:w="6576"/>
            <w:shd w:fill="F1F5F7"/>
            <w:tcMar>
              <w:top w:w="85" w:type="dxa"/>
              <w:left w:w="85" w:type="dxa"/>
              <w:bottom w:w="85" w:type="dxa"/>
              <w:right w:w="85" w:type="dxa"/>
            </w:tcMar>
          </w:tcPr>
          <w:p>
            <w:pPr>
              <w:spacing w:after="40" w:line="252" w:lineRule="auto"/>
            </w:pPr>
            <w:r>
              <w:rPr>
                <w:b w:val="0"/>
                <w:color w:val="172B39"/>
                <w:sz w:val="18"/>
              </w:rPr>
              <w:t>case_id, correction_type, user_text → receipt, review_state</w:t>
            </w:r>
          </w:p>
        </w:tc>
      </w:tr>
      <w:tr>
        <w:trPr>
          <w:cantSplit/>
        </w:trPr>
        <w:tc>
          <w:tcPr>
            <w:tcW w:type="dxa" w:w="1304"/>
            <w:shd w:fill="FFFFFF"/>
            <w:tcMar>
              <w:top w:w="85" w:type="dxa"/>
              <w:left w:w="85" w:type="dxa"/>
              <w:bottom w:w="85" w:type="dxa"/>
              <w:right w:w="85" w:type="dxa"/>
            </w:tcMar>
          </w:tcPr>
          <w:p>
            <w:pPr>
              <w:spacing w:after="40" w:line="252" w:lineRule="auto"/>
            </w:pPr>
            <w:r>
              <w:rPr>
                <w:b w:val="0"/>
                <w:color w:val="172B39"/>
                <w:sz w:val="18"/>
              </w:rPr>
              <w:t>API-X01</w:t>
            </w:r>
          </w:p>
        </w:tc>
        <w:tc>
          <w:tcPr>
            <w:tcW w:type="dxa" w:w="1984"/>
            <w:shd w:fill="FFFFFF"/>
            <w:tcMar>
              <w:top w:w="85" w:type="dxa"/>
              <w:left w:w="85" w:type="dxa"/>
              <w:bottom w:w="85" w:type="dxa"/>
              <w:right w:w="85" w:type="dxa"/>
            </w:tcMar>
          </w:tcPr>
          <w:p>
            <w:pPr>
              <w:spacing w:after="40" w:line="252" w:lineRule="auto"/>
            </w:pPr>
            <w:r>
              <w:rPr>
                <w:b w:val="0"/>
                <w:color w:val="172B39"/>
                <w:sz w:val="18"/>
              </w:rPr>
              <w:t>예약 시스템</w:t>
            </w:r>
          </w:p>
        </w:tc>
        <w:tc>
          <w:tcPr>
            <w:tcW w:type="dxa" w:w="6576"/>
            <w:shd w:fill="FFFFFF"/>
            <w:tcMar>
              <w:top w:w="85" w:type="dxa"/>
              <w:left w:w="85" w:type="dxa"/>
              <w:bottom w:w="85" w:type="dxa"/>
              <w:right w:w="85" w:type="dxa"/>
            </w:tcMar>
          </w:tcPr>
          <w:p>
            <w:pPr>
              <w:spacing w:after="40" w:line="252" w:lineRule="auto"/>
            </w:pPr>
            <w:r>
              <w:rPr>
                <w:b w:val="0"/>
                <w:color w:val="172B39"/>
                <w:sz w:val="18"/>
              </w:rPr>
              <w:t>vehicle_ref, inspection_type, date/radius, slot_id → slots/booking/status</w:t>
            </w:r>
          </w:p>
        </w:tc>
      </w:tr>
      <w:tr>
        <w:trPr>
          <w:cantSplit/>
        </w:trPr>
        <w:tc>
          <w:tcPr>
            <w:tcW w:type="dxa" w:w="1304"/>
            <w:shd w:fill="F1F5F7"/>
            <w:tcMar>
              <w:top w:w="85" w:type="dxa"/>
              <w:left w:w="85" w:type="dxa"/>
              <w:bottom w:w="85" w:type="dxa"/>
              <w:right w:w="85" w:type="dxa"/>
            </w:tcMar>
          </w:tcPr>
          <w:p>
            <w:pPr>
              <w:spacing w:after="40" w:line="252" w:lineRule="auto"/>
            </w:pPr>
            <w:r>
              <w:rPr>
                <w:b w:val="0"/>
                <w:color w:val="172B39"/>
                <w:sz w:val="18"/>
              </w:rPr>
              <w:t>API-X02</w:t>
            </w:r>
          </w:p>
        </w:tc>
        <w:tc>
          <w:tcPr>
            <w:tcW w:type="dxa" w:w="1984"/>
            <w:shd w:fill="F1F5F7"/>
            <w:tcMar>
              <w:top w:w="85" w:type="dxa"/>
              <w:left w:w="85" w:type="dxa"/>
              <w:bottom w:w="85" w:type="dxa"/>
              <w:right w:w="85" w:type="dxa"/>
            </w:tcMar>
          </w:tcPr>
          <w:p>
            <w:pPr>
              <w:spacing w:after="40" w:line="252" w:lineRule="auto"/>
            </w:pPr>
            <w:r>
              <w:rPr>
                <w:b w:val="0"/>
                <w:color w:val="172B39"/>
                <w:sz w:val="18"/>
              </w:rPr>
              <w:t>결과 시스템</w:t>
            </w:r>
          </w:p>
        </w:tc>
        <w:tc>
          <w:tcPr>
            <w:tcW w:type="dxa" w:w="6576"/>
            <w:shd w:fill="F1F5F7"/>
            <w:tcMar>
              <w:top w:w="85" w:type="dxa"/>
              <w:left w:w="85" w:type="dxa"/>
              <w:bottom w:w="85" w:type="dxa"/>
              <w:right w:w="85" w:type="dxa"/>
            </w:tcMar>
          </w:tcPr>
          <w:p>
            <w:pPr>
              <w:spacing w:after="40" w:line="252" w:lineRule="auto"/>
            </w:pPr>
            <w:r>
              <w:rPr>
                <w:b w:val="0"/>
                <w:color w:val="172B39"/>
                <w:sz w:val="18"/>
              </w:rPr>
              <w:t>subject_ref, result_id → result_code, standard_version, action_state</w:t>
            </w:r>
          </w:p>
        </w:tc>
      </w:tr>
      <w:tr>
        <w:trPr>
          <w:cantSplit/>
        </w:trPr>
        <w:tc>
          <w:tcPr>
            <w:tcW w:type="dxa" w:w="1304"/>
            <w:shd w:fill="FFFFFF"/>
            <w:tcMar>
              <w:top w:w="85" w:type="dxa"/>
              <w:left w:w="85" w:type="dxa"/>
              <w:bottom w:w="85" w:type="dxa"/>
              <w:right w:w="85" w:type="dxa"/>
            </w:tcMar>
          </w:tcPr>
          <w:p>
            <w:pPr>
              <w:spacing w:after="40" w:line="252" w:lineRule="auto"/>
            </w:pPr>
            <w:r>
              <w:rPr>
                <w:b w:val="0"/>
                <w:color w:val="172B39"/>
                <w:sz w:val="18"/>
              </w:rPr>
              <w:t>API-X03</w:t>
            </w:r>
          </w:p>
        </w:tc>
        <w:tc>
          <w:tcPr>
            <w:tcW w:type="dxa" w:w="1984"/>
            <w:shd w:fill="FFFFFF"/>
            <w:tcMar>
              <w:top w:w="85" w:type="dxa"/>
              <w:left w:w="85" w:type="dxa"/>
              <w:bottom w:w="85" w:type="dxa"/>
              <w:right w:w="85" w:type="dxa"/>
            </w:tcMar>
          </w:tcPr>
          <w:p>
            <w:pPr>
              <w:spacing w:after="40" w:line="252" w:lineRule="auto"/>
            </w:pPr>
            <w:r>
              <w:rPr>
                <w:b w:val="0"/>
                <w:color w:val="172B39"/>
                <w:sz w:val="18"/>
              </w:rPr>
              <w:t>보고 접수</w:t>
            </w:r>
          </w:p>
        </w:tc>
        <w:tc>
          <w:tcPr>
            <w:tcW w:type="dxa" w:w="6576"/>
            <w:shd w:fill="FFFFFF"/>
            <w:tcMar>
              <w:top w:w="85" w:type="dxa"/>
              <w:left w:w="85" w:type="dxa"/>
              <w:bottom w:w="85" w:type="dxa"/>
              <w:right w:w="85" w:type="dxa"/>
            </w:tcMar>
          </w:tcPr>
          <w:p>
            <w:pPr>
              <w:spacing w:after="40" w:line="252" w:lineRule="auto"/>
            </w:pPr>
            <w:r>
              <w:rPr>
                <w:b w:val="0"/>
                <w:color w:val="172B39"/>
                <w:sz w:val="18"/>
              </w:rPr>
              <w:t>report_version, consent_ref → receipt_id, received_at, state</w:t>
            </w:r>
          </w:p>
        </w:tc>
      </w:tr>
      <w:tr>
        <w:trPr>
          <w:cantSplit/>
        </w:trPr>
        <w:tc>
          <w:tcPr>
            <w:tcW w:type="dxa" w:w="1304"/>
            <w:shd w:fill="F1F5F7"/>
            <w:tcMar>
              <w:top w:w="85" w:type="dxa"/>
              <w:left w:w="85" w:type="dxa"/>
              <w:bottom w:w="85" w:type="dxa"/>
              <w:right w:w="85" w:type="dxa"/>
            </w:tcMar>
          </w:tcPr>
          <w:p>
            <w:pPr>
              <w:spacing w:after="40" w:line="252" w:lineRule="auto"/>
            </w:pPr>
            <w:r>
              <w:rPr>
                <w:b w:val="0"/>
                <w:color w:val="172B39"/>
                <w:sz w:val="18"/>
              </w:rPr>
              <w:t>API-X04</w:t>
            </w:r>
          </w:p>
        </w:tc>
        <w:tc>
          <w:tcPr>
            <w:tcW w:type="dxa" w:w="1984"/>
            <w:shd w:fill="F1F5F7"/>
            <w:tcMar>
              <w:top w:w="85" w:type="dxa"/>
              <w:left w:w="85" w:type="dxa"/>
              <w:bottom w:w="85" w:type="dxa"/>
              <w:right w:w="85" w:type="dxa"/>
            </w:tcMar>
          </w:tcPr>
          <w:p>
            <w:pPr>
              <w:spacing w:after="40" w:line="252" w:lineRule="auto"/>
            </w:pPr>
            <w:r>
              <w:rPr>
                <w:b w:val="0"/>
                <w:color w:val="172B39"/>
                <w:sz w:val="18"/>
              </w:rPr>
              <w:t>조치 관리</w:t>
            </w:r>
          </w:p>
        </w:tc>
        <w:tc>
          <w:tcPr>
            <w:tcW w:type="dxa" w:w="6576"/>
            <w:shd w:fill="F1F5F7"/>
            <w:tcMar>
              <w:top w:w="85" w:type="dxa"/>
              <w:left w:w="85" w:type="dxa"/>
              <w:bottom w:w="85" w:type="dxa"/>
              <w:right w:w="85" w:type="dxa"/>
            </w:tcMar>
          </w:tcPr>
          <w:p>
            <w:pPr>
              <w:spacing w:after="40" w:line="252" w:lineRule="auto"/>
            </w:pPr>
            <w:r>
              <w:rPr>
                <w:b w:val="0"/>
                <w:color w:val="172B39"/>
                <w:sz w:val="18"/>
              </w:rPr>
              <w:t>finding_id, evidence_ids, reviewer_id → decision, due_date, state</w:t>
            </w:r>
          </w:p>
        </w:tc>
      </w:tr>
      <w:tr>
        <w:trPr>
          <w:cantSplit/>
        </w:trPr>
        <w:tc>
          <w:tcPr>
            <w:tcW w:type="dxa" w:w="1304"/>
            <w:shd w:fill="FFFFFF"/>
            <w:tcMar>
              <w:top w:w="85" w:type="dxa"/>
              <w:left w:w="85" w:type="dxa"/>
              <w:bottom w:w="85" w:type="dxa"/>
              <w:right w:w="85" w:type="dxa"/>
            </w:tcMar>
          </w:tcPr>
          <w:p>
            <w:pPr>
              <w:spacing w:after="40" w:line="252" w:lineRule="auto"/>
            </w:pPr>
            <w:r>
              <w:rPr>
                <w:b w:val="0"/>
                <w:color w:val="172B39"/>
                <w:sz w:val="18"/>
              </w:rPr>
              <w:t>API-X05</w:t>
            </w:r>
          </w:p>
        </w:tc>
        <w:tc>
          <w:tcPr>
            <w:tcW w:type="dxa" w:w="1984"/>
            <w:shd w:fill="FFFFFF"/>
            <w:tcMar>
              <w:top w:w="85" w:type="dxa"/>
              <w:left w:w="85" w:type="dxa"/>
              <w:bottom w:w="85" w:type="dxa"/>
              <w:right w:w="85" w:type="dxa"/>
            </w:tcMar>
          </w:tcPr>
          <w:p>
            <w:pPr>
              <w:spacing w:after="40" w:line="252" w:lineRule="auto"/>
            </w:pPr>
            <w:r>
              <w:rPr>
                <w:b w:val="0"/>
                <w:color w:val="172B39"/>
                <w:sz w:val="18"/>
              </w:rPr>
              <w:t>신청 시스템</w:t>
            </w:r>
          </w:p>
        </w:tc>
        <w:tc>
          <w:tcPr>
            <w:tcW w:type="dxa" w:w="6576"/>
            <w:shd w:fill="FFFFFF"/>
            <w:tcMar>
              <w:top w:w="85" w:type="dxa"/>
              <w:left w:w="85" w:type="dxa"/>
              <w:bottom w:w="85" w:type="dxa"/>
              <w:right w:w="85" w:type="dxa"/>
            </w:tcMar>
          </w:tcPr>
          <w:p>
            <w:pPr>
              <w:spacing w:after="40" w:line="252" w:lineRule="auto"/>
            </w:pPr>
            <w:r>
              <w:rPr>
                <w:b w:val="0"/>
                <w:color w:val="172B39"/>
                <w:sz w:val="18"/>
              </w:rPr>
              <w:t>type_id, evidence_refs, approved_payload → receipt_id, state</w:t>
            </w:r>
          </w:p>
        </w:tc>
      </w:tr>
    </w:tbl>
    <w:p>
      <w:r>
        <w:t>공통 오류: 입력오류 400, 인증없음 401, 권한거부 403, 자원없음 404, 상태충돌 409, 과다요청 429, 상대 장애 502/504를 내부 표준으로 제안한다. 실제 상대 API 코드와 매핑한다. 쓰기 재시도는 상태 조회와 멱등 보장을 확인한 후 수행한다. 읽기는 상한 내 지수 지연 재시도를 설정한다.</w:t>
      </w:r>
    </w:p>
    <w:p>
      <w:r>
        <w:t>공통 엔터티: Case(case_id, owner_scope, business_id, state), Evidence(evidence_id, source_id, version, location, hash, access_scope), RuleVersion(valid_from, valid_to, approver), Consent(payload_hash, expires_at, actor), Execution(request_id, external_id, state, checked_at), Audit(actor, action, timestamp, reason). 보존기간·위임 확인·실제 필드 길이는 상세설계 산출물에 확정한다.</w:t>
      </w:r>
    </w:p>
    <w:p>
      <w:r>
        <w:br w:type="page"/>
      </w:r>
    </w:p>
    <w:p>
      <w:pPr>
        <w:pStyle w:val="Heading1"/>
      </w:pPr>
      <w:r>
        <w:t>시험 계획과 판정 책임</w:t>
      </w:r>
    </w:p>
    <w:p>
      <w:r>
        <w:t>단위 시험은 규칙·구조화·상태 전이를, 계약 시험은 API 스키마·오류·버전·타임아웃을, 통합 시험은 공식 상태·권한·복구를 검증한다. X01의 선점과 중복, X02의 허위 완료, X03의 사실 변조, X04의 잘못된 증빙 수리, X05의 자격 오판을 필수 실패 시나리오로 둔다.</w:t>
      </w:r>
    </w:p>
    <w:p>
      <w:r>
        <w:t>AI 평가의 분모는 완료된 업무 사례다. 한 사례의 여러 모델 호출·같은 사례의 반복 실행을 독립 표본으로 늘려 세지 않는다. 개발 중 선정한 어려운 사례는 반례 시험으로 보고하고 운영 실패율 추정에 사용하지 않는다. 전문가 불일치와 유보를 유지하며 자동 평가의 통과 사례도 사람이 검토한다.</w:t>
      </w:r>
    </w:p>
    <w:p>
      <w:r>
        <w:t>개발팀은 시험을 수행하고 QA는 결과·재현성을 검토한다. 발주기관 업무 책임자는 의미·규칙·공식 상태를, 보안 담당자는 개인정보·권한을, 운영 담당자는 인수·복구를 판정한다. 본 명세의 작성과 문서 QA는 이 실제 인수검사를 대신하지 않는다.</w:t>
      </w:r>
    </w:p>
    <w:p>
      <w:pPr>
        <w:pStyle w:val="Heading2"/>
      </w:pPr>
      <w:r>
        <w:t>지원 모드 변경</w:t>
      </w:r>
    </w:p>
    <w:p>
      <w:r>
        <w:t>공식 API와 개인정보 처리 근거를 확보하지 못한 업무는 승인된 표본 기반 준비 모드로만 검증한다. 실시간 조회나 실제 실행을 납품한 것으로 표시할 수 없다. 준비 모드·조회 모드·실행 모드는 검수 항목과 가격을 다시 합의하여 구분한다.</w:t>
      </w:r>
    </w:p>
    <w:p>
      <w:pPr>
        <w:pStyle w:val="Heading1"/>
      </w:pPr>
      <w:r>
        <w:t>근거와 적용 범위</w:t>
      </w:r>
    </w:p>
    <w:p>
      <w:r>
        <w:t>S08 기술 확장 검토와 사용자 경험. 2026-09-10. 조사일 2026-09-10. 파생 조사와 사용자 현장 의견. CCK 실제 수행능력·TS 의사결정의 증명 아님.</w:t>
        <w:br/>
        <w:t>../../04_기관리서치/TS_대화구조화/기술확장_2026-09-10/CCK_TS_기술기반_확장검토.md</w:t>
      </w:r>
    </w:p>
    <w:sectPr w:rsidR="00FC693F" w:rsidRPr="0006063C" w:rsidSect="00034616">
      <w:footerReference w:type="default" r:id="rId9"/>
      <w:pgSz w:w="11906" w:h="16838"/>
      <w:pgMar w:top="1020"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국민 편의와 안전 AX 요구사항 명세서</dc:title>
  <dc:subject>CCK TS AX 사업 구체화</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