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공공 정보화사업 이행관리 및 AI 검토지원 구축</w:t>
      </w:r>
    </w:p>
    <w:p>
      <w:pPr>
        <w:pStyle w:val="Title"/>
      </w:pPr>
      <w:r>
        <w:t>제안요청서</w:t>
      </w:r>
    </w:p>
    <w:p>
      <w:r>
        <w:rPr>
          <w:rFonts w:ascii="맑은 고딕" w:hAnsi="맑은 고딕" w:eastAsia="맑은 고딕" w:cs="맑은 고딕"/>
          <w:b/>
          <w:color w:val="000000"/>
        </w:rPr>
        <w:t>2026년 9월 11일   v0.1   발주 검토안</w:t>
      </w:r>
    </w:p>
    <w:p>
      <w:r>
        <w:rPr>
          <w:rFonts w:ascii="맑은 고딕" w:hAnsi="맑은 고딕" w:eastAsia="맑은 고딕" w:cs="맑은 고딕"/>
          <w:b w:val="0"/>
          <w:color w:val="000000"/>
        </w:rPr>
        <w:t>발주기관은 사업의 기준·과업·산출물·검토·보완·승인·인수인계를 연결하는 서비스를 도입하고자 한다. 수행사업자는 업무관리와 로컬 AI 검토지원 기능을 구축하고, 기관이 결과를 검증·운영·인수할 수 있는 산출물을 제공한다.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구분</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내용</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사업 대상</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공공 정보화사업의 1차 이행관리 및 기초 검토지원</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발주기관</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[PG-01 확정 필요]</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사업비·기간</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[PG-02·03 확정 필요]</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신규 인프라 투자</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0원  |  기존 로컬 자원 사용권·용량은 PG-07에서 확인</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요구사항</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52개  |  필수 50개·조건부 연계 2개</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문서 사용</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입찰공고 전 PG-01~15의 조건·물량·수치와 계약 서식을 확정한다. 현재 문서는 공고 확정본이 아니다.</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함께 적용할 문서</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공공 정보화사업 테일러링 내역서 v0.1  |  표의 원 코드와 본 RFP ID를 연계</w:t>
            </w:r>
          </w:p>
        </w:tc>
      </w:tr>
    </w:tbl>
    <w:p>
      <w:pPr>
        <w:spacing w:after="20" w:line="40" w:lineRule="exact"/>
      </w:pPr>
    </w:p>
    <w:p>
      <w:pPr>
        <w:pStyle w:val="Heading2"/>
      </w:pPr>
      <w:r>
        <w:t>문서 구성</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00"/>
        <w:gridCol w:w="8960"/>
      </w:tblGrid>
      <w:tr>
        <w:trPr>
          <w:cantSplit/>
          <w:tblHeader/>
        </w:trPr>
        <w:tc>
          <w:tcPr>
            <w:tcW w:type="dxa" w:w="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장</w:t>
            </w:r>
          </w:p>
        </w:tc>
        <w:tc>
          <w:tcPr>
            <w:tcW w:type="dxa" w:w="8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내용</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Ⅰ</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사업개요</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Ⅱ</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사업추진 방안</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Ⅲ</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제안요청 내용</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Ⅳ</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제안서 작성요령</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Ⅴ</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제안 안내사항</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Ⅵ</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서식</w:t>
            </w:r>
          </w:p>
        </w:tc>
      </w:tr>
      <w:tr>
        <w:trPr>
          <w:cantSplit/>
        </w:trPr>
        <w:tc>
          <w:tcPr>
            <w:tcW w:type="dxa" w:w="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Ⅶ</w:t>
            </w:r>
          </w:p>
        </w:tc>
        <w:tc>
          <w:tcPr>
            <w:tcW w:type="dxa" w:w="8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별첨</w:t>
            </w:r>
          </w:p>
        </w:tc>
      </w:tr>
    </w:tbl>
    <w:p>
      <w:pPr>
        <w:spacing w:after="20" w:line="40" w:lineRule="exact"/>
      </w:pPr>
    </w:p>
    <w:p>
      <w:pPr>
        <w:pStyle w:val="Heading1"/>
        <w:pageBreakBefore/>
      </w:pPr>
      <w:r>
        <w:t>Ⅰ 사업개요</w:t>
      </w:r>
    </w:p>
    <w:p>
      <w:pPr>
        <w:pStyle w:val="Heading2"/>
      </w:pPr>
      <w:r>
        <w:t>1 추진 배경과 목적</w:t>
      </w:r>
    </w:p>
    <w:p>
      <w:r>
        <w:rPr>
          <w:rFonts w:ascii="맑은 고딕" w:hAnsi="맑은 고딕" w:eastAsia="맑은 고딕" w:cs="맑은 고딕"/>
          <w:b w:val="0"/>
          <w:color w:val="000000"/>
        </w:rPr>
        <w:t>사업 진행정보가 문서·표·메일·결재 등에 흩어져 있으면 담당자는 적용 기준과 최신 산출물, 미결 책임을 반복 확인해야 한다. 이 문제는 대상 기관과 실제 사업의 기초조사로 확인할 업무 가설이다. 본 사업은 자료를 공동으로 관리하는 과정에서 확인 가능한 이행근거를 남겨 검토 누락과 인수인계 부담을 줄이는 것을 목적으로 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840"/>
        <w:gridCol w:w="4100"/>
        <w:gridCol w:w="2920"/>
      </w:tblGrid>
      <w:tr>
        <w:trPr>
          <w:cantSplit/>
          <w:tblHeader/>
        </w:trPr>
        <w:tc>
          <w:tcPr>
            <w:tcW w:type="dxa" w:w="284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현행 문제 가설</w:t>
            </w:r>
          </w:p>
        </w:tc>
        <w:tc>
          <w:tcPr>
            <w:tcW w:type="dxa" w:w="41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도입 후 수행 방식</w:t>
            </w:r>
          </w:p>
        </w:tc>
        <w:tc>
          <w:tcPr>
            <w:tcW w:type="dxa" w:w="292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확인할 개선</w:t>
            </w:r>
          </w:p>
        </w:tc>
      </w:tr>
      <w:tr>
        <w:trPr>
          <w:cantSplit/>
        </w:trPr>
        <w:tc>
          <w:tcPr>
            <w:tcW w:type="dxa" w:w="28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계약·법령·이전 결정 탐색 반복</w:t>
            </w:r>
          </w:p>
        </w:tc>
        <w:tc>
          <w:tcPr>
            <w:tcW w:type="dxa" w:w="41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기준의 원문·적용일·판단자를 연결</w:t>
            </w:r>
          </w:p>
        </w:tc>
        <w:tc>
          <w:tcPr>
            <w:tcW w:type="dxa" w:w="2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기준 탐색시간·원문 오류</w:t>
            </w:r>
          </w:p>
        </w:tc>
      </w:tr>
      <w:tr>
        <w:trPr>
          <w:cantSplit/>
        </w:trPr>
        <w:tc>
          <w:tcPr>
            <w:tcW w:type="dxa" w:w="28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산출물 접수와 검토 상태 혼재</w:t>
            </w:r>
          </w:p>
        </w:tc>
        <w:tc>
          <w:tcPr>
            <w:tcW w:type="dxa" w:w="41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접수·분석·승인을 분리하여 추적</w:t>
            </w:r>
          </w:p>
        </w:tc>
        <w:tc>
          <w:tcPr>
            <w:tcW w:type="dxa" w:w="2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접수 누락·중복·검토 대기</w:t>
            </w:r>
          </w:p>
        </w:tc>
      </w:tr>
      <w:tr>
        <w:trPr>
          <w:cantSplit/>
        </w:trPr>
        <w:tc>
          <w:tcPr>
            <w:tcW w:type="dxa" w:w="28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누락·불일치를 수작업 대조</w:t>
            </w:r>
          </w:p>
        </w:tc>
        <w:tc>
          <w:tcPr>
            <w:tcW w:type="dxa" w:w="41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AI가 근거와 후보를 제시하고 사람이 확정</w:t>
            </w:r>
          </w:p>
        </w:tc>
        <w:tc>
          <w:tcPr>
            <w:tcW w:type="dxa" w:w="2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순 검토시간·오탐·중요 미탐</w:t>
            </w:r>
          </w:p>
        </w:tc>
      </w:tr>
      <w:tr>
        <w:trPr>
          <w:cantSplit/>
        </w:trPr>
        <w:tc>
          <w:tcPr>
            <w:tcW w:type="dxa" w:w="28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보완 요청과 책임 경위 소실</w:t>
            </w:r>
          </w:p>
        </w:tc>
        <w:tc>
          <w:tcPr>
            <w:tcW w:type="dxa" w:w="41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보완·소명·재검증·결정의 버전 연결</w:t>
            </w:r>
          </w:p>
        </w:tc>
        <w:tc>
          <w:tcPr>
            <w:tcW w:type="dxa" w:w="2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보완 반복·미결 책임·쟁점 기간</w:t>
            </w:r>
          </w:p>
        </w:tc>
      </w:tr>
      <w:tr>
        <w:trPr>
          <w:cantSplit/>
        </w:trPr>
        <w:tc>
          <w:tcPr>
            <w:tcW w:type="dxa" w:w="28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담당 변경 때 자료 재구성</w:t>
            </w:r>
          </w:p>
        </w:tc>
        <w:tc>
          <w:tcPr>
            <w:tcW w:type="dxa" w:w="41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상태·판단 경위·지원 만료 상시 인계</w:t>
            </w:r>
          </w:p>
        </w:tc>
        <w:tc>
          <w:tcPr>
            <w:tcW w:type="dxa" w:w="2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초기 파악시간·미인수 건수</w:t>
            </w:r>
          </w:p>
        </w:tc>
      </w:tr>
      <w:tr>
        <w:trPr>
          <w:cantSplit/>
        </w:trPr>
        <w:tc>
          <w:tcPr>
            <w:tcW w:type="dxa" w:w="28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수행평가의 관찰 범위 불명확</w:t>
            </w:r>
          </w:p>
        </w:tc>
        <w:tc>
          <w:tcPr>
            <w:tcW w:type="dxa" w:w="41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역할별 의견·근거·소명·정정 기록</w:t>
            </w:r>
          </w:p>
        </w:tc>
        <w:tc>
          <w:tcPr>
            <w:tcW w:type="dxa" w:w="2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근거 연결·정정 반영·관찰불가 구분</w:t>
            </w:r>
          </w:p>
        </w:tc>
      </w:tr>
    </w:tbl>
    <w:p>
      <w:pPr>
        <w:spacing w:after="20" w:line="40" w:lineRule="exact"/>
      </w:pPr>
    </w:p>
    <w:p>
      <w:pPr>
        <w:pStyle w:val="Heading2"/>
      </w:pPr>
      <w:r>
        <w:t>2 사업 범위</w:t>
      </w:r>
    </w:p>
    <w:p>
      <w:r>
        <w:rPr>
          <w:rFonts w:ascii="맑은 고딕" w:hAnsi="맑은 고딕" w:eastAsia="맑은 고딕" w:cs="맑은 고딕"/>
          <w:b w:val="0"/>
          <w:color w:val="000000"/>
        </w:rPr>
        <w:t>첫 적용은 기관이 지정하는 정보화사업과 대표 산출물 흐름이다. 기관·사업·사용자·문서 물량, 지원 문서 형식과 실제 연계 대상을 공고 전에 제시하여 제안자가 같은 범위를 기준으로 견적과 수행계획을 작성하도록 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4920"/>
        <w:gridCol w:w="4940"/>
      </w:tblGrid>
      <w:tr>
        <w:trPr>
          <w:cantSplit/>
          <w:tblHeader/>
        </w:trPr>
        <w:tc>
          <w:tcPr>
            <w:tcW w:type="dxa" w:w="492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포함</w:t>
            </w:r>
          </w:p>
        </w:tc>
        <w:tc>
          <w:tcPr>
            <w:tcW w:type="dxa" w:w="494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후속 또는 제외</w:t>
            </w:r>
          </w:p>
        </w:tc>
      </w:tr>
      <w:tr>
        <w:trPr>
          <w:cantSplit/>
        </w:trPr>
        <w:tc>
          <w:tcPr>
            <w:tcW w:type="dxa" w:w="4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공동 PMS·기준 관리·산출물 접수·기초 검토·보완·소명·재검증</w:t>
            </w:r>
          </w:p>
        </w:tc>
        <w:tc>
          <w:tcPr>
            <w:tcW w:type="dxa" w:w="49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법정 감리 모듈·감리 검사팩·독립 감리 용역은 이번 기능 구축 범위에서 제외</w:t>
            </w:r>
          </w:p>
        </w:tc>
      </w:tr>
      <w:tr>
        <w:trPr>
          <w:cantSplit/>
        </w:trPr>
        <w:tc>
          <w:tcPr>
            <w:tcW w:type="dxa" w:w="4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평가 계획·역할별 수집·근거 이력·정정</w:t>
            </w:r>
          </w:p>
        </w:tc>
        <w:tc>
          <w:tcPr>
            <w:tcW w:type="dxa" w:w="49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종합 점수·가중 순위·기관 간 공유·컨소시엄 추천·차기 RFP 자동작성</w:t>
            </w:r>
          </w:p>
        </w:tc>
      </w:tr>
      <w:tr>
        <w:trPr>
          <w:cantSplit/>
        </w:trPr>
        <w:tc>
          <w:tcPr>
            <w:tcW w:type="dxa" w:w="4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인수인계·유지관리 책임·갱신 준비·운영 인수</w:t>
            </w:r>
          </w:p>
        </w:tc>
        <w:tc>
          <w:tcPr>
            <w:tcW w:type="dxa" w:w="49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 공통플랫폼 재구축·별도 OCR/VLM·영상/센서 진단·독립 R&amp;D</w:t>
            </w:r>
          </w:p>
        </w:tc>
      </w:tr>
      <w:tr>
        <w:trPr>
          <w:cantSplit/>
        </w:trPr>
        <w:tc>
          <w:tcPr>
            <w:tcW w:type="dxa" w:w="49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 로컬 환경의 SW 설정·검증·교육·지원</w:t>
            </w:r>
          </w:p>
        </w:tc>
        <w:tc>
          <w:tcPr>
            <w:tcW w:type="dxa" w:w="49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신규 GPU·서버·스토리지·백업/네트워크 장비·클라우드 자원 구매 및 임차</w:t>
            </w:r>
          </w:p>
        </w:tc>
      </w:tr>
    </w:tbl>
    <w:p>
      <w:pPr>
        <w:spacing w:after="20" w:line="40" w:lineRule="exact"/>
      </w:pPr>
    </w:p>
    <w:p>
      <w:r>
        <w:rPr>
          <w:rFonts w:ascii="맑은 고딕" w:hAnsi="맑은 고딕" w:eastAsia="맑은 고딕" w:cs="맑은 고딕"/>
          <w:b/>
          <w:color w:val="000000"/>
        </w:rPr>
        <w:t>이번 구축사업 자체에 대한 법정 감리 적용 여부는 별도 판단한다. 감리 기능을 이번 개발 범위에서 제외했다는 이유로 이 구축사업의 감리 적용 검토까지 생략하지 않는다.</w:t>
      </w:r>
    </w:p>
    <w:p>
      <w:pPr>
        <w:pStyle w:val="Heading2"/>
        <w:pageBreakBefore/>
      </w:pPr>
      <w:r>
        <w:t>3 기대효과와 정량 편익 검증</w:t>
      </w:r>
    </w:p>
    <w:p>
      <w:r>
        <w:rPr>
          <w:rFonts w:ascii="맑은 고딕" w:hAnsi="맑은 고딕" w:eastAsia="맑은 고딕" w:cs="맑은 고딕"/>
          <w:b w:val="0"/>
          <w:color w:val="000000"/>
        </w:rPr>
        <w:t>편익은 실측 기준값으로 산정한다. 기대 개선율과 시장 총액을 임의로 곱하여 사업의 효과로 제시하지 않는다. 담당자의 절감 시간은 업무 여유와 품질 개선의 가치이며 현금 절감이나 인원 감축과 동일하지 않다.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800"/>
        <w:gridCol w:w="8060"/>
      </w:tblGrid>
      <w:tr>
        <w:trPr>
          <w:cantSplit/>
          <w:tblHeader/>
        </w:trPr>
        <w:tc>
          <w:tcPr>
            <w:tcW w:type="dxa" w:w="18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구분</w:t>
            </w:r>
          </w:p>
        </w:tc>
        <w:tc>
          <w:tcPr>
            <w:tcW w:type="dxa" w:w="80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산식과 측정 원칙</w:t>
            </w:r>
          </w:p>
        </w:tc>
      </w:tr>
      <w:tr>
        <w:trPr>
          <w:cantSplit/>
        </w:trPr>
        <w:tc>
          <w:tcPr>
            <w:tcW w:type="dxa" w:w="1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순 업무시간</w:t>
            </w:r>
          </w:p>
        </w:tc>
        <w:tc>
          <w:tcPr>
            <w:tcW w:type="dxa" w:w="8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동일 업무 i의 순절감시간 ΔH_i = N_i × (기준 건당시간 − 도입 후 건당 총시간) / 60. 총시간에는 입력·원문 확인·오탐 검토·정정을 포함한다. 기간 총시간을 측정한 경우 N_i를 다시 곱하지 않는다.</w:t>
            </w:r>
          </w:p>
        </w:tc>
      </w:tr>
      <w:tr>
        <w:trPr>
          <w:cantSplit/>
        </w:trPr>
        <w:tc>
          <w:tcPr>
            <w:tcW w:type="dxa" w:w="1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시간가치</w:t>
            </w:r>
          </w:p>
        </w:tc>
        <w:tc>
          <w:tcPr>
            <w:tcW w:type="dxa" w:w="8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Σ(ΔH_i × 검증된 역할별 시간단가). 같은 참여자의 겹치는 시간을 중복 합산하지 않는다. 추가 업무가 더 많으면 음수 효과도 보고한다.</w:t>
            </w:r>
          </w:p>
        </w:tc>
      </w:tr>
      <w:tr>
        <w:trPr>
          <w:cantSplit/>
        </w:trPr>
        <w:tc>
          <w:tcPr>
            <w:tcW w:type="dxa" w:w="1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재작업·지연</w:t>
            </w:r>
          </w:p>
        </w:tc>
        <w:tc>
          <w:tcPr>
            <w:tcW w:type="dxa" w:w="8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확인된 사건의 발생 빈도·작업시간·추가 지출과 비교한다. 위 순시간에 포함한 보완 시간을 다시 더하지 않는다. 지연 예방의 인과 근거가 없으면 시나리오로만 제시한다.</w:t>
            </w:r>
          </w:p>
        </w:tc>
      </w:tr>
      <w:tr>
        <w:trPr>
          <w:cantSplit/>
        </w:trPr>
        <w:tc>
          <w:tcPr>
            <w:tcW w:type="dxa" w:w="1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비용과 현금</w:t>
            </w:r>
          </w:p>
        </w:tc>
        <w:tc>
          <w:tcPr>
            <w:tcW w:type="dxa" w:w="8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SW 구축·연계·검증·교육·운영·전환 비용을 구분한다. 신규 인프라 투자비는 0원이다. 기존 자원 점유와 담당자의 기회비용은 경제성 해석에 공개하되 신규 인프라 예산으로 계상하지 않는다. 실제 지출 감소는 별도 증빙한다.</w:t>
            </w:r>
          </w:p>
        </w:tc>
      </w:tr>
      <w:tr>
        <w:trPr>
          <w:cantSplit/>
        </w:trPr>
        <w:tc>
          <w:tcPr>
            <w:tcW w:type="dxa" w:w="1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사회적 효과</w:t>
            </w:r>
          </w:p>
        </w:tc>
        <w:tc>
          <w:tcPr>
            <w:tcW w:type="dxa" w:w="8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지원 공백·서비스 장애·업무 지연이 국민에게 미치는 경로를 대상 서비스별로 정의한다. 실제 공백시간·이용 불편·정정 대응 등 관측지표를 사용하고 근거가 없으면 금액 환산을 보류한다.</w:t>
            </w:r>
          </w:p>
        </w:tc>
      </w:tr>
      <w:tr>
        <w:trPr>
          <w:cantSplit/>
        </w:trPr>
        <w:tc>
          <w:tcPr>
            <w:tcW w:type="dxa" w:w="1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분석 기간</w:t>
            </w:r>
          </w:p>
        </w:tc>
        <w:tc>
          <w:tcPr>
            <w:tcW w:type="dxa" w:w="8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총비용·순편익·현재가치 분석 기간과 할인 조건은 기관이 정한다. Y2·Y3 미도입 기능의 편익은 Y1 실현 편익으로 선반영하지 않는다.</w:t>
            </w:r>
          </w:p>
        </w:tc>
      </w:tr>
    </w:tbl>
    <w:p>
      <w:pPr>
        <w:spacing w:after="20" w:line="40" w:lineRule="exact"/>
      </w:pPr>
    </w:p>
    <w:p>
      <w:pPr>
        <w:pStyle w:val="Heading2"/>
      </w:pPr>
      <w:r>
        <w:t>4 비교 설계와 결과물</w:t>
      </w:r>
    </w:p>
    <w:p>
      <w:r>
        <w:rPr>
          <w:rFonts w:ascii="맑은 고딕" w:hAnsi="맑은 고딕" w:eastAsia="맑은 고딕" w:cs="맑은 고딕"/>
          <w:b w:val="0"/>
          <w:color w:val="000000"/>
        </w:rPr>
        <w:t>가능한 같은 업무·문서 난이도에서 현행 방식, 일반 SI 또는 규칙 기반 개선, AI 지원을 비교한다. 업무 단위·비교기간·역할·건수·품질 하한·최소 의미 있는 개선과 측정 책임을 결과 확인 전에 정한다. 도입 초기 학습 부담, 표본 편향과 측정 누락을 결과와 함께 공개한다.</w:t>
      </w:r>
    </w:p>
    <w:p>
      <w:r>
        <w:rPr>
          <w:rFonts w:ascii="맑은 고딕" w:hAnsi="맑은 고딕" w:eastAsia="맑은 고딕" w:cs="맑은 고딕"/>
          <w:b w:val="0"/>
          <w:color w:val="000000"/>
        </w:rPr>
        <w:t>수행사업자는 기준값 조사표, 비교 결과, 추가 부담, 민감도 분석과 후속 개선안을 제출한다. 편익 가설이 입증되지 않았다는 사실과 기능 납품 실패는 구분하되, 확정된 효과 측정 과업의 미수행은 검수 대상이다. 연결 요구는 PMR-002이다.</w:t>
      </w:r>
    </w:p>
    <w:p>
      <w:pPr>
        <w:pStyle w:val="Heading1"/>
        <w:pageBreakBefore/>
      </w:pPr>
      <w:r>
        <w:t>Ⅱ 사업추진 방안</w:t>
      </w:r>
    </w:p>
    <w:p>
      <w:pPr>
        <w:pStyle w:val="Heading2"/>
      </w:pPr>
      <w:r>
        <w:t>1 서비스 운영과 책임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200"/>
        <w:gridCol w:w="4200"/>
        <w:gridCol w:w="3460"/>
      </w:tblGrid>
      <w:tr>
        <w:trPr>
          <w:cantSplit/>
          <w:tblHeader/>
        </w:trPr>
        <w:tc>
          <w:tcPr>
            <w:tcW w:type="dxa" w:w="22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역할</w:t>
            </w:r>
          </w:p>
        </w:tc>
        <w:tc>
          <w:tcPr>
            <w:tcW w:type="dxa" w:w="42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주요 책임</w:t>
            </w:r>
          </w:p>
        </w:tc>
        <w:tc>
          <w:tcPr>
            <w:tcW w:type="dxa" w:w="34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권한 경계</w:t>
            </w:r>
          </w:p>
        </w:tc>
      </w:tr>
      <w:tr>
        <w:trPr>
          <w:cantSplit/>
        </w:trPr>
        <w:tc>
          <w:tcPr>
            <w:tcW w:type="dxa" w:w="2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발주기관 사업 책임자</w:t>
            </w:r>
          </w:p>
        </w:tc>
        <w:tc>
          <w:tcPr>
            <w:tcW w:type="dxa" w:w="4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적용 기준·범위·업무 책임·최종 수용 결정</w:t>
            </w:r>
          </w:p>
        </w:tc>
        <w:tc>
          <w:tcPr>
            <w:tcW w:type="dxa" w:w="3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기관의 위임·계약 절차에 따른 결정</w:t>
            </w:r>
          </w:p>
        </w:tc>
      </w:tr>
      <w:tr>
        <w:trPr>
          <w:cantSplit/>
        </w:trPr>
        <w:tc>
          <w:tcPr>
            <w:tcW w:type="dxa" w:w="2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담당자·업무 검토자</w:t>
            </w:r>
          </w:p>
        </w:tc>
        <w:tc>
          <w:tcPr>
            <w:tcW w:type="dxa" w:w="4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기준 확인·검토·보완·소명 검토·인수인계</w:t>
            </w:r>
          </w:p>
        </w:tc>
        <w:tc>
          <w:tcPr>
            <w:tcW w:type="dxa" w:w="3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배정된 사업·자료·검토 범위</w:t>
            </w:r>
          </w:p>
        </w:tc>
      </w:tr>
      <w:tr>
        <w:trPr>
          <w:cantSplit/>
        </w:trPr>
        <w:tc>
          <w:tcPr>
            <w:tcW w:type="dxa" w:w="2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수행기업 PM·실무자</w:t>
            </w:r>
          </w:p>
        </w:tc>
        <w:tc>
          <w:tcPr>
            <w:tcW w:type="dxa" w:w="4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공식 제출·증거·자체점검·보완·소명</w:t>
            </w:r>
          </w:p>
        </w:tc>
        <w:tc>
          <w:tcPr>
            <w:tcW w:type="dxa" w:w="3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기관의 판단·타 기업 자료를 변경하지 않음</w:t>
            </w:r>
          </w:p>
        </w:tc>
      </w:tr>
      <w:tr>
        <w:trPr>
          <w:cantSplit/>
        </w:trPr>
        <w:tc>
          <w:tcPr>
            <w:tcW w:type="dxa" w:w="2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평가 참여자</w:t>
            </w:r>
          </w:p>
        </w:tc>
        <w:tc>
          <w:tcPr>
            <w:tcW w:type="dxa" w:w="4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자신의 역할·기간·관찰 범위에 대한 의견</w:t>
            </w:r>
          </w:p>
        </w:tc>
        <w:tc>
          <w:tcPr>
            <w:tcW w:type="dxa" w:w="3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관찰불가와 미응답을 표시하고 원응답 보호</w:t>
            </w:r>
          </w:p>
        </w:tc>
      </w:tr>
      <w:tr>
        <w:trPr>
          <w:cantSplit/>
        </w:trPr>
        <w:tc>
          <w:tcPr>
            <w:tcW w:type="dxa" w:w="2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운영 담당자·후임</w:t>
            </w:r>
          </w:p>
        </w:tc>
        <w:tc>
          <w:tcPr>
            <w:tcW w:type="dxa" w:w="4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미결 책임 인수·지원 기간·장애·갱신 준비</w:t>
            </w:r>
          </w:p>
        </w:tc>
        <w:tc>
          <w:tcPr>
            <w:tcW w:type="dxa" w:w="3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역할 전환 전후 권한을 각각 확인</w:t>
            </w:r>
          </w:p>
        </w:tc>
      </w:tr>
      <w:tr>
        <w:trPr>
          <w:cantSplit/>
        </w:trPr>
        <w:tc>
          <w:tcPr>
            <w:tcW w:type="dxa" w:w="2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구축 수행사업자</w:t>
            </w:r>
          </w:p>
        </w:tc>
        <w:tc>
          <w:tcPr>
            <w:tcW w:type="dxa" w:w="42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구축·기술지원·결함조치·문서·교육·인수지원</w:t>
            </w:r>
          </w:p>
        </w:tc>
        <w:tc>
          <w:tcPr>
            <w:tcW w:type="dxa" w:w="3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기관의 검토·평가 판단을 대신 확정하지 않음</w:t>
            </w:r>
          </w:p>
        </w:tc>
      </w:tr>
    </w:tbl>
    <w:p>
      <w:pPr>
        <w:spacing w:after="20" w:line="40" w:lineRule="exact"/>
      </w:pPr>
    </w:p>
    <w:p>
      <w:pPr>
        <w:pStyle w:val="Heading2"/>
      </w:pPr>
      <w:r>
        <w:t>2 목표 서비스 구조</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60"/>
        <w:gridCol w:w="7800"/>
      </w:tblGrid>
      <w:tr>
        <w:trPr>
          <w:cantSplit/>
          <w:tblHeader/>
        </w:trPr>
        <w:tc>
          <w:tcPr>
            <w:tcW w:type="dxa" w:w="20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계층</w:t>
            </w:r>
          </w:p>
        </w:tc>
        <w:tc>
          <w:tcPr>
            <w:tcW w:type="dxa" w:w="78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구성 및 책임</w:t>
            </w:r>
          </w:p>
        </w:tc>
      </w:tr>
      <w:tr>
        <w:trPr>
          <w:cantSplit/>
        </w:trPr>
        <w:tc>
          <w:tcPr>
            <w:tcW w:type="dxa" w:w="2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업무 서비스</w:t>
            </w:r>
          </w:p>
        </w:tc>
        <w:tc>
          <w:tcPr>
            <w:tcW w:type="dxa" w:w="7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공동 사업관리 / 산출물 검토·보완 / 평가 수집·정정 / 운영·인수인계</w:t>
            </w:r>
          </w:p>
        </w:tc>
      </w:tr>
      <w:tr>
        <w:trPr>
          <w:cantSplit/>
        </w:trPr>
        <w:tc>
          <w:tcPr>
            <w:tcW w:type="dxa" w:w="2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공통 검사·검토 기능</w:t>
            </w:r>
          </w:p>
        </w:tc>
        <w:tc>
          <w:tcPr>
            <w:tcW w:type="dxa" w:w="7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기준 등록→증거 연결→누락·불일치 후보→전문 검토→조치→재검증→근거 이력</w:t>
            </w:r>
          </w:p>
        </w:tc>
      </w:tr>
      <w:tr>
        <w:trPr>
          <w:cantSplit/>
        </w:trPr>
        <w:tc>
          <w:tcPr>
            <w:tcW w:type="dxa" w:w="2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업무 데이터</w:t>
            </w:r>
          </w:p>
        </w:tc>
        <w:tc>
          <w:tcPr>
            <w:tcW w:type="dxa" w:w="7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기관·서비스·사업·계약·역할·기준·일정·산출물·판단·평가·지원 책임</w:t>
            </w:r>
          </w:p>
        </w:tc>
      </w:tr>
      <w:tr>
        <w:trPr>
          <w:cantSplit/>
        </w:trPr>
        <w:tc>
          <w:tcPr>
            <w:tcW w:type="dxa" w:w="2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공통 통제</w:t>
            </w:r>
          </w:p>
        </w:tc>
        <w:tc>
          <w:tcPr>
            <w:tcW w:type="dxa" w:w="7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기관·사업·기업 권한 / 출처·버전 / 정정·보존 / 운영 로그 / 모델·규칙 변경</w:t>
            </w:r>
          </w:p>
        </w:tc>
      </w:tr>
      <w:tr>
        <w:trPr>
          <w:cantSplit/>
        </w:trPr>
        <w:tc>
          <w:tcPr>
            <w:tcW w:type="dxa" w:w="2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외부 경계</w:t>
            </w:r>
          </w:p>
        </w:tc>
        <w:tc>
          <w:tcPr>
            <w:tcW w:type="dxa" w:w="7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 로컬 LLM·허용 저장소 / 계정·조직 및 계약·결재·PMS 연계는 조건부</w:t>
            </w:r>
          </w:p>
        </w:tc>
      </w:tr>
      <w:tr>
        <w:trPr>
          <w:cantSplit/>
        </w:trPr>
        <w:tc>
          <w:tcPr>
            <w:tcW w:type="dxa" w:w="20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후속 확장 경계</w:t>
            </w:r>
          </w:p>
        </w:tc>
        <w:tc>
          <w:tcPr>
            <w:tcW w:type="dxa" w:w="78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감리와 전문 Finding, 성과분석, 레퍼런스 고도화는 별도 계약·조건으로 확장</w:t>
            </w:r>
          </w:p>
        </w:tc>
      </w:tr>
    </w:tbl>
    <w:p>
      <w:pPr>
        <w:spacing w:after="20" w:line="40" w:lineRule="exact"/>
      </w:pPr>
    </w:p>
    <w:p>
      <w:r>
        <w:rPr>
          <w:rFonts w:ascii="맑은 고딕" w:hAnsi="맑은 고딕" w:eastAsia="맑은 고딕" w:cs="맑은 고딕"/>
          <w:b w:val="0"/>
          <w:color w:val="000000"/>
        </w:rPr>
        <w:t>동일한 서비스에 구축·운영·고도화 계약을 동시에 연결한다. 사업 종료와 서비스 관리 종료를 분리하며, 공통 기능의 재사용이 기관 간 데이터 공유 권한을 부여하지는 않는다.</w:t>
      </w:r>
    </w:p>
    <w:p>
      <w:pPr>
        <w:pStyle w:val="Heading2"/>
        <w:pageBreakBefore/>
      </w:pPr>
      <w:r>
        <w:t>3 수행 단계와 검토 시점</w:t>
      </w:r>
    </w:p>
    <w:p>
      <w:r>
        <w:rPr>
          <w:rFonts w:ascii="맑은 고딕" w:hAnsi="맑은 고딕" w:eastAsia="맑은 고딕" w:cs="맑은 고딕"/>
          <w:b w:val="0"/>
          <w:color w:val="000000"/>
        </w:rPr>
        <w:t>사업기간은 규모·업무량·기존 자원·기관 협조와 단계별 검토 소요를 반영하여 PG-03에서 확정한다. 다음은 달력 일정이 아닌 선행관계와 종료 조건이다.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640"/>
        <w:gridCol w:w="4480"/>
        <w:gridCol w:w="3740"/>
      </w:tblGrid>
      <w:tr>
        <w:trPr>
          <w:cantSplit/>
          <w:tblHeader/>
        </w:trPr>
        <w:tc>
          <w:tcPr>
            <w:tcW w:type="dxa" w:w="164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단계</w:t>
            </w:r>
          </w:p>
        </w:tc>
        <w:tc>
          <w:tcPr>
            <w:tcW w:type="dxa" w:w="448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주요 작업과 제출물</w:t>
            </w:r>
          </w:p>
        </w:tc>
        <w:tc>
          <w:tcPr>
            <w:tcW w:type="dxa" w:w="374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기관 확인 후 다음 단계</w:t>
            </w:r>
          </w:p>
        </w:tc>
      </w:tr>
      <w:tr>
        <w:trPr>
          <w:cantSplit/>
        </w:trPr>
        <w:tc>
          <w:tcPr>
            <w:tcW w:type="dxa" w:w="16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준비 PP</w:t>
            </w:r>
          </w:p>
        </w:tc>
        <w:tc>
          <w:tcPr>
            <w:tcW w:type="dxa" w:w="44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테일러링·WBS·수행계획·기존 환경 및 사용권 확인</w:t>
            </w:r>
          </w:p>
        </w:tc>
        <w:tc>
          <w:tcPr>
            <w:tcW w:type="dxa" w:w="37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적용 범위·조건부 채택·역할·일정 기준선</w:t>
            </w:r>
          </w:p>
        </w:tc>
      </w:tr>
      <w:tr>
        <w:trPr>
          <w:cantSplit/>
        </w:trPr>
        <w:tc>
          <w:tcPr>
            <w:tcW w:type="dxa" w:w="16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분석 AN</w:t>
            </w:r>
          </w:p>
        </w:tc>
        <w:tc>
          <w:tcPr>
            <w:tcW w:type="dxa" w:w="44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업무/병목·요구사항·원문·자료·연계·FP 분석</w:t>
            </w:r>
          </w:p>
        </w:tc>
        <w:tc>
          <w:tcPr>
            <w:tcW w:type="dxa" w:w="37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요구와 수용조건·대상 물량·미결 영향</w:t>
            </w:r>
          </w:p>
        </w:tc>
      </w:tr>
      <w:tr>
        <w:trPr>
          <w:cantSplit/>
        </w:trPr>
        <w:tc>
          <w:tcPr>
            <w:tcW w:type="dxa" w:w="16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설계 DE</w:t>
            </w:r>
          </w:p>
        </w:tc>
        <w:tc>
          <w:tcPr>
            <w:tcW w:type="dxa" w:w="44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서비스/권한/상태·화면·데이터·AI 근거·연계·복구 설계</w:t>
            </w:r>
          </w:p>
        </w:tc>
        <w:tc>
          <w:tcPr>
            <w:tcW w:type="dxa" w:w="37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추적성·동작 예외·보안·시험계획 적정성</w:t>
            </w:r>
          </w:p>
        </w:tc>
      </w:tr>
      <w:tr>
        <w:trPr>
          <w:cantSplit/>
        </w:trPr>
        <w:tc>
          <w:tcPr>
            <w:tcW w:type="dxa" w:w="16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구현 CO</w:t>
            </w:r>
          </w:p>
        </w:tc>
        <w:tc>
          <w:tcPr>
            <w:tcW w:type="dxa" w:w="44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확정 설계에 따른 SW·설정·단위시험·보안 점검</w:t>
            </w:r>
          </w:p>
        </w:tc>
        <w:tc>
          <w:tcPr>
            <w:tcW w:type="dxa" w:w="37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개별 기능과 코드·의존 SW·권한 결과</w:t>
            </w:r>
          </w:p>
        </w:tc>
      </w:tr>
      <w:tr>
        <w:trPr>
          <w:cantSplit/>
        </w:trPr>
        <w:tc>
          <w:tcPr>
            <w:tcW w:type="dxa" w:w="16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설치 IM 및 시험 TE</w:t>
            </w:r>
          </w:p>
        </w:tc>
        <w:tc>
          <w:tcPr>
            <w:tcW w:type="dxa" w:w="44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검증환경 설치 후 통합/UAT·AI·성능·복구 시험</w:t>
            </w:r>
          </w:p>
        </w:tc>
        <w:tc>
          <w:tcPr>
            <w:tcW w:type="dxa" w:w="37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결함 보완·재시험·전환 조건</w:t>
            </w:r>
          </w:p>
        </w:tc>
      </w:tr>
      <w:tr>
        <w:trPr>
          <w:cantSplit/>
        </w:trPr>
        <w:tc>
          <w:tcPr>
            <w:tcW w:type="dxa" w:w="16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인도 TO</w:t>
            </w:r>
          </w:p>
        </w:tc>
        <w:tc>
          <w:tcPr>
            <w:tcW w:type="dxa" w:w="44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사용/운영 교육·자료/설정/소스 인계·종료 점검</w:t>
            </w:r>
          </w:p>
        </w:tc>
        <w:tc>
          <w:tcPr>
            <w:tcW w:type="dxa" w:w="37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납품·최종 인수·잔여 책임·후속 지원</w:t>
            </w:r>
          </w:p>
        </w:tc>
      </w:tr>
    </w:tbl>
    <w:p>
      <w:pPr>
        <w:spacing w:after="20" w:line="40" w:lineRule="exact"/>
      </w:pPr>
    </w:p>
    <w:p>
      <w:pPr>
        <w:pStyle w:val="Heading2"/>
      </w:pPr>
      <w:r>
        <w:t>4 공통 업무 규칙</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700"/>
        <w:gridCol w:w="8160"/>
      </w:tblGrid>
      <w:tr>
        <w:trPr>
          <w:cantSplit/>
          <w:tblHeader/>
        </w:trPr>
        <w:tc>
          <w:tcPr>
            <w:tcW w:type="dxa" w:w="17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규칙</w:t>
            </w:r>
          </w:p>
        </w:tc>
        <w:tc>
          <w:tcPr>
            <w:tcW w:type="dxa" w:w="81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수행·검수 시 적용</w:t>
            </w:r>
          </w:p>
        </w:tc>
      </w:tr>
      <w:tr>
        <w:trPr>
          <w:cantSplit/>
        </w:trPr>
        <w:tc>
          <w:tcPr>
            <w:tcW w:type="dxa" w:w="17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후보와 결정</w:t>
            </w:r>
          </w:p>
        </w:tc>
        <w:tc>
          <w:tcPr>
            <w:tcW w:type="dxa" w:w="8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AI 출력은 후보이며 지정된 사람이 판단한다. 지적 건수로 자동 감점하지 않는다.</w:t>
            </w:r>
          </w:p>
        </w:tc>
      </w:tr>
      <w:tr>
        <w:trPr>
          <w:cantSplit/>
        </w:trPr>
        <w:tc>
          <w:tcPr>
            <w:tcW w:type="dxa" w:w="17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접수와 분석</w:t>
            </w:r>
          </w:p>
        </w:tc>
        <w:tc>
          <w:tcPr>
            <w:tcW w:type="dxa" w:w="8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접수증·분석 진행·내용 승인 상태를 분리한다. 분석 실패가 접수 소실로 이어져서는 안 된다.</w:t>
            </w:r>
          </w:p>
        </w:tc>
      </w:tr>
      <w:tr>
        <w:trPr>
          <w:cantSplit/>
        </w:trPr>
        <w:tc>
          <w:tcPr>
            <w:tcW w:type="dxa" w:w="17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일정과 귀책</w:t>
            </w:r>
          </w:p>
        </w:tc>
        <w:tc>
          <w:tcPr>
            <w:tcW w:type="dxa" w:w="8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초기 계획·승인 변경·최신 예상·실제일을 구분한다. 지연 사실만으로 기업 책임을 확정하지 않는다.</w:t>
            </w:r>
          </w:p>
        </w:tc>
      </w:tr>
      <w:tr>
        <w:trPr>
          <w:cantSplit/>
        </w:trPr>
        <w:tc>
          <w:tcPr>
            <w:tcW w:type="dxa" w:w="17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버전과 재검증</w:t>
            </w:r>
          </w:p>
        </w:tc>
        <w:tc>
          <w:tcPr>
            <w:tcW w:type="dxa" w:w="8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기준·산출물 버전에 대해 재검증하며 과거 승인을 신규 버전에 자동 승계하지 않는다.</w:t>
            </w:r>
          </w:p>
        </w:tc>
      </w:tr>
      <w:tr>
        <w:trPr>
          <w:cantSplit/>
        </w:trPr>
        <w:tc>
          <w:tcPr>
            <w:tcW w:type="dxa" w:w="17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자료와 불확실성</w:t>
            </w:r>
          </w:p>
        </w:tc>
        <w:tc>
          <w:tcPr>
            <w:tcW w:type="dxa" w:w="8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미지원·미검사·증거 부족·관찰불가·미확정을 통과 또는 0점으로 변환하지 않는다.</w:t>
            </w:r>
          </w:p>
        </w:tc>
      </w:tr>
      <w:tr>
        <w:trPr>
          <w:cantSplit/>
        </w:trPr>
        <w:tc>
          <w:tcPr>
            <w:tcW w:type="dxa" w:w="17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권한과 운영</w:t>
            </w:r>
          </w:p>
        </w:tc>
        <w:tc>
          <w:tcPr>
            <w:tcW w:type="dxa" w:w="8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문서 명령은 권한·기준·외부 전송을 변경할 수 없다. 장애 시 수동 검토와 정정 추적 경로를 유지한다.</w:t>
            </w:r>
          </w:p>
        </w:tc>
      </w:tr>
    </w:tbl>
    <w:p>
      <w:pPr>
        <w:spacing w:after="20" w:line="40" w:lineRule="exact"/>
      </w:pPr>
    </w:p>
    <w:p>
      <w:pPr>
        <w:pStyle w:val="Heading1"/>
        <w:pageBreakBefore/>
      </w:pPr>
      <w:r>
        <w:t>Ⅲ 제안요청 내용</w:t>
      </w:r>
    </w:p>
    <w:p>
      <w:pPr>
        <w:pStyle w:val="Heading2"/>
      </w:pPr>
      <w:r>
        <w:t>1 요구사항 총괄</w:t>
      </w:r>
    </w:p>
    <w:p>
      <w:r>
        <w:rPr>
          <w:rFonts w:ascii="맑은 고딕" w:hAnsi="맑은 고딕" w:eastAsia="맑은 고딕" w:cs="맑은 고딕"/>
          <w:b w:val="0"/>
          <w:color w:val="000000"/>
        </w:rPr>
        <w:t>본 RFP의 고유번호는 발주 문서용 번호이다. 원 요구사항의 PMS 식별자는 별첨 추적표에 보존한다. 기존 1차 요구 46개를 전환하고 발주·산출물 관리 2개, 시험 수행 4개를 추가하였다. 후속 요구 12개는 이번 대가·납품·검수에 포함하지 않는다.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5040"/>
        <w:gridCol w:w="3660"/>
        <w:gridCol w:w="1160"/>
      </w:tblGrid>
      <w:tr>
        <w:trPr>
          <w:cantSplit/>
          <w:tblHeader/>
        </w:trPr>
        <w:tc>
          <w:tcPr>
            <w:tcW w:type="dxa" w:w="504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요구사항 구분</w:t>
            </w:r>
          </w:p>
        </w:tc>
        <w:tc>
          <w:tcPr>
            <w:tcW w:type="dxa" w:w="36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번호 범위</w:t>
            </w:r>
          </w:p>
        </w:tc>
        <w:tc>
          <w:tcPr>
            <w:tcW w:type="dxa" w:w="11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수량</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기능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SFR-001 ~ SFR-025</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25</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시스템인터페이스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SIR-001 ~ SIR-002</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2</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인터페이스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INR-001 ~ INR-001</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1</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데이터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DAR-001 ~ DAR-004</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4</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성능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PER-001 ~ PER-001</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1</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테스트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TER-001 ~ TER-004</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4</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보안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SER-001 ~ SER-002</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2</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품질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QUR-001 ~ QUR-004</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4</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제약사항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COR-001 ~ COR-002</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2</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프로젝트 관리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PMR-001 ~ PMR-004</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4</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프로젝트 지원 요구사항</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PSR-001 ~ PSR-003</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3</w:t>
            </w:r>
          </w:p>
        </w:tc>
      </w:tr>
      <w:tr>
        <w:trPr>
          <w:cantSplit/>
        </w:trPr>
        <w:tc>
          <w:tcPr>
            <w:tcW w:type="dxa" w:w="50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합계</w:t>
            </w:r>
          </w:p>
        </w:tc>
        <w:tc>
          <w:tcPr>
            <w:tcW w:type="dxa" w:w="36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필수 50 · 조건부 2</w:t>
            </w:r>
          </w:p>
        </w:tc>
        <w:tc>
          <w:tcPr>
            <w:tcW w:type="dxa" w:w="11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52</w:t>
            </w:r>
          </w:p>
        </w:tc>
      </w:tr>
    </w:tbl>
    <w:p>
      <w:pPr>
        <w:spacing w:after="20" w:line="40" w:lineRule="exact"/>
      </w:pPr>
    </w:p>
    <w:p>
      <w:r>
        <w:rPr>
          <w:rFonts w:ascii="맑은 고딕" w:hAnsi="맑은 고딕" w:eastAsia="맑은 고딕" w:cs="맑은 고딕"/>
          <w:b w:val="0"/>
          <w:color w:val="000000"/>
        </w:rPr>
        <w:t>시스템 장비구성 요구사항 ECR은 신규 장비 도입이 없어 0개다. SIR-001·002는 공고 전에 포함 또는 제외와 물량을 결정한다. 미채택 연계는 수동 등록·원문 대조 경로와 가격 영향을 명시한다. 조건부 상태를 무한한 추가 과업이나 무상 의무의 근거로 삼지 않는다.</w:t>
      </w:r>
    </w:p>
    <w:p>
      <w:pPr>
        <w:pStyle w:val="Heading2"/>
      </w:pPr>
      <w:r>
        <w:t>2 상세 요구사항 적용 방법</w:t>
      </w:r>
    </w:p>
    <w:p>
      <w:r>
        <w:rPr>
          <w:rFonts w:ascii="맑은 고딕" w:hAnsi="맑은 고딕" w:eastAsia="맑은 고딕" w:cs="맑은 고딕"/>
          <w:b w:val="0"/>
          <w:color w:val="000000"/>
        </w:rPr>
        <w:t>각 표의 정의·세부내용은 수행 의무이며 검수 기준은 확인 조건이다. 납품·추적 항목은 검증 근거의 위치를 지정한다. 미확정 수치와 처리 범위는 별첨 공고 전 확정표를 통해 종결한 후 공고한다. 상세 설계는 확정 범위의 구현 방식을 구체화하며 공고된 수용기준을 일방적으로 낮추지 않는다.</w:t>
      </w:r>
    </w:p>
    <w:p>
      <w:pPr>
        <w:pStyle w:val="Heading2"/>
        <w:pageBreakBefore/>
      </w:pPr>
      <w:r>
        <w:t>3 상세 요구사항 1</w:t>
      </w:r>
    </w:p>
    <w:p>
      <w:pPr>
        <w:pStyle w:val="Heading3"/>
      </w:pPr>
      <w:r>
        <w:t>SFR 001 기관 서비스 사업 계약의 연결</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기관·서비스·사업·계약의 연결</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기관이 관리하는 서비스·시스템에 복수 사업과 계약을 연결하고 각 계약의 목적·범위·기간·수행 역할을 구분하여 조회할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동시 구축·운영·고도화를 허용한다. 신규 계약 등록으로 과거 계약·결정을 덮어쓰지 않는다.</w:t>
            </w:r>
          </w:p>
          <w:p>
            <w:pPr>
              <w:spacing w:after="0" w:line="259" w:lineRule="exact"/>
              <w:keepNext w:val="0"/>
              <w:snapToGrid w:val="false"/>
            </w:pPr>
            <w:r>
              <w:rPr>
                <w:rFonts w:ascii="맑은 고딕" w:hAnsi="맑은 고딕" w:eastAsia="맑은 고딕" w:cs="맑은 고딕"/>
                <w:b w:val="0"/>
                <w:color w:val="000000"/>
                <w:sz w:val="19"/>
              </w:rPr>
              <w:t>입력: 기관·서비스·사업·계약 식별정보와 관계</w:t>
            </w:r>
          </w:p>
          <w:p>
            <w:pPr>
              <w:spacing w:after="0" w:line="259" w:lineRule="exact"/>
              <w:keepNext w:val="0"/>
              <w:snapToGrid w:val="false"/>
            </w:pPr>
            <w:r>
              <w:rPr>
                <w:rFonts w:ascii="맑은 고딕" w:hAnsi="맑은 고딕" w:eastAsia="맑은 고딕" w:cs="맑은 고딕"/>
                <w:b w:val="0"/>
                <w:color w:val="000000"/>
                <w:sz w:val="19"/>
              </w:rPr>
              <w:t>업무 결과: 서비스별 사업·계약 목록과 책임 관계</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구축·운영 계약이 같은 서비스에 존재, When 고도화 계약 추가, Then 세 계약의 범위·기간을 구분해 조회할 수 있다.</w:t>
            </w:r>
          </w:p>
          <w:p>
            <w:pPr>
              <w:spacing w:after="0" w:line="259" w:lineRule="exact"/>
              <w:keepNext w:val="0"/>
              <w:snapToGrid w:val="false"/>
            </w:pPr>
            <w:r>
              <w:rPr>
                <w:rFonts w:ascii="맑은 고딕" w:hAnsi="맑은 고딕" w:eastAsia="맑은 고딕" w:cs="맑은 고딕"/>
                <w:b w:val="0"/>
                <w:color w:val="000000"/>
                <w:sz w:val="19"/>
              </w:rPr>
              <w:t>2. Given 사업 종료, When 서비스 이력 조회, Then 종료된 사업의 결정과 후속 계약 관계가 보존된다.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PMS-SFR-001 | TBD-01</w:t>
            </w:r>
          </w:p>
        </w:tc>
      </w:tr>
    </w:tbl>
    <w:p>
      <w:pPr>
        <w:spacing w:after="20" w:line="40" w:lineRule="exact"/>
      </w:pPr>
    </w:p>
    <w:p>
      <w:pPr>
        <w:pStyle w:val="Heading3"/>
      </w:pPr>
      <w:r>
        <w:t>SFR 002 참여 조직 역할 위임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참여 조직·역할·위임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기관·수행사·컨소시엄·감리의 참여 역할과 적용 기간, 검토·승인 위임을 사업별로 관리해야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역할 변경은 과거 행위자를 변경하지 않는다. 수행사와 기술운영자에게 기관 승인·평가 확정 권한을 기본 부여하지 않는다.</w:t>
            </w:r>
          </w:p>
          <w:p>
            <w:pPr>
              <w:spacing w:after="0" w:line="259" w:lineRule="exact"/>
              <w:keepNext w:val="0"/>
              <w:snapToGrid w:val="false"/>
            </w:pPr>
            <w:r>
              <w:rPr>
                <w:rFonts w:ascii="맑은 고딕" w:hAnsi="맑은 고딕" w:eastAsia="맑은 고딕" w:cs="맑은 고딕"/>
                <w:b w:val="0"/>
                <w:color w:val="000000"/>
                <w:sz w:val="19"/>
              </w:rPr>
              <w:t>입력: 참여 조직·사용자·역할·기간·위임 범위</w:t>
            </w:r>
          </w:p>
          <w:p>
            <w:pPr>
              <w:spacing w:after="0" w:line="259" w:lineRule="exact"/>
              <w:keepNext w:val="0"/>
              <w:snapToGrid w:val="false"/>
            </w:pPr>
            <w:r>
              <w:rPr>
                <w:rFonts w:ascii="맑은 고딕" w:hAnsi="맑은 고딕" w:eastAsia="맑은 고딕" w:cs="맑은 고딕"/>
                <w:b w:val="0"/>
                <w:color w:val="000000"/>
                <w:sz w:val="19"/>
              </w:rPr>
              <w:t>업무 결과: 참여 및 권한 이력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위임 기간 종료, When 승인 요청, Then 만료된 위임으로 승인할 수 없다.</w:t>
            </w:r>
          </w:p>
          <w:p>
            <w:pPr>
              <w:spacing w:after="0" w:line="259" w:lineRule="exact"/>
              <w:keepNext w:val="0"/>
              <w:snapToGrid w:val="false"/>
            </w:pPr>
            <w:r>
              <w:rPr>
                <w:rFonts w:ascii="맑은 고딕" w:hAnsi="맑은 고딕" w:eastAsia="맑은 고딕" w:cs="맑은 고딕"/>
                <w:b w:val="0"/>
                <w:color w:val="000000"/>
                <w:sz w:val="19"/>
              </w:rPr>
              <w:t>2. Given 담당자 변경, When 과거 결정 조회, Then 과거 결정자와 현재 담당자가 각각 표시된다.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PMS-SFR-002 | TBD-02</w:t>
            </w:r>
          </w:p>
        </w:tc>
      </w:tr>
    </w:tbl>
    <w:p>
      <w:pPr>
        <w:spacing w:after="20" w:line="40" w:lineRule="exact"/>
      </w:pPr>
    </w:p>
    <w:p>
      <w:pPr>
        <w:pStyle w:val="Heading2"/>
        <w:pageBreakBefore/>
      </w:pPr>
      <w:r>
        <w:t>3 상세 요구사항 2</w:t>
      </w:r>
    </w:p>
    <w:p>
      <w:pPr>
        <w:pStyle w:val="Heading3"/>
      </w:pPr>
      <w:r>
        <w:t>SFR 003 기준 원문 등록 적용 정보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기준 원문 등록·적용 정보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계약·RFP·지침 등의 원문, 버전, 출처 위치와 적용 시점·적용 여부를 관리해야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법적 의무·계약 의무·기관 규칙·권고를 구분한다. 출처 분류만으로 우선순위·적용성을 자동 확정하지 않는다.</w:t>
            </w:r>
          </w:p>
          <w:p>
            <w:pPr>
              <w:spacing w:after="0" w:line="259" w:lineRule="exact"/>
              <w:keepNext w:val="0"/>
              <w:snapToGrid w:val="false"/>
            </w:pPr>
            <w:r>
              <w:rPr>
                <w:rFonts w:ascii="맑은 고딕" w:hAnsi="맑은 고딕" w:eastAsia="맑은 고딕" w:cs="맑은 고딕"/>
                <w:b w:val="0"/>
                <w:color w:val="000000"/>
                <w:sz w:val="19"/>
              </w:rPr>
              <w:t>입력: 원문·출처·버전·시행 또는 적용일·확인자</w:t>
            </w:r>
          </w:p>
          <w:p>
            <w:pPr>
              <w:spacing w:after="0" w:line="259" w:lineRule="exact"/>
              <w:keepNext w:val="0"/>
              <w:snapToGrid w:val="false"/>
            </w:pPr>
            <w:r>
              <w:rPr>
                <w:rFonts w:ascii="맑은 고딕" w:hAnsi="맑은 고딕" w:eastAsia="맑은 고딕" w:cs="맑은 고딕"/>
                <w:b w:val="0"/>
                <w:color w:val="000000"/>
                <w:sz w:val="19"/>
              </w:rPr>
              <w:t>업무 결과: 적용 기준 원장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원문 개정, When 새 버전 등록, Then 이전 적용본과 현재 후보를 구분해 조회할 수 있다.</w:t>
            </w:r>
          </w:p>
          <w:p>
            <w:pPr>
              <w:spacing w:after="0" w:line="259" w:lineRule="exact"/>
              <w:keepNext w:val="0"/>
              <w:snapToGrid w:val="false"/>
            </w:pPr>
            <w:r>
              <w:rPr>
                <w:rFonts w:ascii="맑은 고딕" w:hAnsi="맑은 고딕" w:eastAsia="맑은 고딕" w:cs="맑은 고딕"/>
                <w:b w:val="0"/>
                <w:color w:val="000000"/>
                <w:sz w:val="19"/>
              </w:rPr>
              <w:t>2. Given 적용일·근거 미확인, When 기준 조회, Then 미확인 상태가 표시되고 확정 적용으로 표시되지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PMS-SFR-003 | TBD-03</w:t>
            </w:r>
          </w:p>
        </w:tc>
      </w:tr>
    </w:tbl>
    <w:p>
      <w:pPr>
        <w:spacing w:after="20" w:line="40" w:lineRule="exact"/>
      </w:pPr>
    </w:p>
    <w:p>
      <w:pPr>
        <w:pStyle w:val="Heading3"/>
      </w:pPr>
      <w:r>
        <w:t>SFR 004 요구 의무 완료조건 후보 추출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요구·의무·완료조건 후보 추출</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허용된 텍스트 원문에서 이행 요구·책임·기한·완료조건 후보를 추출하고 후보마다 근거 위치와 확인 필요사항을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원문에 없는 수치·기한을 확정값으로 채우지 않는다. 추출 불가 구간과 사람의 추가 입력을 구분한다.</w:t>
            </w:r>
          </w:p>
          <w:p>
            <w:pPr>
              <w:spacing w:after="0" w:line="259" w:lineRule="exact"/>
              <w:keepNext w:val="0"/>
              <w:snapToGrid w:val="false"/>
            </w:pPr>
            <w:r>
              <w:rPr>
                <w:rFonts w:ascii="맑은 고딕" w:hAnsi="맑은 고딕" w:eastAsia="맑은 고딕" w:cs="맑은 고딕"/>
                <w:b w:val="0"/>
                <w:color w:val="000000"/>
                <w:sz w:val="19"/>
              </w:rPr>
              <w:t>입력: 기준 원문·텍스트 추출 결과</w:t>
            </w:r>
          </w:p>
          <w:p>
            <w:pPr>
              <w:spacing w:after="0" w:line="259" w:lineRule="exact"/>
              <w:keepNext w:val="0"/>
              <w:snapToGrid w:val="false"/>
            </w:pPr>
            <w:r>
              <w:rPr>
                <w:rFonts w:ascii="맑은 고딕" w:hAnsi="맑은 고딕" w:eastAsia="맑은 고딕" w:cs="맑은 고딕"/>
                <w:b w:val="0"/>
                <w:color w:val="000000"/>
                <w:sz w:val="19"/>
              </w:rPr>
              <w:t>업무 결과: 원문과 연결된 요구 후보</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기한이 명시되지 않은 과업, When 후보 추출, Then 기한을 임의 생성하지 않고 확인 필요로 제시한다.</w:t>
            </w:r>
          </w:p>
          <w:p>
            <w:pPr>
              <w:spacing w:after="0" w:line="259" w:lineRule="exact"/>
              <w:keepNext w:val="0"/>
              <w:snapToGrid w:val="false"/>
            </w:pPr>
            <w:r>
              <w:rPr>
                <w:rFonts w:ascii="맑은 고딕" w:hAnsi="맑은 고딕" w:eastAsia="맑은 고딕" w:cs="맑은 고딕"/>
                <w:b w:val="0"/>
                <w:color w:val="000000"/>
                <w:sz w:val="19"/>
              </w:rPr>
              <w:t>2. Given 근거가 있는 후보, When 원문 확인, Then 해당 버전·위치를 열어 대조할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PMS-SFR-004 | TBD-04</w:t>
            </w:r>
          </w:p>
        </w:tc>
      </w:tr>
    </w:tbl>
    <w:p>
      <w:pPr>
        <w:spacing w:after="20" w:line="40" w:lineRule="exact"/>
      </w:pPr>
    </w:p>
    <w:p>
      <w:pPr>
        <w:pStyle w:val="Heading2"/>
        <w:pageBreakBefore/>
      </w:pPr>
      <w:r>
        <w:t>3 상세 요구사항 3</w:t>
      </w:r>
    </w:p>
    <w:p>
      <w:pPr>
        <w:pStyle w:val="Heading3"/>
      </w:pPr>
      <w:r>
        <w:t>SFR 005 공동 기준 검토 확정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SFR-005</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공동 기준 검토·확정</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기관·수행사의 의견과 충돌 조정 결과를 연결하고 권한자가 사업 기준을 버전별로 확정할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필수 완료조건의 충돌이 남으면 해당 항목은 확정할 수 없다. 일부 범위 확정 시 제외 범위·사유·후속 책임을 명시한다.</w:t>
            </w:r>
          </w:p>
          <w:p>
            <w:pPr>
              <w:spacing w:after="0" w:line="259" w:lineRule="exact"/>
              <w:keepNext w:val="0"/>
              <w:snapToGrid w:val="false"/>
            </w:pPr>
            <w:r>
              <w:rPr>
                <w:rFonts w:ascii="맑은 고딕" w:hAnsi="맑은 고딕" w:eastAsia="맑은 고딕" w:cs="맑은 고딕"/>
                <w:b w:val="0"/>
                <w:color w:val="000000"/>
                <w:sz w:val="19"/>
              </w:rPr>
              <w:t>입력: 기준 후보·각 측 의견·해결 근거·승인 범위</w:t>
            </w:r>
          </w:p>
          <w:p>
            <w:pPr>
              <w:spacing w:after="0" w:line="259" w:lineRule="exact"/>
              <w:keepNext w:val="0"/>
              <w:snapToGrid w:val="false"/>
            </w:pPr>
            <w:r>
              <w:rPr>
                <w:rFonts w:ascii="맑은 고딕" w:hAnsi="맑은 고딕" w:eastAsia="맑은 고딕" w:cs="맑은 고딕"/>
                <w:b w:val="0"/>
                <w:color w:val="000000"/>
                <w:sz w:val="19"/>
              </w:rPr>
              <w:t>업무 결과: 승인된 Baseline과 미확정 항목</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필수 조건 충돌이 미해결, When 해당 항목 확정, Then 승인되지 않고 쟁점이 유지된다.</w:t>
            </w:r>
          </w:p>
          <w:p>
            <w:pPr>
              <w:spacing w:after="0" w:line="259" w:lineRule="exact"/>
              <w:keepNext w:val="0"/>
              <w:snapToGrid w:val="false"/>
            </w:pPr>
            <w:r>
              <w:rPr>
                <w:rFonts w:ascii="맑은 고딕" w:hAnsi="맑은 고딕" w:eastAsia="맑은 고딕" w:cs="맑은 고딕"/>
                <w:b w:val="0"/>
                <w:color w:val="000000"/>
                <w:sz w:val="19"/>
              </w:rPr>
              <w:t>2. Given 쟁점 해결과 승인권자 확인, When 기준 확정, Then 버전·확정자·범위·근거가 함께 남는다.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PMS-SFR-005 | TBD-02, TBD-03</w:t>
            </w:r>
          </w:p>
        </w:tc>
      </w:tr>
    </w:tbl>
    <w:p>
      <w:pPr>
        <w:spacing w:after="20" w:line="40" w:lineRule="exact"/>
      </w:pPr>
    </w:p>
    <w:p>
      <w:pPr>
        <w:pStyle w:val="Heading3"/>
      </w:pPr>
      <w:r>
        <w:t>SFR 006 기준 범위 일정 변경의 영향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SFR-006</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기준·범위·일정 변경의 영향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승인 후 변경 요청·영향 항목·의견·결정·효력 시점을 관리하고 승인 변경을 새 기준 버전으로 연결해야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제출본·검토·평가의 적용 기준을 보존한다. 변경 요청·예상일 수정만으로 승인 기한을 바꾸지 않는다.</w:t>
            </w:r>
          </w:p>
          <w:p>
            <w:pPr>
              <w:spacing w:after="0" w:line="259" w:lineRule="exact"/>
              <w:keepNext w:val="0"/>
              <w:snapToGrid w:val="false"/>
            </w:pPr>
            <w:r>
              <w:rPr>
                <w:rFonts w:ascii="맑은 고딕" w:hAnsi="맑은 고딕" w:eastAsia="맑은 고딕" w:cs="맑은 고딕"/>
                <w:b w:val="0"/>
                <w:color w:val="000000"/>
                <w:sz w:val="19"/>
              </w:rPr>
              <w:t>입력: 변경 사유·대상·영향·효력·승인 근거</w:t>
            </w:r>
          </w:p>
          <w:p>
            <w:pPr>
              <w:spacing w:after="0" w:line="259" w:lineRule="exact"/>
              <w:keepNext w:val="0"/>
              <w:snapToGrid w:val="false"/>
            </w:pPr>
            <w:r>
              <w:rPr>
                <w:rFonts w:ascii="맑은 고딕" w:hAnsi="맑은 고딕" w:eastAsia="맑은 고딕" w:cs="맑은 고딕"/>
                <w:b w:val="0"/>
                <w:color w:val="000000"/>
                <w:sz w:val="19"/>
              </w:rPr>
              <w:t>업무 결과: 변경 전후 기준과 영향 목록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변경 요청만 등록, When 일정 조회, Then 현재 승인 기한은 유지된다.</w:t>
            </w:r>
          </w:p>
          <w:p>
            <w:pPr>
              <w:spacing w:after="0" w:line="259" w:lineRule="exact"/>
              <w:keepNext w:val="0"/>
              <w:snapToGrid w:val="false"/>
            </w:pPr>
            <w:r>
              <w:rPr>
                <w:rFonts w:ascii="맑은 고딕" w:hAnsi="맑은 고딕" w:eastAsia="맑은 고딕" w:cs="맑은 고딕"/>
                <w:b w:val="0"/>
                <w:color w:val="000000"/>
                <w:sz w:val="19"/>
              </w:rPr>
              <w:t>2. Given 변경 승인, When 이전 제출 검토 기록 조회, Then 당시 기준과 변경 기준을 구분할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PMS-SFR-006 | TBD-03</w:t>
            </w:r>
          </w:p>
        </w:tc>
      </w:tr>
    </w:tbl>
    <w:p>
      <w:pPr>
        <w:spacing w:after="20" w:line="40" w:lineRule="exact"/>
      </w:pPr>
    </w:p>
    <w:p>
      <w:pPr>
        <w:pStyle w:val="Heading2"/>
        <w:pageBreakBefore/>
      </w:pPr>
      <w:r>
        <w:t>3 상세 요구사항 4</w:t>
      </w:r>
    </w:p>
    <w:p>
      <w:pPr>
        <w:pStyle w:val="Heading3"/>
      </w:pPr>
      <w:r>
        <w:t>SFR 007 공동 WBS 네 종류 일정 선행조건</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SFR-007</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공동 WBS·네 종류 일정·선행조건</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기관과 수행사의 과업·선행조건을 같은 일정에서 관리하고 초기 계획일·승인된 변경 기준일·최신 예상일·실제 완료일을 구분해야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기관의 자료 제공·검토·승인도 과업으로 포함한다. 작업 진척·제출·검토·승인을 구분하고 순환 선행관계는 확인 대상으로 차단한다.</w:t>
            </w:r>
          </w:p>
          <w:p>
            <w:pPr>
              <w:spacing w:after="0" w:line="259" w:lineRule="exact"/>
              <w:keepNext w:val="0"/>
              <w:snapToGrid w:val="false"/>
            </w:pPr>
            <w:r>
              <w:rPr>
                <w:rFonts w:ascii="맑은 고딕" w:hAnsi="맑은 고딕" w:eastAsia="맑은 고딕" w:cs="맑은 고딕"/>
                <w:b w:val="0"/>
                <w:color w:val="000000"/>
                <w:sz w:val="19"/>
              </w:rPr>
              <w:t>입력: 과업·관계·책임 역할·네 종류 날짜</w:t>
            </w:r>
          </w:p>
          <w:p>
            <w:pPr>
              <w:spacing w:after="0" w:line="259" w:lineRule="exact"/>
              <w:keepNext w:val="0"/>
              <w:snapToGrid w:val="false"/>
            </w:pPr>
            <w:r>
              <w:rPr>
                <w:rFonts w:ascii="맑은 고딕" w:hAnsi="맑은 고딕" w:eastAsia="맑은 고딕" w:cs="맑은 고딕"/>
                <w:b w:val="0"/>
                <w:color w:val="000000"/>
                <w:sz w:val="19"/>
              </w:rPr>
              <w:t>업무 결과: 공동 일정·진행·대기 상태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기관 자료 제공이 선행조건, When 해당 자료 미제공, Then 후행 과업에 해당 대기 원인이 표시된다.</w:t>
            </w:r>
          </w:p>
          <w:p>
            <w:pPr>
              <w:spacing w:after="0" w:line="259" w:lineRule="exact"/>
              <w:keepNext w:val="0"/>
              <w:snapToGrid w:val="false"/>
            </w:pPr>
            <w:r>
              <w:rPr>
                <w:rFonts w:ascii="맑은 고딕" w:hAnsi="맑은 고딕" w:eastAsia="맑은 고딕" w:cs="맑은 고딕"/>
                <w:b w:val="0"/>
                <w:color w:val="000000"/>
                <w:sz w:val="19"/>
              </w:rPr>
              <w:t>2. Given 최신 예상 완료일 변경, When 일정 저장, Then 초기 계획일·승인된 변경 기준일은 변경되지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PMS-SFR-007</w:t>
            </w:r>
          </w:p>
        </w:tc>
      </w:tr>
    </w:tbl>
    <w:p>
      <w:pPr>
        <w:spacing w:after="20" w:line="40" w:lineRule="exact"/>
      </w:pPr>
    </w:p>
    <w:p>
      <w:pPr>
        <w:pStyle w:val="Heading3"/>
      </w:pPr>
      <w:r>
        <w:t>SFR 008 역할별 업무함 알림 상향 요청</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SFR-008</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역할별 업무함·알림·상향 요청</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사용자 역할에 맞는 제출·검토·회신·승인·기한 임박 업무와 다음 행동을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수신 권한과 업무의 현재 담당을 확인한다. 전달 실패를 업무 완료로 처리하지 않으며 중복·과도한 알림의 설정 기준을 둔다.</w:t>
            </w:r>
          </w:p>
          <w:p>
            <w:pPr>
              <w:spacing w:after="0" w:line="259" w:lineRule="exact"/>
              <w:keepNext w:val="0"/>
              <w:snapToGrid w:val="false"/>
            </w:pPr>
            <w:r>
              <w:rPr>
                <w:rFonts w:ascii="맑은 고딕" w:hAnsi="맑은 고딕" w:eastAsia="맑은 고딕" w:cs="맑은 고딕"/>
                <w:b w:val="0"/>
                <w:color w:val="000000"/>
                <w:sz w:val="19"/>
              </w:rPr>
              <w:t>입력: 과업 상태·담당·기한·알림 및 상향 기준</w:t>
            </w:r>
          </w:p>
          <w:p>
            <w:pPr>
              <w:spacing w:after="0" w:line="259" w:lineRule="exact"/>
              <w:keepNext w:val="0"/>
              <w:snapToGrid w:val="false"/>
            </w:pPr>
            <w:r>
              <w:rPr>
                <w:rFonts w:ascii="맑은 고딕" w:hAnsi="맑은 고딕" w:eastAsia="맑은 고딕" w:cs="맑은 고딕"/>
                <w:b w:val="0"/>
                <w:color w:val="000000"/>
                <w:sz w:val="19"/>
              </w:rPr>
              <w:t>업무 결과: 역할별 처리 목록·알림·전달 이력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검토 업무 발생, When 담당자가 업무함 조회, Then 대상·기한·근거·다음 행동이 표시된다.</w:t>
            </w:r>
          </w:p>
          <w:p>
            <w:pPr>
              <w:spacing w:after="0" w:line="259" w:lineRule="exact"/>
              <w:keepNext w:val="0"/>
              <w:snapToGrid w:val="false"/>
            </w:pPr>
            <w:r>
              <w:rPr>
                <w:rFonts w:ascii="맑은 고딕" w:hAnsi="맑은 고딕" w:eastAsia="맑은 고딕" w:cs="맑은 고딕"/>
                <w:b w:val="0"/>
                <w:color w:val="000000"/>
                <w:sz w:val="19"/>
              </w:rPr>
              <w:t>2. Given 담당 교체 또는 권한 철회, When 알림 발송, Then 이전 담당자에게 비공개 내용이 전달되지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PMS-SFR-008 | TBD-08</w:t>
            </w:r>
          </w:p>
        </w:tc>
      </w:tr>
    </w:tbl>
    <w:p>
      <w:pPr>
        <w:spacing w:after="20" w:line="40" w:lineRule="exact"/>
      </w:pPr>
    </w:p>
    <w:p>
      <w:pPr>
        <w:pStyle w:val="Heading2"/>
        <w:pageBreakBefore/>
      </w:pPr>
      <w:r>
        <w:t>3 상세 요구사항 5</w:t>
      </w:r>
    </w:p>
    <w:p>
      <w:pPr>
        <w:pStyle w:val="Heading3"/>
      </w:pPr>
      <w:r>
        <w:t>SFR 009 자료 요청 회신 회의 결정 연결</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SFR-009</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자료 요청·회신·회의 결정 연결</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자료 요청·회신·회의 결정에 관련 과업·책임·기한·원문·확정 상태를 연결해야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회의 초안과 확정 결정을 구분한다. AI 요약이나 수신 확인만으로 의무·결정을 새로 확정하지 않는다.</w:t>
            </w:r>
          </w:p>
          <w:p>
            <w:pPr>
              <w:spacing w:after="0" w:line="259" w:lineRule="exact"/>
              <w:keepNext w:val="0"/>
              <w:snapToGrid w:val="false"/>
            </w:pPr>
            <w:r>
              <w:rPr>
                <w:rFonts w:ascii="맑은 고딕" w:hAnsi="맑은 고딕" w:eastAsia="맑은 고딕" w:cs="맑은 고딕"/>
                <w:b w:val="0"/>
                <w:color w:val="000000"/>
                <w:sz w:val="19"/>
              </w:rPr>
              <w:t>입력: 요청·답변·회의 기록·결정 의견</w:t>
            </w:r>
          </w:p>
          <w:p>
            <w:pPr>
              <w:spacing w:after="0" w:line="259" w:lineRule="exact"/>
              <w:keepNext w:val="0"/>
              <w:snapToGrid w:val="false"/>
            </w:pPr>
            <w:r>
              <w:rPr>
                <w:rFonts w:ascii="맑은 고딕" w:hAnsi="맑은 고딕" w:eastAsia="맑은 고딕" w:cs="맑은 고딕"/>
                <w:b w:val="0"/>
                <w:color w:val="000000"/>
                <w:sz w:val="19"/>
              </w:rPr>
              <w:t>업무 결과: 요청 회차·확정 결정·후속 과업</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미확정 회의록, When AI가 요약, Then 후속 의무는 후보로만 표시된다.</w:t>
            </w:r>
          </w:p>
          <w:p>
            <w:pPr>
              <w:spacing w:after="0" w:line="259" w:lineRule="exact"/>
              <w:keepNext w:val="0"/>
              <w:snapToGrid w:val="false"/>
            </w:pPr>
            <w:r>
              <w:rPr>
                <w:rFonts w:ascii="맑은 고딕" w:hAnsi="맑은 고딕" w:eastAsia="맑은 고딕" w:cs="맑은 고딕"/>
                <w:b w:val="0"/>
                <w:color w:val="000000"/>
                <w:sz w:val="19"/>
              </w:rPr>
              <w:t>2. Given 결정 확정, When 관련 과업 조회, Then 결정 원문·확정자·조치 기한을 확인할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PMS-SFR-009</w:t>
            </w:r>
          </w:p>
        </w:tc>
      </w:tr>
    </w:tbl>
    <w:p>
      <w:pPr>
        <w:spacing w:after="20" w:line="40" w:lineRule="exact"/>
      </w:pPr>
    </w:p>
    <w:p>
      <w:pPr>
        <w:pStyle w:val="Heading3"/>
      </w:pPr>
      <w:r>
        <w:t>SFR 010 이슈 위험 병목 책임 구분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SFR-010</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이슈·위험·병목·책임 구분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실제 문제, 예상 위험, 대기 원인과 확인된 책임을 구분하고 처리 담당·기한·상태를 추적해야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기관·수행사·외부 선행조건을 구분한다. 신고·지연·대기만으로 귀책·벌점을 확정하지 않는다.</w:t>
            </w:r>
          </w:p>
          <w:p>
            <w:pPr>
              <w:spacing w:after="0" w:line="259" w:lineRule="exact"/>
              <w:keepNext w:val="0"/>
              <w:snapToGrid w:val="false"/>
            </w:pPr>
            <w:r>
              <w:rPr>
                <w:rFonts w:ascii="맑은 고딕" w:hAnsi="맑은 고딕" w:eastAsia="맑은 고딕" w:cs="맑은 고딕"/>
                <w:b w:val="0"/>
                <w:color w:val="000000"/>
                <w:sz w:val="19"/>
              </w:rPr>
              <w:t>입력: 이슈·위험 신고·대기 사건·원인·근거</w:t>
            </w:r>
          </w:p>
          <w:p>
            <w:pPr>
              <w:spacing w:after="0" w:line="259" w:lineRule="exact"/>
              <w:keepNext w:val="0"/>
              <w:snapToGrid w:val="false"/>
            </w:pPr>
            <w:r>
              <w:rPr>
                <w:rFonts w:ascii="맑은 고딕" w:hAnsi="맑은 고딕" w:eastAsia="맑은 고딕" w:cs="맑은 고딕"/>
                <w:b w:val="0"/>
                <w:color w:val="000000"/>
                <w:sz w:val="19"/>
              </w:rPr>
              <w:t>업무 결과: 미결 원장·대기 원인·조치 목록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수행사가 위험을 자발적으로 신고, When 이력 반영, Then 신고 자체가 감점으로 전환되지 않는다.</w:t>
            </w:r>
          </w:p>
          <w:p>
            <w:pPr>
              <w:spacing w:after="0" w:line="259" w:lineRule="exact"/>
              <w:keepNext w:val="0"/>
              <w:snapToGrid w:val="false"/>
            </w:pPr>
            <w:r>
              <w:rPr>
                <w:rFonts w:ascii="맑은 고딕" w:hAnsi="맑은 고딕" w:eastAsia="맑은 고딕" w:cs="맑은 고딕"/>
                <w:b w:val="0"/>
                <w:color w:val="000000"/>
                <w:sz w:val="19"/>
              </w:rPr>
              <w:t>2. Given 기관 검토 대기, When 병목 조회, Then 수행사 지연과 구분하고 책임 미확정은 별도로 표시한다.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PMS-SFR-010</w:t>
            </w:r>
          </w:p>
        </w:tc>
      </w:tr>
    </w:tbl>
    <w:p>
      <w:pPr>
        <w:spacing w:after="20" w:line="40" w:lineRule="exact"/>
      </w:pPr>
    </w:p>
    <w:p>
      <w:pPr>
        <w:pStyle w:val="Heading2"/>
        <w:pageBreakBefore/>
      </w:pPr>
      <w:r>
        <w:t>3 상세 요구사항 6</w:t>
      </w:r>
    </w:p>
    <w:p>
      <w:pPr>
        <w:pStyle w:val="Heading3"/>
      </w:pPr>
      <w:r>
        <w:t>SFR 011 산출물 요구사항 검증증거 대응</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산출물·요구사항·검증증거 대응</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산출물별 대상 요구·과업·담당·제출기한·검토자·완료조건·필요 증거를 연결해야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하나의 산출물이 여러 요구에 대응할 수 있다. 대응하지 않은 요구와 미확정 연결을 숨기지 않는다.</w:t>
            </w:r>
          </w:p>
          <w:p>
            <w:pPr>
              <w:spacing w:after="0" w:line="259" w:lineRule="exact"/>
              <w:keepNext w:val="0"/>
              <w:snapToGrid w:val="false"/>
            </w:pPr>
            <w:r>
              <w:rPr>
                <w:rFonts w:ascii="맑은 고딕" w:hAnsi="맑은 고딕" w:eastAsia="맑은 고딕" w:cs="맑은 고딕"/>
                <w:b w:val="0"/>
                <w:color w:val="000000"/>
                <w:sz w:val="19"/>
              </w:rPr>
              <w:t>입력: 승인 기준·산출물 목록·과업·검증조건</w:t>
            </w:r>
          </w:p>
          <w:p>
            <w:pPr>
              <w:spacing w:after="0" w:line="259" w:lineRule="exact"/>
              <w:keepNext w:val="0"/>
              <w:snapToGrid w:val="false"/>
            </w:pPr>
            <w:r>
              <w:rPr>
                <w:rFonts w:ascii="맑은 고딕" w:hAnsi="맑은 고딕" w:eastAsia="맑은 고딕" w:cs="맑은 고딕"/>
                <w:b w:val="0"/>
                <w:color w:val="000000"/>
                <w:sz w:val="19"/>
              </w:rPr>
              <w:t>업무 결과: 요구별 산출물 및 증거 대응표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요구에 산출물 연결 없음, When 대응표 조회, Then 미연결 항목이 표시된다.</w:t>
            </w:r>
          </w:p>
          <w:p>
            <w:pPr>
              <w:spacing w:after="0" w:line="259" w:lineRule="exact"/>
              <w:keepNext w:val="0"/>
              <w:snapToGrid w:val="false"/>
            </w:pPr>
            <w:r>
              <w:rPr>
                <w:rFonts w:ascii="맑은 고딕" w:hAnsi="맑은 고딕" w:eastAsia="맑은 고딕" w:cs="맑은 고딕"/>
                <w:b w:val="0"/>
                <w:color w:val="000000"/>
                <w:sz w:val="19"/>
              </w:rPr>
              <w:t>2. Given 하나의 결과서가 여러 요구를 검증, When 제출, Then 각 요구의 증거 위치·확인 상태를 구분할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PMS-SFR-011</w:t>
            </w:r>
          </w:p>
        </w:tc>
      </w:tr>
    </w:tbl>
    <w:p>
      <w:pPr>
        <w:spacing w:after="20" w:line="40" w:lineRule="exact"/>
      </w:pPr>
    </w:p>
    <w:p>
      <w:pPr>
        <w:pStyle w:val="Heading3"/>
      </w:pPr>
      <w:r>
        <w:t>SFR 012 증거 등록 출처 확인 상태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증거 등록·출처·확인 상태</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문서·시험 결과·확정 기록의 원본·버전·출처·발생/수집 시각·위치·접근 범위·확인 상태를 관리해야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파일 무결성은 내용의 사실성을 보장하지 않는다. 미확보·미추출·권한 제한과 부적합을 구분한다.</w:t>
            </w:r>
          </w:p>
          <w:p>
            <w:pPr>
              <w:spacing w:after="0" w:line="259" w:lineRule="exact"/>
              <w:keepNext w:val="0"/>
              <w:snapToGrid w:val="false"/>
            </w:pPr>
            <w:r>
              <w:rPr>
                <w:rFonts w:ascii="맑은 고딕" w:hAnsi="맑은 고딕" w:eastAsia="맑은 고딕" w:cs="맑은 고딕"/>
                <w:b w:val="0"/>
                <w:color w:val="000000"/>
                <w:sz w:val="19"/>
              </w:rPr>
              <w:t>입력: 증거 원본·생성 맥락·출처·요구 연결</w:t>
            </w:r>
          </w:p>
          <w:p>
            <w:pPr>
              <w:spacing w:after="0" w:line="259" w:lineRule="exact"/>
              <w:keepNext w:val="0"/>
              <w:snapToGrid w:val="false"/>
            </w:pPr>
            <w:r>
              <w:rPr>
                <w:rFonts w:ascii="맑은 고딕" w:hAnsi="맑은 고딕" w:eastAsia="맑은 고딕" w:cs="맑은 고딕"/>
                <w:b w:val="0"/>
                <w:color w:val="000000"/>
                <w:sz w:val="19"/>
              </w:rPr>
              <w:t>업무 결과: Evidence 목록과 추출·확인 범위</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원본의 일부 구간 추출 실패, When 증거 조회, Then 확인 구간과 미추출 구간이 구분된다.</w:t>
            </w:r>
          </w:p>
          <w:p>
            <w:pPr>
              <w:spacing w:after="0" w:line="259" w:lineRule="exact"/>
              <w:keepNext w:val="0"/>
              <w:snapToGrid w:val="false"/>
            </w:pPr>
            <w:r>
              <w:rPr>
                <w:rFonts w:ascii="맑은 고딕" w:hAnsi="맑은 고딕" w:eastAsia="맑은 고딕" w:cs="맑은 고딕"/>
                <w:b w:val="0"/>
                <w:color w:val="000000"/>
                <w:sz w:val="19"/>
              </w:rPr>
              <w:t>2. Given 권한 없는 연결 증거, When 조회, Then 원문·비공개 요약이 노출되지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PMS-SFR-012 | TBD-04</w:t>
            </w:r>
          </w:p>
        </w:tc>
      </w:tr>
    </w:tbl>
    <w:p>
      <w:pPr>
        <w:spacing w:after="20" w:line="40" w:lineRule="exact"/>
      </w:pPr>
    </w:p>
    <w:p>
      <w:pPr>
        <w:pStyle w:val="Heading2"/>
        <w:pageBreakBefore/>
      </w:pPr>
      <w:r>
        <w:t>3 상세 요구사항 7</w:t>
      </w:r>
    </w:p>
    <w:p>
      <w:pPr>
        <w:pStyle w:val="Heading3"/>
      </w:pPr>
      <w:r>
        <w:t>SFR 013 수행사 제출 전 자체점검</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 제출 전 자체점검</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수행사가 승인 기준에 따라 작성 중 자료의 필수 항목·증빙 누락 후보를 제출 전에 확인할 수 있게 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결과를 공식 승인·공식 기업평가에 자동 편입하지 않는다. 점검 실패를 이유로 권한 있는 공식 제출 경로를 막지 않는다.</w:t>
            </w:r>
          </w:p>
          <w:p>
            <w:pPr>
              <w:spacing w:after="0" w:line="259" w:lineRule="exact"/>
              <w:keepNext w:val="0"/>
              <w:snapToGrid w:val="false"/>
            </w:pPr>
            <w:r>
              <w:rPr>
                <w:rFonts w:ascii="맑은 고딕" w:hAnsi="맑은 고딕" w:eastAsia="맑은 고딕" w:cs="맑은 고딕"/>
                <w:b w:val="0"/>
                <w:color w:val="000000"/>
                <w:sz w:val="19"/>
              </w:rPr>
              <w:t>입력: 수행사 초안·승인 기준·연결 증거</w:t>
            </w:r>
          </w:p>
          <w:p>
            <w:pPr>
              <w:spacing w:after="0" w:line="259" w:lineRule="exact"/>
              <w:keepNext w:val="0"/>
              <w:snapToGrid w:val="false"/>
            </w:pPr>
            <w:r>
              <w:rPr>
                <w:rFonts w:ascii="맑은 고딕" w:hAnsi="맑은 고딕" w:eastAsia="맑은 고딕" w:cs="맑은 고딕"/>
                <w:b w:val="0"/>
                <w:color w:val="000000"/>
                <w:sz w:val="19"/>
              </w:rPr>
              <w:t>업무 결과: 비공개 자체점검 결과</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수행사 미제출 초안 점검, When 기관이 일반 제출 목록 조회, Then 초안·자체점검 결과가 공개되지 않는다.</w:t>
            </w:r>
          </w:p>
          <w:p>
            <w:pPr>
              <w:spacing w:after="0" w:line="259" w:lineRule="exact"/>
              <w:keepNext w:val="0"/>
              <w:snapToGrid w:val="false"/>
            </w:pPr>
            <w:r>
              <w:rPr>
                <w:rFonts w:ascii="맑은 고딕" w:hAnsi="맑은 고딕" w:eastAsia="맑은 고딕" w:cs="맑은 고딕"/>
                <w:b w:val="0"/>
                <w:color w:val="000000"/>
                <w:sz w:val="19"/>
              </w:rPr>
              <w:t>2. Given 자체점검 서비스 실패, When 정상 형식 자료 제출, Then 공식 제출을 진행할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PMS-SFR-013</w:t>
            </w:r>
          </w:p>
        </w:tc>
      </w:tr>
    </w:tbl>
    <w:p>
      <w:pPr>
        <w:spacing w:after="20" w:line="40" w:lineRule="exact"/>
      </w:pPr>
    </w:p>
    <w:p>
      <w:pPr>
        <w:pStyle w:val="Heading3"/>
      </w:pPr>
      <w:r>
        <w:t>SFR 014 공식 제출 접수증 버전 고정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공식 제출·접수증·버전 고정</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제출 권한·대상·필수 형식을 확인한 자료의 원본·버전·기준 버전·접수 시각을 고정하고 접수증을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원본과 접수 기록의 저장이 확인되기 전에 접수 성공을 표시하지 않는다. 같은 제출 재시도는 중복 접수·검토 업무를 만들지 않는다.</w:t>
            </w:r>
          </w:p>
          <w:p>
            <w:pPr>
              <w:spacing w:after="0" w:line="259" w:lineRule="exact"/>
              <w:keepNext w:val="0"/>
              <w:snapToGrid w:val="false"/>
            </w:pPr>
            <w:r>
              <w:rPr>
                <w:rFonts w:ascii="맑은 고딕" w:hAnsi="맑은 고딕" w:eastAsia="맑은 고딕" w:cs="맑은 고딕"/>
                <w:b w:val="0"/>
                <w:color w:val="000000"/>
                <w:sz w:val="19"/>
              </w:rPr>
              <w:t>입력: 산출물·증거·제출자·대상 기준</w:t>
            </w:r>
          </w:p>
          <w:p>
            <w:pPr>
              <w:spacing w:after="0" w:line="259" w:lineRule="exact"/>
              <w:keepNext w:val="0"/>
              <w:snapToGrid w:val="false"/>
            </w:pPr>
            <w:r>
              <w:rPr>
                <w:rFonts w:ascii="맑은 고딕" w:hAnsi="맑은 고딕" w:eastAsia="맑은 고딕" w:cs="맑은 고딕"/>
                <w:b w:val="0"/>
                <w:color w:val="000000"/>
                <w:sz w:val="19"/>
              </w:rPr>
              <w:t>업무 결과: 접수증·고정 제출본·검토 요청</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원본 저장 실패, When 제출, Then 접수 성공이 표시되지 않고 복구·재시도 경로가 안내된다.</w:t>
            </w:r>
          </w:p>
          <w:p>
            <w:pPr>
              <w:spacing w:after="0" w:line="259" w:lineRule="exact"/>
              <w:keepNext w:val="0"/>
              <w:snapToGrid w:val="false"/>
            </w:pPr>
            <w:r>
              <w:rPr>
                <w:rFonts w:ascii="맑은 고딕" w:hAnsi="맑은 고딕" w:eastAsia="맑은 고딕" w:cs="맑은 고딕"/>
                <w:b w:val="0"/>
                <w:color w:val="000000"/>
                <w:sz w:val="19"/>
              </w:rPr>
              <w:t>2. Given 접수 성공 후 같은 요청 재전송, When 처리, Then 최초 접수증과 원본 시각을 유지한다.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PMS-SFR-014 | TBD-04</w:t>
            </w:r>
          </w:p>
        </w:tc>
      </w:tr>
    </w:tbl>
    <w:p>
      <w:pPr>
        <w:spacing w:after="20" w:line="40" w:lineRule="exact"/>
      </w:pPr>
    </w:p>
    <w:p>
      <w:pPr>
        <w:pStyle w:val="Heading2"/>
        <w:pageBreakBefore/>
      </w:pPr>
      <w:r>
        <w:t>3 상세 요구사항 8</w:t>
      </w:r>
    </w:p>
    <w:p>
      <w:pPr>
        <w:pStyle w:val="Heading3"/>
      </w:pPr>
      <w:r>
        <w:t>SFR 015 분석 상태 분리 실패 복구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SFR-015</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분석 상태 분리·실패 복구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업무 접수 상태와 AI 분석 상태를 구분하고 분석 지연·일부 성공·실패 시 재시도 또는 수동 검토를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정상 접수를 분석 장애로 미제출 처리하지 않는다. 오래된 결과가 최신 제출본의 상태를 덮지 않도록 한다.</w:t>
            </w:r>
          </w:p>
          <w:p>
            <w:pPr>
              <w:spacing w:after="0" w:line="259" w:lineRule="exact"/>
              <w:keepNext w:val="0"/>
              <w:snapToGrid w:val="false"/>
            </w:pPr>
            <w:r>
              <w:rPr>
                <w:rFonts w:ascii="맑은 고딕" w:hAnsi="맑은 고딕" w:eastAsia="맑은 고딕" w:cs="맑은 고딕"/>
                <w:b w:val="0"/>
                <w:color w:val="000000"/>
                <w:sz w:val="19"/>
              </w:rPr>
              <w:t>입력: 접수 기록·분석 범위·오류·재시도 요청</w:t>
            </w:r>
          </w:p>
          <w:p>
            <w:pPr>
              <w:spacing w:after="0" w:line="259" w:lineRule="exact"/>
              <w:keepNext w:val="0"/>
              <w:snapToGrid w:val="false"/>
            </w:pPr>
            <w:r>
              <w:rPr>
                <w:rFonts w:ascii="맑은 고딕" w:hAnsi="맑은 고딕" w:eastAsia="맑은 고딕" w:cs="맑은 고딕"/>
                <w:b w:val="0"/>
                <w:color w:val="000000"/>
                <w:sz w:val="19"/>
              </w:rPr>
              <w:t>업무 결과: 분석 상태·실패 범위·대체 경로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접수 후 AI 실패, When 상태 조회, Then 접수 성공과 분석 실패가 동시에 정확히 표시된다.</w:t>
            </w:r>
          </w:p>
          <w:p>
            <w:pPr>
              <w:spacing w:after="0" w:line="259" w:lineRule="exact"/>
              <w:keepNext w:val="0"/>
              <w:snapToGrid w:val="false"/>
            </w:pPr>
            <w:r>
              <w:rPr>
                <w:rFonts w:ascii="맑은 고딕" w:hAnsi="맑은 고딕" w:eastAsia="맑은 고딕" w:cs="맑은 고딕"/>
                <w:b w:val="0"/>
                <w:color w:val="000000"/>
                <w:sz w:val="19"/>
              </w:rPr>
              <w:t>2. Given 새 버전 제출 뒤 구버전 분석 도착, When 반영, Then 과거 버전 결과로 연결되고 최신본 승인이 바뀌지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PMS-SFR-015</w:t>
            </w:r>
          </w:p>
        </w:tc>
      </w:tr>
    </w:tbl>
    <w:p>
      <w:pPr>
        <w:spacing w:after="20" w:line="40" w:lineRule="exact"/>
      </w:pPr>
    </w:p>
    <w:p>
      <w:pPr>
        <w:pStyle w:val="Heading3"/>
      </w:pPr>
      <w:r>
        <w:t>SFR 016 기초 검토 후보 근거 제공</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SFR-016</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기초 검토 후보·근거 제공</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제출자료와 승인 요구의 기초 대조 결과를 후보·근거·미확인 범위로 제시하고 담당자가 검토 상태를 기록할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찾지 못함은 부적합과 다르다. AI 확신도와 담당자의 확정 판단을 구분한다. 전문 감리 검사의 범위는 후속 감리 범위에서 확장한다.</w:t>
            </w:r>
          </w:p>
          <w:p>
            <w:pPr>
              <w:spacing w:after="0" w:line="259" w:lineRule="exact"/>
              <w:keepNext w:val="0"/>
              <w:snapToGrid w:val="false"/>
            </w:pPr>
            <w:r>
              <w:rPr>
                <w:rFonts w:ascii="맑은 고딕" w:hAnsi="맑은 고딕" w:eastAsia="맑은 고딕" w:cs="맑은 고딕"/>
                <w:b w:val="0"/>
                <w:color w:val="000000"/>
                <w:sz w:val="19"/>
              </w:rPr>
              <w:t>입력: 고정 기준·제출본·읽을 수 있는 증거</w:t>
            </w:r>
          </w:p>
          <w:p>
            <w:pPr>
              <w:spacing w:after="0" w:line="259" w:lineRule="exact"/>
              <w:keepNext w:val="0"/>
              <w:snapToGrid w:val="false"/>
            </w:pPr>
            <w:r>
              <w:rPr>
                <w:rFonts w:ascii="맑은 고딕" w:hAnsi="맑은 고딕" w:eastAsia="맑은 고딕" w:cs="맑은 고딕"/>
                <w:b w:val="0"/>
                <w:color w:val="000000"/>
                <w:sz w:val="19"/>
              </w:rPr>
              <w:t>업무 결과: 요구별 검토 후보·근거 위치·검토 상태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시험 로그 미확보, When 기초 검토, Then 증거 요청 후보가 제시되고 시험 실패로 자동 확정되지 않는다.</w:t>
            </w:r>
          </w:p>
          <w:p>
            <w:pPr>
              <w:spacing w:after="0" w:line="259" w:lineRule="exact"/>
              <w:keepNext w:val="0"/>
              <w:snapToGrid w:val="false"/>
            </w:pPr>
            <w:r>
              <w:rPr>
                <w:rFonts w:ascii="맑은 고딕" w:hAnsi="맑은 고딕" w:eastAsia="맑은 고딕" w:cs="맑은 고딕"/>
                <w:b w:val="0"/>
                <w:color w:val="000000"/>
                <w:sz w:val="19"/>
              </w:rPr>
              <w:t>2. Given 분석하지 못한 요구, When 검토 요약, Then 검토 완료 항목으로 집계되지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PMS-SFR-016</w:t>
            </w:r>
          </w:p>
        </w:tc>
      </w:tr>
    </w:tbl>
    <w:p>
      <w:pPr>
        <w:spacing w:after="20" w:line="40" w:lineRule="exact"/>
      </w:pPr>
    </w:p>
    <w:p>
      <w:pPr>
        <w:pStyle w:val="Heading2"/>
        <w:pageBreakBefore/>
      </w:pPr>
      <w:r>
        <w:t>3 상세 요구사항 9</w:t>
      </w:r>
    </w:p>
    <w:p>
      <w:pPr>
        <w:pStyle w:val="Heading3"/>
      </w:pPr>
      <w:r>
        <w:t>SFR 017 보완 요청 소명 의견 차이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SFR-017</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보완 요청·소명·의견 차이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검토 지적별 보완 요청·기한·책임·응답·추가 근거·소명과 의견 차이를 연결해야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정당한 이견·적용 제외·변경 요청을 구분한다. 응답 접수만으로 원 지적을 해결 처리하지 않는다.</w:t>
            </w:r>
          </w:p>
          <w:p>
            <w:pPr>
              <w:spacing w:after="0" w:line="259" w:lineRule="exact"/>
              <w:keepNext w:val="0"/>
              <w:snapToGrid w:val="false"/>
            </w:pPr>
            <w:r>
              <w:rPr>
                <w:rFonts w:ascii="맑은 고딕" w:hAnsi="맑은 고딕" w:eastAsia="맑은 고딕" w:cs="맑은 고딕"/>
                <w:b w:val="0"/>
                <w:color w:val="000000"/>
                <w:sz w:val="19"/>
              </w:rPr>
              <w:t>입력: 사람이 확인한 지적·요청·보완 또는 소명</w:t>
            </w:r>
          </w:p>
          <w:p>
            <w:pPr>
              <w:spacing w:after="0" w:line="259" w:lineRule="exact"/>
              <w:keepNext w:val="0"/>
              <w:snapToGrid w:val="false"/>
            </w:pPr>
            <w:r>
              <w:rPr>
                <w:rFonts w:ascii="맑은 고딕" w:hAnsi="맑은 고딕" w:eastAsia="맑은 고딕" w:cs="맑은 고딕"/>
                <w:b w:val="0"/>
                <w:color w:val="000000"/>
                <w:sz w:val="19"/>
              </w:rPr>
              <w:t>업무 결과: 지적과 연결된 공식 요청·응답 회차</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다른 첨부의 증거로 소명, When 수행사 응답, Then 해당 원문과 소명 사유가 지적에 연결된다.</w:t>
            </w:r>
          </w:p>
          <w:p>
            <w:pPr>
              <w:spacing w:after="0" w:line="259" w:lineRule="exact"/>
              <w:keepNext w:val="0"/>
              <w:snapToGrid w:val="false"/>
            </w:pPr>
            <w:r>
              <w:rPr>
                <w:rFonts w:ascii="맑은 고딕" w:hAnsi="맑은 고딕" w:eastAsia="맑은 고딕" w:cs="맑은 고딕"/>
                <w:b w:val="0"/>
                <w:color w:val="000000"/>
                <w:sz w:val="19"/>
              </w:rPr>
              <w:t>2. Given 보완 답변만 제출, When 상태 조회, Then 재검증 전까지 해결 확정으로 표시되지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PMS-SFR-017</w:t>
            </w:r>
          </w:p>
        </w:tc>
      </w:tr>
    </w:tbl>
    <w:p>
      <w:pPr>
        <w:spacing w:after="20" w:line="40" w:lineRule="exact"/>
      </w:pPr>
    </w:p>
    <w:p>
      <w:pPr>
        <w:pStyle w:val="Heading3"/>
      </w:pPr>
      <w:r>
        <w:t>SFR 018 현재 버전 재검증 확정 철회</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SFR-018</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현재 버전 재검증·확정·철회</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현재 대상 버전의 보완·소명 근거로 해결·미해결·철회·유보를 기록하고 권한자의 업무상 확정과 공식 계약 절차를 구분해야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구버전 결과로 최신본을 승인하지 않는다. 철회·정정은 후속 이력에 반영하되 원래 판단과 변경 사유를 보존한다.</w:t>
            </w:r>
          </w:p>
          <w:p>
            <w:pPr>
              <w:spacing w:after="0" w:line="259" w:lineRule="exact"/>
              <w:keepNext w:val="0"/>
              <w:snapToGrid w:val="false"/>
            </w:pPr>
            <w:r>
              <w:rPr>
                <w:rFonts w:ascii="맑은 고딕" w:hAnsi="맑은 고딕" w:eastAsia="맑은 고딕" w:cs="맑은 고딕"/>
                <w:b w:val="0"/>
                <w:color w:val="000000"/>
                <w:sz w:val="19"/>
              </w:rPr>
              <w:t>입력: 지적·응답·현재 자료·검토·승인 권한</w:t>
            </w:r>
          </w:p>
          <w:p>
            <w:pPr>
              <w:spacing w:after="0" w:line="259" w:lineRule="exact"/>
              <w:keepNext w:val="0"/>
              <w:snapToGrid w:val="false"/>
            </w:pPr>
            <w:r>
              <w:rPr>
                <w:rFonts w:ascii="맑은 고딕" w:hAnsi="맑은 고딕" w:eastAsia="맑은 고딕" w:cs="맑은 고딕"/>
                <w:b w:val="0"/>
                <w:color w:val="000000"/>
                <w:sz w:val="19"/>
              </w:rPr>
              <w:t>업무 결과: 재검증 결과·확정자·결정 근거·후속 미결</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최신본과 재검증 대상 불일치, When 종결 요청, Then 불일치를 알리고 최신본 종결을 막는다.</w:t>
            </w:r>
          </w:p>
          <w:p>
            <w:pPr>
              <w:spacing w:after="0" w:line="259" w:lineRule="exact"/>
              <w:keepNext w:val="0"/>
              <w:snapToGrid w:val="false"/>
            </w:pPr>
            <w:r>
              <w:rPr>
                <w:rFonts w:ascii="맑은 고딕" w:hAnsi="맑은 고딕" w:eastAsia="맑은 고딕" w:cs="맑은 고딕"/>
                <w:b w:val="0"/>
                <w:color w:val="000000"/>
                <w:sz w:val="19"/>
              </w:rPr>
              <w:t>2. Given 지적 철회 확정, When 수행이력 조회, Then 철회 상태·사유가 반영되고 미해결 결함으로 집계되지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PMS-SFR-018 | TBD-02</w:t>
            </w:r>
          </w:p>
        </w:tc>
      </w:tr>
    </w:tbl>
    <w:p>
      <w:pPr>
        <w:spacing w:after="20" w:line="40" w:lineRule="exact"/>
      </w:pPr>
    </w:p>
    <w:p>
      <w:pPr>
        <w:pStyle w:val="Heading2"/>
        <w:pageBreakBefore/>
      </w:pPr>
      <w:r>
        <w:t>3 상세 요구사항 10</w:t>
      </w:r>
    </w:p>
    <w:p>
      <w:pPr>
        <w:pStyle w:val="Heading3"/>
      </w:pPr>
      <w:r>
        <w:t>SFR 019 주기적 다면평가 계획 배정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SFR-019</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주기적 다면평가 계획·배정</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착수에 평가 목적·대상·항목·역할·관찰 기간·주기·공개 및 소명 절차를 정하고 정기·산출물·종료·운영 시점에 평가를 배정해야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담당자·검토자·중간관리자·최종 결재자·업무부서·사용자·전문가의 관찰 영역을 구분한다. 변경 기준을 과거 회차에 몰래 소급하지 않는다.</w:t>
            </w:r>
          </w:p>
          <w:p>
            <w:pPr>
              <w:spacing w:after="0" w:line="259" w:lineRule="exact"/>
              <w:keepNext w:val="0"/>
              <w:snapToGrid w:val="false"/>
            </w:pPr>
            <w:r>
              <w:rPr>
                <w:rFonts w:ascii="맑은 고딕" w:hAnsi="맑은 고딕" w:eastAsia="맑은 고딕" w:cs="맑은 고딕"/>
                <w:b w:val="0"/>
                <w:color w:val="000000"/>
                <w:sz w:val="19"/>
              </w:rPr>
              <w:t>입력: 평가 계획·참여 역할·사업 사건</w:t>
            </w:r>
          </w:p>
          <w:p>
            <w:pPr>
              <w:spacing w:after="0" w:line="259" w:lineRule="exact"/>
              <w:keepNext w:val="0"/>
              <w:snapToGrid w:val="false"/>
            </w:pPr>
            <w:r>
              <w:rPr>
                <w:rFonts w:ascii="맑은 고딕" w:hAnsi="맑은 고딕" w:eastAsia="맑은 고딕" w:cs="맑은 고딕"/>
                <w:b w:val="0"/>
                <w:color w:val="000000"/>
                <w:sz w:val="19"/>
              </w:rPr>
              <w:t>업무 결과: 평가 회차·대상·배정·기준 버전</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착수 평가계획, When 정한 주기 또는 사건 도래, Then 해당 역할의 평가 회차를 만들 수 있다.</w:t>
            </w:r>
          </w:p>
          <w:p>
            <w:pPr>
              <w:spacing w:after="0" w:line="259" w:lineRule="exact"/>
              <w:keepNext w:val="0"/>
              <w:snapToGrid w:val="false"/>
            </w:pPr>
            <w:r>
              <w:rPr>
                <w:rFonts w:ascii="맑은 고딕" w:hAnsi="맑은 고딕" w:eastAsia="맑은 고딕" w:cs="맑은 고딕"/>
                <w:b w:val="0"/>
                <w:color w:val="000000"/>
                <w:sz w:val="19"/>
              </w:rPr>
              <w:t>2. Given 계획 변경, When 과거 응답 조회, Then 당시 질문·대상·기준으로 확인된다.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PMS-SFR-023 | TBD-06</w:t>
            </w:r>
          </w:p>
        </w:tc>
      </w:tr>
    </w:tbl>
    <w:p>
      <w:pPr>
        <w:spacing w:after="20" w:line="40" w:lineRule="exact"/>
      </w:pPr>
    </w:p>
    <w:p>
      <w:pPr>
        <w:pStyle w:val="Heading3"/>
      </w:pPr>
      <w:r>
        <w:t>SFR 020 역할별 응답 관찰 불가 중복 처리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SFR-020</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역할별 응답·관찰 불가·중복 처리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배정된 평가자가 관찰 범위에 맞춰 응답·근거·관찰 불가를 기록하고 미응답과 유효 응답을 구분해야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동일 사건·회차의 응답 수정과 중복 제출을 구분한다. 관찰 불가·미응답을 0점으로 변환하지 않으며 다른 역할의 질문을 무조건 강제하지 않는다.</w:t>
            </w:r>
          </w:p>
          <w:p>
            <w:pPr>
              <w:spacing w:after="0" w:line="259" w:lineRule="exact"/>
              <w:keepNext w:val="0"/>
              <w:snapToGrid w:val="false"/>
            </w:pPr>
            <w:r>
              <w:rPr>
                <w:rFonts w:ascii="맑은 고딕" w:hAnsi="맑은 고딕" w:eastAsia="맑은 고딕" w:cs="맑은 고딕"/>
                <w:b w:val="0"/>
                <w:color w:val="000000"/>
                <w:sz w:val="19"/>
              </w:rPr>
              <w:t>입력: 평가 회차·배정·관찰 범위·응답·근거</w:t>
            </w:r>
          </w:p>
          <w:p>
            <w:pPr>
              <w:spacing w:after="0" w:line="259" w:lineRule="exact"/>
              <w:keepNext w:val="0"/>
              <w:snapToGrid w:val="false"/>
            </w:pPr>
            <w:r>
              <w:rPr>
                <w:rFonts w:ascii="맑은 고딕" w:hAnsi="맑은 고딕" w:eastAsia="맑은 고딕" w:cs="맑은 고딕"/>
                <w:b w:val="0"/>
                <w:color w:val="000000"/>
                <w:sz w:val="19"/>
              </w:rPr>
              <w:t>업무 결과: 역할·기간별 응답과 응답 상태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배정되지 않은 사람, When 평가 제출, Then 제출이 거절된다.</w:t>
            </w:r>
          </w:p>
          <w:p>
            <w:pPr>
              <w:spacing w:after="0" w:line="259" w:lineRule="exact"/>
              <w:keepNext w:val="0"/>
              <w:snapToGrid w:val="false"/>
            </w:pPr>
            <w:r>
              <w:rPr>
                <w:rFonts w:ascii="맑은 고딕" w:hAnsi="맑은 고딕" w:eastAsia="맑은 고딕" w:cs="맑은 고딕"/>
                <w:b w:val="0"/>
                <w:color w:val="000000"/>
                <w:sz w:val="19"/>
              </w:rPr>
              <w:t>2. Given 관찰 불가 응답, When 집계 대상 확인, Then 0점으로 포함되지 않고 미응답·유효 응답과 구별된다.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PMS-SFR-024 | TBD-06</w:t>
            </w:r>
          </w:p>
        </w:tc>
      </w:tr>
    </w:tbl>
    <w:p>
      <w:pPr>
        <w:spacing w:after="20" w:line="40" w:lineRule="exact"/>
      </w:pPr>
    </w:p>
    <w:p>
      <w:pPr>
        <w:pStyle w:val="Heading2"/>
        <w:pageBreakBefore/>
      </w:pPr>
      <w:r>
        <w:t>3 상세 요구사항 11</w:t>
      </w:r>
    </w:p>
    <w:p>
      <w:pPr>
        <w:pStyle w:val="Heading3"/>
      </w:pPr>
      <w:r>
        <w:t>SFR 021 기본 수행이력과 긍정 미흡 근거</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SFR-021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기본 수행이력과 긍정·미흡 근거</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기업·사업·실제 역할·기간별 수행 사실·확정 검토 결과·주관적 평가를 구분하여 기본 이력으로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우수 성과·미흡 사항·개선·정정을 함께 보인다. 무이력은 미평가이며 유료 구매 여부·AI 후보 수·지연 일수로 자동 등급·벌점을 만들지 않는다.</w:t>
            </w:r>
          </w:p>
          <w:p>
            <w:pPr>
              <w:spacing w:after="0" w:line="259" w:lineRule="exact"/>
              <w:keepNext w:val="0"/>
              <w:snapToGrid w:val="false"/>
            </w:pPr>
            <w:r>
              <w:rPr>
                <w:rFonts w:ascii="맑은 고딕" w:hAnsi="맑은 고딕" w:eastAsia="맑은 고딕" w:cs="맑은 고딕"/>
                <w:b w:val="0"/>
                <w:color w:val="000000"/>
                <w:sz w:val="19"/>
              </w:rPr>
              <w:t>입력: 역할·업무 기록·확정 결과·평가 응답·소명 상태</w:t>
            </w:r>
          </w:p>
          <w:p>
            <w:pPr>
              <w:spacing w:after="0" w:line="259" w:lineRule="exact"/>
              <w:keepNext w:val="0"/>
              <w:snapToGrid w:val="false"/>
            </w:pPr>
            <w:r>
              <w:rPr>
                <w:rFonts w:ascii="맑은 고딕" w:hAnsi="맑은 고딕" w:eastAsia="맑은 고딕" w:cs="맑은 고딕"/>
                <w:b w:val="0"/>
                <w:color w:val="000000"/>
                <w:sz w:val="19"/>
              </w:rPr>
              <w:t>업무 결과: 기본 수행이력과 자료 충분성</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신규기업으로 수행이력 없음, When 조회, Then 미평가로 표시되고 저성과 점수가 생성되지 않는다.</w:t>
            </w:r>
          </w:p>
          <w:p>
            <w:pPr>
              <w:spacing w:after="0" w:line="259" w:lineRule="exact"/>
              <w:keepNext w:val="0"/>
              <w:snapToGrid w:val="false"/>
            </w:pPr>
            <w:r>
              <w:rPr>
                <w:rFonts w:ascii="맑은 고딕" w:hAnsi="맑은 고딕" w:eastAsia="맑은 고딕" w:cs="맑은 고딕"/>
                <w:b w:val="0"/>
                <w:color w:val="000000"/>
                <w:sz w:val="19"/>
              </w:rPr>
              <w:t>2. Given 지적 철회 또는 우수 성과 확정, When 이력 조회, Then 현재 상태와 확인 근거를 함께 볼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PMS-SFR-025 | TBD-06, TBD-07</w:t>
            </w:r>
          </w:p>
        </w:tc>
      </w:tr>
    </w:tbl>
    <w:p>
      <w:pPr>
        <w:spacing w:after="20" w:line="40" w:lineRule="exact"/>
      </w:pPr>
    </w:p>
    <w:p>
      <w:pPr>
        <w:pStyle w:val="Heading3"/>
      </w:pPr>
      <w:r>
        <w:t>SFR 022 평가 고지 소명 재검토 정정 반영</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SFR-022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평가 고지·소명·재검토·정정 반영</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허용된 범위의 평가 결과를 당사자에게 알리고 소명·재검토·확정·정정 이력을 관리해야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평가자 신원과 증거의 공개 범위를 분리한다. 정정 미반영 상태가 있으면 표시하고 후속 조회·집계에 반영 완료 여부를 확인한다.</w:t>
            </w:r>
          </w:p>
          <w:p>
            <w:pPr>
              <w:spacing w:after="0" w:line="259" w:lineRule="exact"/>
              <w:keepNext w:val="0"/>
              <w:snapToGrid w:val="false"/>
            </w:pPr>
            <w:r>
              <w:rPr>
                <w:rFonts w:ascii="맑은 고딕" w:hAnsi="맑은 고딕" w:eastAsia="맑은 고딕" w:cs="맑은 고딕"/>
                <w:b w:val="0"/>
                <w:color w:val="000000"/>
                <w:sz w:val="19"/>
              </w:rPr>
              <w:t>입력: 결과 고지·소명·추가 근거·재검토 담당·결정</w:t>
            </w:r>
          </w:p>
          <w:p>
            <w:pPr>
              <w:spacing w:after="0" w:line="259" w:lineRule="exact"/>
              <w:keepNext w:val="0"/>
              <w:snapToGrid w:val="false"/>
            </w:pPr>
            <w:r>
              <w:rPr>
                <w:rFonts w:ascii="맑은 고딕" w:hAnsi="맑은 고딕" w:eastAsia="맑은 고딕" w:cs="맑은 고딕"/>
                <w:b w:val="0"/>
                <w:color w:val="000000"/>
                <w:sz w:val="19"/>
              </w:rPr>
              <w:t>업무 결과: 통지·소명 처리·정정된 이력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잘못된 평가가 정정 확정, When 관련 이력·집계 조회, Then 정정 상태가 반영되거나 갱신 대기임이 명시된다.</w:t>
            </w:r>
          </w:p>
          <w:p>
            <w:pPr>
              <w:spacing w:after="0" w:line="259" w:lineRule="exact"/>
              <w:keepNext w:val="0"/>
              <w:snapToGrid w:val="false"/>
            </w:pPr>
            <w:r>
              <w:rPr>
                <w:rFonts w:ascii="맑은 고딕" w:hAnsi="맑은 고딕" w:eastAsia="맑은 고딕" w:cs="맑은 고딕"/>
                <w:b w:val="0"/>
                <w:color w:val="000000"/>
                <w:sz w:val="19"/>
              </w:rPr>
              <w:t>2. Given 당사자 소명, When 재검토 배정, Then 근거·담당·상태를 추적할 수 있고 원 의견을 무단 삭제하지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PMS-SFR-026 | TBD-06, TBD-07</w:t>
            </w:r>
          </w:p>
        </w:tc>
      </w:tr>
    </w:tbl>
    <w:p>
      <w:pPr>
        <w:spacing w:after="20" w:line="40" w:lineRule="exact"/>
      </w:pPr>
    </w:p>
    <w:p>
      <w:pPr>
        <w:pStyle w:val="Heading2"/>
        <w:pageBreakBefore/>
      </w:pPr>
      <w:r>
        <w:t>3 상세 요구사항 12</w:t>
      </w:r>
    </w:p>
    <w:p>
      <w:pPr>
        <w:pStyle w:val="Heading3"/>
      </w:pPr>
      <w:r>
        <w:t>SFR 023 상시 인수인계와 미결 책임 승계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SFR-023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상시 인수인계와 미결 책임 승계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후임자에게 사업 목적·계약·주요 결정·현재 미결·다음 행동·지원 책임을 원문과 연결해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인계 대상·수신 권한을 확인하며 과거 결정자는 보존한다. 인계 확인만으로 미해결 업무를 종결하지 않는다.</w:t>
            </w:r>
          </w:p>
          <w:p>
            <w:pPr>
              <w:spacing w:after="0" w:line="259" w:lineRule="exact"/>
              <w:keepNext w:val="0"/>
              <w:snapToGrid w:val="false"/>
            </w:pPr>
            <w:r>
              <w:rPr>
                <w:rFonts w:ascii="맑은 고딕" w:hAnsi="맑은 고딕" w:eastAsia="맑은 고딕" w:cs="맑은 고딕"/>
                <w:b w:val="0"/>
                <w:color w:val="000000"/>
                <w:sz w:val="19"/>
              </w:rPr>
              <w:t>입력: 현재 역할·미결·결정·계약·허용 원문</w:t>
            </w:r>
          </w:p>
          <w:p>
            <w:pPr>
              <w:spacing w:after="0" w:line="259" w:lineRule="exact"/>
              <w:keepNext w:val="0"/>
              <w:snapToGrid w:val="false"/>
            </w:pPr>
            <w:r>
              <w:rPr>
                <w:rFonts w:ascii="맑은 고딕" w:hAnsi="맑은 고딕" w:eastAsia="맑은 고딕" w:cs="맑은 고딕"/>
                <w:b w:val="0"/>
                <w:color w:val="000000"/>
                <w:sz w:val="19"/>
              </w:rPr>
              <w:t>업무 결과: 인수인계 자료·인계 확인·남은 조치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담당 교체, When 후임자가 인수, Then 현재 미결·기한·책임·근거를 조회할 수 있다.</w:t>
            </w:r>
          </w:p>
          <w:p>
            <w:pPr>
              <w:spacing w:after="0" w:line="259" w:lineRule="exact"/>
              <w:keepNext w:val="0"/>
              <w:snapToGrid w:val="false"/>
            </w:pPr>
            <w:r>
              <w:rPr>
                <w:rFonts w:ascii="맑은 고딕" w:hAnsi="맑은 고딕" w:eastAsia="맑은 고딕" w:cs="맑은 고딕"/>
                <w:b w:val="0"/>
                <w:color w:val="000000"/>
                <w:sz w:val="19"/>
              </w:rPr>
              <w:t>2. Given 인계 확인, When 미결 목록 조회, Then 아직 처리하지 않은 업무가 해결 완료로 바뀌지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PMS-SFR-029</w:t>
            </w:r>
          </w:p>
        </w:tc>
      </w:tr>
    </w:tbl>
    <w:p>
      <w:pPr>
        <w:spacing w:after="20" w:line="40" w:lineRule="exact"/>
      </w:pPr>
    </w:p>
    <w:p>
      <w:pPr>
        <w:pStyle w:val="Heading3"/>
      </w:pPr>
      <w:r>
        <w:t>SFR 024 유지관리 종류 기산 사건 책임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SFR-024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유지관리 종류·기산 사건·책임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하자·유상 운영·라이선스·제조사 지원 등의 종류별 계약·책임·기산 사건·시작·종료와 미결을 관리해야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기간을 임의의 법정 기본값으로 생성하지 않는다. 기산 사건 미확정은 기간 미확정으로 표시하고 기간 만료가 미결 자동 종결을 뜻하지 않는다.</w:t>
            </w:r>
          </w:p>
          <w:p>
            <w:pPr>
              <w:spacing w:after="0" w:line="259" w:lineRule="exact"/>
              <w:keepNext w:val="0"/>
              <w:snapToGrid w:val="false"/>
            </w:pPr>
            <w:r>
              <w:rPr>
                <w:rFonts w:ascii="맑은 고딕" w:hAnsi="맑은 고딕" w:eastAsia="맑은 고딕" w:cs="맑은 고딕"/>
                <w:b w:val="0"/>
                <w:color w:val="000000"/>
                <w:sz w:val="19"/>
              </w:rPr>
              <w:t>입력: 계약조건·기산 사건·기간·담당·미결 장애</w:t>
            </w:r>
          </w:p>
          <w:p>
            <w:pPr>
              <w:spacing w:after="0" w:line="259" w:lineRule="exact"/>
              <w:keepNext w:val="0"/>
              <w:snapToGrid w:val="false"/>
            </w:pPr>
            <w:r>
              <w:rPr>
                <w:rFonts w:ascii="맑은 고딕" w:hAnsi="맑은 고딕" w:eastAsia="맑은 고딕" w:cs="맑은 고딕"/>
                <w:b w:val="0"/>
                <w:color w:val="000000"/>
                <w:sz w:val="19"/>
              </w:rPr>
              <w:t>업무 결과: 종류별 지원기간·책임·미결 목록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기산 사건 미확정, When 기간 조회, Then 종료일이 확정값으로 표시되지 않는다.</w:t>
            </w:r>
          </w:p>
          <w:p>
            <w:pPr>
              <w:spacing w:after="0" w:line="259" w:lineRule="exact"/>
              <w:keepNext w:val="0"/>
              <w:snapToGrid w:val="false"/>
            </w:pPr>
            <w:r>
              <w:rPr>
                <w:rFonts w:ascii="맑은 고딕" w:hAnsi="맑은 고딕" w:eastAsia="맑은 고딕" w:cs="맑은 고딕"/>
                <w:b w:val="0"/>
                <w:color w:val="000000"/>
                <w:sz w:val="19"/>
              </w:rPr>
              <w:t>2. Given 지원기간 만료와 미해결 장애, When 상태 갱신, Then 장애는 미결로 유지되고 후속 책임 확인이 표시된다.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PMS-SFR-030 | TBD-03</w:t>
            </w:r>
          </w:p>
        </w:tc>
      </w:tr>
    </w:tbl>
    <w:p>
      <w:pPr>
        <w:spacing w:after="20" w:line="40" w:lineRule="exact"/>
      </w:pPr>
    </w:p>
    <w:p>
      <w:pPr>
        <w:pStyle w:val="Heading2"/>
        <w:pageBreakBefore/>
      </w:pPr>
      <w:r>
        <w:t>3 상세 요구사항 13</w:t>
      </w:r>
    </w:p>
    <w:p>
      <w:pPr>
        <w:pStyle w:val="Heading3"/>
      </w:pPr>
      <w:r>
        <w:t>SFR 025 지원 공백 갱신 차기 계약 준비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기능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SFR-025</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지원 공백·갱신·차기 계약 준비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서비스별 지원 종료·갱신·차기 계약 준비 상태와 예상 공백을 확인할 수 있게 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계약 체결·예산·갱신을 자동 확정하지 않는다. 사업별 준비 시점은 설정 근거와 함께 관리한다.</w:t>
            </w:r>
          </w:p>
          <w:p>
            <w:pPr>
              <w:spacing w:after="0" w:line="259" w:lineRule="exact"/>
              <w:keepNext w:val="0"/>
              <w:snapToGrid w:val="false"/>
            </w:pPr>
            <w:r>
              <w:rPr>
                <w:rFonts w:ascii="맑은 고딕" w:hAnsi="맑은 고딕" w:eastAsia="맑은 고딕" w:cs="맑은 고딕"/>
                <w:b w:val="0"/>
                <w:color w:val="000000"/>
                <w:sz w:val="19"/>
              </w:rPr>
              <w:t>입력: 지원기간·후속 계약 상태·기관의 준비 기준</w:t>
            </w:r>
          </w:p>
          <w:p>
            <w:pPr>
              <w:spacing w:after="0" w:line="259" w:lineRule="exact"/>
              <w:keepNext w:val="0"/>
              <w:snapToGrid w:val="false"/>
            </w:pPr>
            <w:r>
              <w:rPr>
                <w:rFonts w:ascii="맑은 고딕" w:hAnsi="맑은 고딕" w:eastAsia="맑은 고딕" w:cs="맑은 고딕"/>
                <w:b w:val="0"/>
                <w:color w:val="000000"/>
                <w:sz w:val="19"/>
              </w:rPr>
              <w:t>업무 결과: 임박 일정·공백 후보·다음 준비 업무</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운영계약 종료 이후 후속 계약 미확정, When 조회, Then 지원 공백 후보와 준비 담당이 표시된다.</w:t>
            </w:r>
          </w:p>
          <w:p>
            <w:pPr>
              <w:spacing w:after="0" w:line="259" w:lineRule="exact"/>
              <w:keepNext w:val="0"/>
              <w:snapToGrid w:val="false"/>
            </w:pPr>
            <w:r>
              <w:rPr>
                <w:rFonts w:ascii="맑은 고딕" w:hAnsi="맑은 고딕" w:eastAsia="맑은 고딕" w:cs="맑은 고딕"/>
                <w:b w:val="0"/>
                <w:color w:val="000000"/>
                <w:sz w:val="19"/>
              </w:rPr>
              <w:t>2. Given 후속 계약 확정 근거 없음, When AI 요약, Then 갱신 완료라고 생성하지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AN12-1, DE22-2, TE13-2</w:t>
            </w:r>
          </w:p>
          <w:p>
            <w:pPr>
              <w:spacing w:after="0" w:line="259" w:lineRule="exact"/>
              <w:keepNext w:val="0"/>
              <w:snapToGrid w:val="false"/>
            </w:pPr>
            <w:r>
              <w:rPr>
                <w:rFonts w:ascii="맑은 고딕" w:hAnsi="맑은 고딕" w:eastAsia="맑은 고딕" w:cs="맑은 고딕"/>
                <w:b w:val="0"/>
                <w:color w:val="000000"/>
                <w:sz w:val="19"/>
              </w:rPr>
              <w:t>원 요구: PMS-SFR-031 | TBD-08</w:t>
            </w:r>
          </w:p>
        </w:tc>
      </w:tr>
    </w:tbl>
    <w:p>
      <w:pPr>
        <w:spacing w:after="20" w:line="40" w:lineRule="exact"/>
      </w:pPr>
    </w:p>
    <w:p>
      <w:pPr>
        <w:pStyle w:val="Heading3"/>
      </w:pPr>
      <w:r>
        <w:t>SIR 001 계정 조직 정보 연계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시스템인터페이스 요구사항  |  조건부</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SIR-001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계정·조직 정보 연계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승인된 계정·조직 연계가 제공되면 서비스는 사용자·조직·재직 또는 참여 상태를 받아 사업 역할과 대조할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연계 대상·동기화 주기·오류 처리·대체 계정 운영은 별도 합의한다. 연계 장애가 임의의 권한 상승이나 자동 공개로 이어지지 않게 한다.</w:t>
            </w:r>
          </w:p>
          <w:p>
            <w:pPr>
              <w:spacing w:after="0" w:line="259" w:lineRule="exact"/>
              <w:keepNext w:val="0"/>
              <w:snapToGrid w:val="false"/>
            </w:pPr>
            <w:r>
              <w:rPr>
                <w:rFonts w:ascii="맑은 고딕" w:hAnsi="맑은 고딕" w:eastAsia="맑은 고딕" w:cs="맑은 고딕"/>
                <w:b w:val="0"/>
                <w:color w:val="000000"/>
                <w:sz w:val="19"/>
              </w:rPr>
              <w:t>입력: 기관의 허용 계정·조직 정보와 변경 사건</w:t>
            </w:r>
          </w:p>
          <w:p>
            <w:pPr>
              <w:spacing w:after="0" w:line="259" w:lineRule="exact"/>
              <w:keepNext w:val="0"/>
              <w:snapToGrid w:val="false"/>
            </w:pPr>
            <w:r>
              <w:rPr>
                <w:rFonts w:ascii="맑은 고딕" w:hAnsi="맑은 고딕" w:eastAsia="맑은 고딕" w:cs="맑은 고딕"/>
                <w:b w:val="0"/>
                <w:color w:val="000000"/>
                <w:sz w:val="19"/>
              </w:rPr>
              <w:t>업무 결과: 식별·참여 상태·동기화 결과</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퇴직·참여 종료 정보, When 반영, Then 해당 계정의 적용 권한을 정책대로 회수할 수 있다.</w:t>
            </w:r>
          </w:p>
          <w:p>
            <w:pPr>
              <w:spacing w:after="0" w:line="259" w:lineRule="exact"/>
              <w:keepNext w:val="0"/>
              <w:snapToGrid w:val="false"/>
            </w:pPr>
            <w:r>
              <w:rPr>
                <w:rFonts w:ascii="맑은 고딕" w:hAnsi="맑은 고딕" w:eastAsia="맑은 고딕" w:cs="맑은 고딕"/>
                <w:b w:val="0"/>
                <w:color w:val="000000"/>
                <w:sz w:val="19"/>
              </w:rPr>
              <w:t>2. Given 연계 불가, When 로그인·권한 처리, Then 합의된 대체 또는 차단 경로를 따르고 임의 허용하지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DE24-1, CO23-1, IM12-2</w:t>
            </w:r>
          </w:p>
          <w:p>
            <w:pPr>
              <w:spacing w:after="0" w:line="259" w:lineRule="exact"/>
              <w:keepNext w:val="0"/>
              <w:snapToGrid w:val="false"/>
            </w:pPr>
            <w:r>
              <w:rPr>
                <w:rFonts w:ascii="맑은 고딕" w:hAnsi="맑은 고딕" w:eastAsia="맑은 고딕" w:cs="맑은 고딕"/>
                <w:b w:val="0"/>
                <w:color w:val="000000"/>
                <w:sz w:val="19"/>
              </w:rPr>
              <w:t>원 요구: PMS-IFR-001 | TBD-02, TBD-14</w:t>
            </w:r>
          </w:p>
        </w:tc>
      </w:tr>
    </w:tbl>
    <w:p>
      <w:pPr>
        <w:spacing w:after="20" w:line="40" w:lineRule="exact"/>
      </w:pPr>
    </w:p>
    <w:p>
      <w:pPr>
        <w:pStyle w:val="Heading2"/>
        <w:pageBreakBefore/>
      </w:pPr>
      <w:r>
        <w:t>3 상세 요구사항 14</w:t>
      </w:r>
    </w:p>
    <w:p>
      <w:pPr>
        <w:pStyle w:val="Heading3"/>
      </w:pPr>
      <w:r>
        <w:t>SIR 002 계약 전자결재 기존 PMS 기록 연계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시스템인터페이스 요구사항  |  조건부</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SIR-002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계약·전자결재·기존 PMS 기록 연계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기관이 승인한 연계 범위에서 계약·전자결재·기존 PMS의 공식 기록과 서비스 기록을 식별자·상태·시각·원본 위치로 대응시켜야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PMS의 내부 승인과 공식 계약 검사를 구분한다. 실제 연계가 없으면 확인된 원문 등록·수동 확인의 범위를 표시한다.</w:t>
            </w:r>
          </w:p>
          <w:p>
            <w:pPr>
              <w:spacing w:after="0" w:line="259" w:lineRule="exact"/>
              <w:keepNext w:val="0"/>
              <w:snapToGrid w:val="false"/>
            </w:pPr>
            <w:r>
              <w:rPr>
                <w:rFonts w:ascii="맑은 고딕" w:hAnsi="맑은 고딕" w:eastAsia="맑은 고딕" w:cs="맑은 고딕"/>
                <w:b w:val="0"/>
                <w:color w:val="000000"/>
                <w:sz w:val="19"/>
              </w:rPr>
              <w:t>입력: 확정 연계 범위·필드별 공식 원천·기록</w:t>
            </w:r>
          </w:p>
          <w:p>
            <w:pPr>
              <w:spacing w:after="0" w:line="259" w:lineRule="exact"/>
              <w:keepNext w:val="0"/>
              <w:snapToGrid w:val="false"/>
            </w:pPr>
            <w:r>
              <w:rPr>
                <w:rFonts w:ascii="맑은 고딕" w:hAnsi="맑은 고딕" w:eastAsia="맑은 고딕" w:cs="맑은 고딕"/>
                <w:b w:val="0"/>
                <w:color w:val="000000"/>
                <w:sz w:val="19"/>
              </w:rPr>
              <w:t>업무 결과: 연결된 공식 기록과 대조 상태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PMS 내부 승인만 존재, When 계약 상태 조회, Then 공식 검사·인수 완료로 표시하지 않는다.</w:t>
            </w:r>
          </w:p>
          <w:p>
            <w:pPr>
              <w:spacing w:after="0" w:line="259" w:lineRule="exact"/>
              <w:keepNext w:val="0"/>
              <w:snapToGrid w:val="false"/>
            </w:pPr>
            <w:r>
              <w:rPr>
                <w:rFonts w:ascii="맑은 고딕" w:hAnsi="맑은 고딕" w:eastAsia="맑은 고딕" w:cs="맑은 고딕"/>
                <w:b w:val="0"/>
                <w:color w:val="000000"/>
                <w:sz w:val="19"/>
              </w:rPr>
              <w:t>2. Given 공식 기록 변경 또는 연계 오류, When 대조, Then 불일치·확인 필요와 담당 경로가 표시된다.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DE24-1, CO23-1, IM12-2</w:t>
            </w:r>
          </w:p>
          <w:p>
            <w:pPr>
              <w:spacing w:after="0" w:line="259" w:lineRule="exact"/>
              <w:keepNext w:val="0"/>
              <w:snapToGrid w:val="false"/>
            </w:pPr>
            <w:r>
              <w:rPr>
                <w:rFonts w:ascii="맑은 고딕" w:hAnsi="맑은 고딕" w:eastAsia="맑은 고딕" w:cs="맑은 고딕"/>
                <w:b w:val="0"/>
                <w:color w:val="000000"/>
                <w:sz w:val="19"/>
              </w:rPr>
              <w:t>원 요구: PMS-IFR-002 | TBD-03, TBD-14</w:t>
            </w:r>
          </w:p>
        </w:tc>
      </w:tr>
    </w:tbl>
    <w:p>
      <w:pPr>
        <w:spacing w:after="20" w:line="40" w:lineRule="exact"/>
      </w:pPr>
    </w:p>
    <w:p>
      <w:pPr>
        <w:pStyle w:val="Heading3"/>
      </w:pPr>
      <w:r>
        <w:t>INR 001 접근성 업무 이해 오류 복구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인터페이스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INR-001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접근성·업무 이해·오류 복구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사용자는 주요 업무의 대상·현재 상태·다음 행동을 이해하고 키보드·보조기기·확대·좁은 화면에서도 필요한 정보를 확인하고 오류에서 복구할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접근성 목표는 WCAG 2.2 AA이며 적용 기준과 시험환경은 공고 전 확정한다. 기본·로딩·빈 상태·부분 성공·오류·권한 없음·오프라인·재시도를 구분한다. 자동 검사만으로 합격시키지 않는다. 인증서 취득은 별도 채택 조건이 있는 경우에만 포함한다.</w:t>
            </w:r>
          </w:p>
          <w:p>
            <w:pPr>
              <w:spacing w:after="0" w:line="259" w:lineRule="exact"/>
              <w:keepNext w:val="0"/>
              <w:snapToGrid w:val="false"/>
            </w:pPr>
            <w:r>
              <w:rPr>
                <w:rFonts w:ascii="맑은 고딕" w:hAnsi="맑은 고딕" w:eastAsia="맑은 고딕" w:cs="맑은 고딕"/>
                <w:b w:val="0"/>
                <w:color w:val="000000"/>
                <w:sz w:val="19"/>
              </w:rPr>
              <w:t>입력: 주요 과업·역할·기기·접근성 검토 조건</w:t>
            </w:r>
          </w:p>
          <w:p>
            <w:pPr>
              <w:spacing w:after="0" w:line="259" w:lineRule="exact"/>
              <w:keepNext w:val="0"/>
              <w:snapToGrid w:val="false"/>
            </w:pPr>
            <w:r>
              <w:rPr>
                <w:rFonts w:ascii="맑은 고딕" w:hAnsi="맑은 고딕" w:eastAsia="맑은 고딕" w:cs="맑은 고딕"/>
                <w:b w:val="0"/>
                <w:color w:val="000000"/>
                <w:sz w:val="19"/>
              </w:rPr>
              <w:t>업무 결과: 사용성·WCAG 2.2 AA 목표 대비 검토와 보완 기록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키보드와 보조기기로 주요 과업 수행, When 제출·검토·소명 진행, Then 이름·순서·포커스·상태·오류 정보를 인지하고 필요한 행동을 완료할 수 있어야 한다.</w:t>
            </w:r>
          </w:p>
          <w:p>
            <w:pPr>
              <w:spacing w:after="0" w:line="259" w:lineRule="exact"/>
              <w:keepNext w:val="0"/>
              <w:snapToGrid w:val="false"/>
            </w:pPr>
            <w:r>
              <w:rPr>
                <w:rFonts w:ascii="맑은 고딕" w:hAnsi="맑은 고딕" w:eastAsia="맑은 고딕" w:cs="맑은 고딕"/>
                <w:b w:val="0"/>
                <w:color w:val="000000"/>
                <w:sz w:val="19"/>
              </w:rPr>
              <w:t>2. Given 좁은 화면 또는 200% 확대, When 같은 업무 조회, Then 정보·행동 누락 없이 사용 가능해야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DE22-1, CO31-1</w:t>
            </w:r>
          </w:p>
          <w:p>
            <w:pPr>
              <w:spacing w:after="0" w:line="259" w:lineRule="exact"/>
              <w:keepNext w:val="0"/>
              <w:snapToGrid w:val="false"/>
            </w:pPr>
            <w:r>
              <w:rPr>
                <w:rFonts w:ascii="맑은 고딕" w:hAnsi="맑은 고딕" w:eastAsia="맑은 고딕" w:cs="맑은 고딕"/>
                <w:b w:val="0"/>
                <w:color w:val="000000"/>
                <w:sz w:val="19"/>
              </w:rPr>
              <w:t>원 요구: PMS-NFR-007 | TBD-13</w:t>
            </w:r>
          </w:p>
        </w:tc>
      </w:tr>
    </w:tbl>
    <w:p>
      <w:pPr>
        <w:spacing w:after="20" w:line="40" w:lineRule="exact"/>
      </w:pPr>
    </w:p>
    <w:p>
      <w:pPr>
        <w:pStyle w:val="Heading2"/>
        <w:pageBreakBefore/>
      </w:pPr>
      <w:r>
        <w:t>3 상세 요구사항 15</w:t>
      </w:r>
    </w:p>
    <w:p>
      <w:pPr>
        <w:pStyle w:val="Heading3"/>
      </w:pPr>
      <w:r>
        <w:t>DAR 001 핵심 업무자료의 최소 항목 관계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데이터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DAR-001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핵심 업무자료의 최소 항목·관계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서비스 자료는 기관·사업·계약·기준·과업·제출·증거·판단·평가·지원 책임의 식별자와 유효 관계를 유지해야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상세 필드는 별첨의 최소 자료 항목을 따른다. 알 수 없는 날짜·기준을 0이나 임의값으로 채우지 않는다. 후속 감리 범위 검사·후속 확장 범위 분석 자료는 해당 연차에 추가한다.</w:t>
            </w:r>
          </w:p>
          <w:p>
            <w:pPr>
              <w:spacing w:after="0" w:line="259" w:lineRule="exact"/>
              <w:keepNext w:val="0"/>
              <w:snapToGrid w:val="false"/>
            </w:pPr>
            <w:r>
              <w:rPr>
                <w:rFonts w:ascii="맑은 고딕" w:hAnsi="맑은 고딕" w:eastAsia="맑은 고딕" w:cs="맑은 고딕"/>
                <w:b w:val="0"/>
                <w:color w:val="000000"/>
                <w:sz w:val="19"/>
              </w:rPr>
              <w:t>입력: 자료 사전과 필수/조건부 필드</w:t>
            </w:r>
          </w:p>
          <w:p>
            <w:pPr>
              <w:spacing w:after="0" w:line="259" w:lineRule="exact"/>
              <w:keepNext w:val="0"/>
              <w:snapToGrid w:val="false"/>
            </w:pPr>
            <w:r>
              <w:rPr>
                <w:rFonts w:ascii="맑은 고딕" w:hAnsi="맑은 고딕" w:eastAsia="맑은 고딕" w:cs="맑은 고딕"/>
                <w:b w:val="0"/>
                <w:color w:val="000000"/>
                <w:sz w:val="19"/>
              </w:rPr>
              <w:t>업무 결과: 관계가 유효한 업무 자료</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필수 연결 누락, When 확정 기록 생성, Then 누락 위치를 표시하고 잘못된 확정을 막는다.</w:t>
            </w:r>
          </w:p>
          <w:p>
            <w:pPr>
              <w:spacing w:after="0" w:line="259" w:lineRule="exact"/>
              <w:keepNext w:val="0"/>
              <w:snapToGrid w:val="false"/>
            </w:pPr>
            <w:r>
              <w:rPr>
                <w:rFonts w:ascii="맑은 고딕" w:hAnsi="맑은 고딕" w:eastAsia="맑은 고딕" w:cs="맑은 고딕"/>
                <w:b w:val="0"/>
                <w:color w:val="000000"/>
                <w:sz w:val="19"/>
              </w:rPr>
              <w:t>2. Given 미확정 선택 항목, When 저장·조회, Then 미확정 여부와 후속 확인을 구별할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DE31-1, DE31-2, AN13-1</w:t>
            </w:r>
          </w:p>
          <w:p>
            <w:pPr>
              <w:spacing w:after="0" w:line="259" w:lineRule="exact"/>
              <w:keepNext w:val="0"/>
              <w:snapToGrid w:val="false"/>
            </w:pPr>
            <w:r>
              <w:rPr>
                <w:rFonts w:ascii="맑은 고딕" w:hAnsi="맑은 고딕" w:eastAsia="맑은 고딕" w:cs="맑은 고딕"/>
                <w:b w:val="0"/>
                <w:color w:val="000000"/>
                <w:sz w:val="19"/>
              </w:rPr>
              <w:t>원 요구: PMS-DAR-001 | TBD-04</w:t>
            </w:r>
          </w:p>
        </w:tc>
      </w:tr>
    </w:tbl>
    <w:p>
      <w:pPr>
        <w:spacing w:after="20" w:line="40" w:lineRule="exact"/>
      </w:pPr>
    </w:p>
    <w:p>
      <w:pPr>
        <w:pStyle w:val="Heading3"/>
      </w:pPr>
      <w:r>
        <w:t>DAR 002 지원 문서 추출 범위 원문 대응</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데이터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DAR-002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지원 문서·추출 범위·원문 대응</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지원 문서의 형식·텍스트·표·첨부별 처리 범위와 제한을 정의하고 추출 결과를 원문 버전·위치와 대응시켜야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HWP/HWPX·PDF·DOCX·XLSX 등은 협의할 형식 후보이며 모두 지원 확정된 것은 아니다. 신규 OCR·VLM 개발을 포함하지 않는다.</w:t>
            </w:r>
          </w:p>
          <w:p>
            <w:pPr>
              <w:spacing w:after="0" w:line="259" w:lineRule="exact"/>
              <w:keepNext w:val="0"/>
              <w:snapToGrid w:val="false"/>
            </w:pPr>
            <w:r>
              <w:rPr>
                <w:rFonts w:ascii="맑은 고딕" w:hAnsi="맑은 고딕" w:eastAsia="맑은 고딕" w:cs="맑은 고딕"/>
                <w:b w:val="0"/>
                <w:color w:val="000000"/>
                <w:sz w:val="19"/>
              </w:rPr>
              <w:t>입력: 합의된 형식 목록·텍스트 원본·표본</w:t>
            </w:r>
          </w:p>
          <w:p>
            <w:pPr>
              <w:spacing w:after="0" w:line="259" w:lineRule="exact"/>
              <w:keepNext w:val="0"/>
              <w:snapToGrid w:val="false"/>
            </w:pPr>
            <w:r>
              <w:rPr>
                <w:rFonts w:ascii="맑은 고딕" w:hAnsi="맑은 고딕" w:eastAsia="맑은 고딕" w:cs="맑은 고딕"/>
                <w:b w:val="0"/>
                <w:color w:val="000000"/>
                <w:sz w:val="19"/>
              </w:rPr>
              <w:t>업무 결과: 추출 결과·품질·미처리 범위</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스캔만 있는 자료, When 등록, Then 텍스트 원본 또는 기존 검증 전자화 결과 필요를 표시한다.</w:t>
            </w:r>
          </w:p>
          <w:p>
            <w:pPr>
              <w:spacing w:after="0" w:line="259" w:lineRule="exact"/>
              <w:keepNext w:val="0"/>
              <w:snapToGrid w:val="false"/>
            </w:pPr>
            <w:r>
              <w:rPr>
                <w:rFonts w:ascii="맑은 고딕" w:hAnsi="맑은 고딕" w:eastAsia="맑은 고딕" w:cs="맑은 고딕"/>
                <w:b w:val="0"/>
                <w:color w:val="000000"/>
                <w:sz w:val="19"/>
              </w:rPr>
              <w:t>2. Given 지원 형식의 표·본문, When 추출 결과 검토, Then 원문 위치 대조와 미처리 구간 식별이 가능해야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DE31-1, DE31-2, AN13-1</w:t>
            </w:r>
          </w:p>
          <w:p>
            <w:pPr>
              <w:spacing w:after="0" w:line="259" w:lineRule="exact"/>
              <w:keepNext w:val="0"/>
              <w:snapToGrid w:val="false"/>
            </w:pPr>
            <w:r>
              <w:rPr>
                <w:rFonts w:ascii="맑은 고딕" w:hAnsi="맑은 고딕" w:eastAsia="맑은 고딕" w:cs="맑은 고딕"/>
                <w:b w:val="0"/>
                <w:color w:val="000000"/>
                <w:sz w:val="19"/>
              </w:rPr>
              <w:t>원 요구: PMS-DAR-002 | TBD-04</w:t>
            </w:r>
          </w:p>
        </w:tc>
      </w:tr>
    </w:tbl>
    <w:p>
      <w:pPr>
        <w:spacing w:after="20" w:line="40" w:lineRule="exact"/>
      </w:pPr>
    </w:p>
    <w:p>
      <w:pPr>
        <w:pStyle w:val="Heading2"/>
        <w:pageBreakBefore/>
      </w:pPr>
      <w:r>
        <w:t>3 상세 요구사항 16</w:t>
      </w:r>
    </w:p>
    <w:p>
      <w:pPr>
        <w:pStyle w:val="Heading3"/>
      </w:pPr>
      <w:r>
        <w:t>DAR 003 버전 관계 이관 자료의 정합성</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데이터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DAR-003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버전·관계·이관 자료의 정합성</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자료 등록·변경·이관 시 중복·누락·버전 충돌·고아 연결을 확인하고 보정 또는 확인 필요 상태로 관리해야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원본 저장과 업무 기록의 부분 실패를 식별한다. 보정은 원래 접수·출처를 보존하고 변경 사유를 남긴다.</w:t>
            </w:r>
          </w:p>
          <w:p>
            <w:pPr>
              <w:spacing w:after="0" w:line="259" w:lineRule="exact"/>
              <w:keepNext w:val="0"/>
              <w:snapToGrid w:val="false"/>
            </w:pPr>
            <w:r>
              <w:rPr>
                <w:rFonts w:ascii="맑은 고딕" w:hAnsi="맑은 고딕" w:eastAsia="맑은 고딕" w:cs="맑은 고딕"/>
                <w:b w:val="0"/>
                <w:color w:val="000000"/>
                <w:sz w:val="19"/>
              </w:rPr>
              <w:t>입력: 기존 자료·이관 대상·변경 전후 자료</w:t>
            </w:r>
          </w:p>
          <w:p>
            <w:pPr>
              <w:spacing w:after="0" w:line="259" w:lineRule="exact"/>
              <w:keepNext w:val="0"/>
              <w:snapToGrid w:val="false"/>
            </w:pPr>
            <w:r>
              <w:rPr>
                <w:rFonts w:ascii="맑은 고딕" w:hAnsi="맑은 고딕" w:eastAsia="맑은 고딕" w:cs="맑은 고딕"/>
                <w:b w:val="0"/>
                <w:color w:val="000000"/>
                <w:sz w:val="19"/>
              </w:rPr>
              <w:t>업무 결과: 검증·보정·미확인 목록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이관 건수·관계 일부 누락, When 검증, Then 전체 이관 완료로 표시되지 않는다.</w:t>
            </w:r>
          </w:p>
          <w:p>
            <w:pPr>
              <w:spacing w:after="0" w:line="259" w:lineRule="exact"/>
              <w:keepNext w:val="0"/>
              <w:snapToGrid w:val="false"/>
            </w:pPr>
            <w:r>
              <w:rPr>
                <w:rFonts w:ascii="맑은 고딕" w:hAnsi="맑은 고딕" w:eastAsia="맑은 고딕" w:cs="맑은 고딕"/>
                <w:b w:val="0"/>
                <w:color w:val="000000"/>
                <w:sz w:val="19"/>
              </w:rPr>
              <w:t>2. Given 같은 원본이 다른 업무에 재사용, When 연결, Then 중복 업무 사건 생성과 합법적 증거 재사용을 구분한다.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DE31-1, DE31-2, AN13-1</w:t>
            </w:r>
          </w:p>
          <w:p>
            <w:pPr>
              <w:spacing w:after="0" w:line="259" w:lineRule="exact"/>
              <w:keepNext w:val="0"/>
              <w:snapToGrid w:val="false"/>
            </w:pPr>
            <w:r>
              <w:rPr>
                <w:rFonts w:ascii="맑은 고딕" w:hAnsi="맑은 고딕" w:eastAsia="맑은 고딕" w:cs="맑은 고딕"/>
                <w:b w:val="0"/>
                <w:color w:val="000000"/>
                <w:sz w:val="19"/>
              </w:rPr>
              <w:t>원 요구: PMS-DAR-003 | TBD-04</w:t>
            </w:r>
          </w:p>
        </w:tc>
      </w:tr>
    </w:tbl>
    <w:p>
      <w:pPr>
        <w:spacing w:after="20" w:line="40" w:lineRule="exact"/>
      </w:pPr>
    </w:p>
    <w:p>
      <w:pPr>
        <w:pStyle w:val="Heading3"/>
      </w:pPr>
      <w:r>
        <w:t>DAR 004 보존 정정 반출 폐기 정책</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데이터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DAR-004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보존·정정·반출·폐기 정책</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기관이 정한 이용 목적·자료 분류·보존·정정·반출·폐기 조건을 원문·검색자료·평가·백업에 적용해야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모든 자료를 무기한 보존하거나 기관 간 자동 공유하지 않는다. 반출할 때 원문·버전·근거·미결·정정 관계를 함께 인계한다.</w:t>
            </w:r>
          </w:p>
          <w:p>
            <w:pPr>
              <w:spacing w:after="0" w:line="259" w:lineRule="exact"/>
              <w:keepNext w:val="0"/>
              <w:snapToGrid w:val="false"/>
            </w:pPr>
            <w:r>
              <w:rPr>
                <w:rFonts w:ascii="맑은 고딕" w:hAnsi="맑은 고딕" w:eastAsia="맑은 고딕" w:cs="맑은 고딕"/>
                <w:b w:val="0"/>
                <w:color w:val="000000"/>
                <w:sz w:val="19"/>
              </w:rPr>
              <w:t>입력: 승인 자료 정책·계약 종료 조건</w:t>
            </w:r>
          </w:p>
          <w:p>
            <w:pPr>
              <w:spacing w:after="0" w:line="259" w:lineRule="exact"/>
              <w:keepNext w:val="0"/>
              <w:snapToGrid w:val="false"/>
            </w:pPr>
            <w:r>
              <w:rPr>
                <w:rFonts w:ascii="맑은 고딕" w:hAnsi="맑은 고딕" w:eastAsia="맑은 고딕" w:cs="맑은 고딕"/>
                <w:b w:val="0"/>
                <w:color w:val="000000"/>
                <w:sz w:val="19"/>
              </w:rPr>
              <w:t>업무 결과: 정책 적용·반출·정정·폐기 이력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계약 종료 인계, When 허용 자료 반출, Then 기관이 검증 가능한 관계·버전·정정 상태를 포함한다.</w:t>
            </w:r>
          </w:p>
          <w:p>
            <w:pPr>
              <w:spacing w:after="0" w:line="259" w:lineRule="exact"/>
              <w:keepNext w:val="0"/>
              <w:snapToGrid w:val="false"/>
            </w:pPr>
            <w:r>
              <w:rPr>
                <w:rFonts w:ascii="맑은 고딕" w:hAnsi="맑은 고딕" w:eastAsia="맑은 고딕" w:cs="맑은 고딕"/>
                <w:b w:val="0"/>
                <w:color w:val="000000"/>
                <w:sz w:val="19"/>
              </w:rPr>
              <w:t>2. Given 보존 또는 폐기 요청, When 처리, Then 해당 정책·권한·제한 사유와 결과를 확인할 수 있다.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DE31-1, DE31-2, AN13-1</w:t>
            </w:r>
          </w:p>
          <w:p>
            <w:pPr>
              <w:spacing w:after="0" w:line="259" w:lineRule="exact"/>
              <w:keepNext w:val="0"/>
              <w:snapToGrid w:val="false"/>
            </w:pPr>
            <w:r>
              <w:rPr>
                <w:rFonts w:ascii="맑은 고딕" w:hAnsi="맑은 고딕" w:eastAsia="맑은 고딕" w:cs="맑은 고딕"/>
                <w:b w:val="0"/>
                <w:color w:val="000000"/>
                <w:sz w:val="19"/>
              </w:rPr>
              <w:t>원 요구: PMS-DAR-004 | TBD-07</w:t>
            </w:r>
          </w:p>
        </w:tc>
      </w:tr>
    </w:tbl>
    <w:p>
      <w:pPr>
        <w:spacing w:after="20" w:line="40" w:lineRule="exact"/>
      </w:pPr>
    </w:p>
    <w:p>
      <w:pPr>
        <w:pStyle w:val="Heading2"/>
        <w:pageBreakBefore/>
      </w:pPr>
      <w:r>
        <w:t>3 상세 요구사항 17</w:t>
      </w:r>
    </w:p>
    <w:p>
      <w:pPr>
        <w:pStyle w:val="Heading3"/>
      </w:pPr>
      <w:r>
        <w:t>PER 001 업무 응답 분석 처리량의 성능 목표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성능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PER-001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업무 응답·분석 처리량의 성능 목표</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합의된 동시 업무·문서 규모·로컬 환경에서 업무 응답과 AI 분석의 성능 목표를 각각 충족해야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별첨의 성능·수용조건표를 공고 전에 확정한다. 접수 응답 p95, 분석 대기·완료시간, 시간당 처리량을 각각 보고한다. 응답과 긴 분석을 같은 평균으로 합치지 않는다.</w:t>
            </w:r>
          </w:p>
          <w:p>
            <w:pPr>
              <w:spacing w:after="0" w:line="259" w:lineRule="exact"/>
              <w:keepNext w:val="0"/>
              <w:snapToGrid w:val="false"/>
            </w:pPr>
            <w:r>
              <w:rPr>
                <w:rFonts w:ascii="맑은 고딕" w:hAnsi="맑은 고딕" w:eastAsia="맑은 고딕" w:cs="맑은 고딕"/>
                <w:b w:val="0"/>
                <w:color w:val="000000"/>
                <w:sz w:val="19"/>
              </w:rPr>
              <w:t>입력: 동시 업무 수·문서 크기/종류·모델/환경·측정 기간</w:t>
            </w:r>
          </w:p>
          <w:p>
            <w:pPr>
              <w:spacing w:after="0" w:line="259" w:lineRule="exact"/>
              <w:keepNext w:val="0"/>
              <w:snapToGrid w:val="false"/>
            </w:pPr>
            <w:r>
              <w:rPr>
                <w:rFonts w:ascii="맑은 고딕" w:hAnsi="맑은 고딕" w:eastAsia="맑은 고딕" w:cs="맑은 고딕"/>
                <w:b w:val="0"/>
                <w:color w:val="000000"/>
                <w:sz w:val="19"/>
              </w:rPr>
              <w:t>업무 결과: 업무 응답 p95·오류율·분석 대기/완료시간·처리량</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확정된 성능시험 조건, When 부하 측정, Then 업무 응답·분석 대기·처리량을 분리해 목표와 비교해야 한다.</w:t>
            </w:r>
          </w:p>
          <w:p>
            <w:pPr>
              <w:spacing w:after="0" w:line="259" w:lineRule="exact"/>
              <w:keepNext w:val="0"/>
              <w:snapToGrid w:val="false"/>
            </w:pPr>
            <w:r>
              <w:rPr>
                <w:rFonts w:ascii="맑은 고딕" w:hAnsi="맑은 고딕" w:eastAsia="맑은 고딕" w:cs="맑은 고딕"/>
                <w:b w:val="0"/>
                <w:color w:val="000000"/>
                <w:sz w:val="19"/>
              </w:rPr>
              <w:t>2. Given 조건·목표 수치 미확정, When 인수 판정, Then 이 요구를 통과로 처리할 수 없다.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TE15-1, TE15-2</w:t>
            </w:r>
          </w:p>
          <w:p>
            <w:pPr>
              <w:spacing w:after="0" w:line="259" w:lineRule="exact"/>
              <w:keepNext w:val="0"/>
              <w:snapToGrid w:val="false"/>
            </w:pPr>
            <w:r>
              <w:rPr>
                <w:rFonts w:ascii="맑은 고딕" w:hAnsi="맑은 고딕" w:eastAsia="맑은 고딕" w:cs="맑은 고딕"/>
                <w:b w:val="0"/>
                <w:color w:val="000000"/>
                <w:sz w:val="19"/>
              </w:rPr>
              <w:t>원 요구: PMS-NFR-005 | TBD-10</w:t>
            </w:r>
          </w:p>
        </w:tc>
      </w:tr>
    </w:tbl>
    <w:p>
      <w:pPr>
        <w:spacing w:after="20" w:line="40" w:lineRule="exact"/>
      </w:pPr>
    </w:p>
    <w:p>
      <w:pPr>
        <w:pStyle w:val="Heading3"/>
      </w:pPr>
      <w:r>
        <w:t>TER 001 단위 통합 및 사용자 인수시험</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테스트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TER-001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단위 통합 및 사용자 인수시험</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채택된 요구의 정상·대안·예외·권한 시나리오를 시험하고 기관이 사용자 인수 여부를 판단할 증거를 제출해야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단위시험→검증환경 설치→통합시험→사용자 인수시험의 의존관계를 WBS에 반영한다. 제출과 분석 상태 분리, 중복 접수, 버전 충돌, 권한 회수, 평가 정정, 인수인계 미결 승계를 포함한다. 결과에는 환경·대상 버전·예상/실제·판정·결함·재시험을 남긴다.</w:t>
            </w:r>
          </w:p>
          <w:p>
            <w:pPr>
              <w:spacing w:after="0" w:line="259" w:lineRule="exact"/>
              <w:keepNext w:val="0"/>
              <w:snapToGrid w:val="false"/>
            </w:pPr>
            <w:r>
              <w:rPr>
                <w:rFonts w:ascii="맑은 고딕" w:hAnsi="맑은 고딕" w:eastAsia="맑은 고딕" w:cs="맑은 고딕"/>
                <w:b w:val="0"/>
                <w:color w:val="000000"/>
                <w:sz w:val="19"/>
              </w:rPr>
              <w:t>입력: 확정 요구·업무규칙·권한표·시험환경</w:t>
            </w:r>
          </w:p>
          <w:p>
            <w:pPr>
              <w:spacing w:after="0" w:line="259" w:lineRule="exact"/>
              <w:keepNext w:val="0"/>
              <w:snapToGrid w:val="false"/>
            </w:pPr>
            <w:r>
              <w:rPr>
                <w:rFonts w:ascii="맑은 고딕" w:hAnsi="맑은 고딕" w:eastAsia="맑은 고딕" w:cs="맑은 고딕"/>
                <w:b w:val="0"/>
                <w:color w:val="000000"/>
                <w:sz w:val="19"/>
              </w:rPr>
              <w:t>업무 결과: TE11-1/2·TE12-1/2·TE13-1/2·결함/조치대장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채택된 요구마다 한 개 이상 검증 시나리오와 결과가 있고, 미실시·실패·보류가 통과와 구분되어야 한다.</w:t>
            </w:r>
          </w:p>
          <w:p>
            <w:pPr>
              <w:spacing w:after="0" w:line="259" w:lineRule="exact"/>
              <w:keepNext w:val="0"/>
              <w:snapToGrid w:val="false"/>
            </w:pPr>
            <w:r>
              <w:rPr>
                <w:rFonts w:ascii="맑은 고딕" w:hAnsi="맑은 고딕" w:eastAsia="맑은 고딕" w:cs="맑은 고딕"/>
                <w:b w:val="0"/>
                <w:color w:val="000000"/>
                <w:sz w:val="19"/>
              </w:rPr>
              <w:t>2. 미해결 수용 차단 결함이 없어야 하며 나머지 결함은 기관이 잔여 영향·조치 책임·기한을 판단해야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TE11-1, TE11-2, TE12-1, TE12-2, TE13-1, TE13-2</w:t>
            </w:r>
          </w:p>
          <w:p>
            <w:pPr>
              <w:spacing w:after="0" w:line="259" w:lineRule="exact"/>
              <w:keepNext w:val="0"/>
              <w:snapToGrid w:val="false"/>
            </w:pPr>
            <w:r>
              <w:rPr>
                <w:rFonts w:ascii="맑은 고딕" w:hAnsi="맑은 고딕" w:eastAsia="맑은 고딕" w:cs="맑은 고딕"/>
                <w:b w:val="0"/>
                <w:color w:val="000000"/>
                <w:sz w:val="19"/>
              </w:rPr>
              <w:t>원 요구: L01 TE11~TE13 및 L02 PDF 77쪽</w:t>
            </w:r>
          </w:p>
        </w:tc>
      </w:tr>
    </w:tbl>
    <w:p>
      <w:pPr>
        <w:spacing w:after="20" w:line="40" w:lineRule="exact"/>
      </w:pPr>
    </w:p>
    <w:p>
      <w:pPr>
        <w:pStyle w:val="Heading2"/>
        <w:pageBreakBefore/>
      </w:pPr>
      <w:r>
        <w:t>3 상세 요구사항 18</w:t>
      </w:r>
    </w:p>
    <w:p>
      <w:pPr>
        <w:pStyle w:val="Heading3"/>
      </w:pPr>
      <w:r>
        <w:t>TER 002 AI 검토 품질과 근거 검증</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테스트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TER-002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AI 검토 품질과 근거 검증</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기초 검토에 대해 모델·입력·기준 버전을 고정하고 독립적인 사람 기준과 비교한 품질검증 결과를 제출해야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원문 근거 정확성, 중요 누락, 오탐, 미탐, 미처리와 추가 확인시간을 각각 측정한다. 튜닝 자료와 최종 검증 자료를 구분한다. 같은 문서의 버전·반복 호출은 독립 표본으로 부풀리지 않는다. AI 간 동의나 단일 평균 정확도만으로 수용을 결정하지 않는다.</w:t>
            </w:r>
          </w:p>
          <w:p>
            <w:pPr>
              <w:spacing w:after="0" w:line="259" w:lineRule="exact"/>
              <w:keepNext w:val="0"/>
              <w:snapToGrid w:val="false"/>
            </w:pPr>
            <w:r>
              <w:rPr>
                <w:rFonts w:ascii="맑은 고딕" w:hAnsi="맑은 고딕" w:eastAsia="맑은 고딕" w:cs="맑은 고딕"/>
                <w:b w:val="0"/>
                <w:color w:val="000000"/>
                <w:sz w:val="19"/>
              </w:rPr>
              <w:t>입력: 공고 전 확정한 품질 지표·대상/표본·오류 허용·판정/중단 규칙</w:t>
            </w:r>
          </w:p>
          <w:p>
            <w:pPr>
              <w:spacing w:after="0" w:line="259" w:lineRule="exact"/>
              <w:keepNext w:val="0"/>
              <w:snapToGrid w:val="false"/>
            </w:pPr>
            <w:r>
              <w:rPr>
                <w:rFonts w:ascii="맑은 고딕" w:hAnsi="맑은 고딕" w:eastAsia="맑은 고딕" w:cs="맑은 고딕"/>
                <w:b w:val="0"/>
                <w:color w:val="000000"/>
                <w:sz w:val="19"/>
              </w:rPr>
              <w:t>업무 결과: TE14-1·평가 설계·원 판정·오류 유형·수정 전후 결과</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검토 후보별 근거 위치·사람 판정과 지표별 분자/분모 및 적용 범위가 추적되어야 한다.</w:t>
            </w:r>
          </w:p>
          <w:p>
            <w:pPr>
              <w:spacing w:after="0" w:line="259" w:lineRule="exact"/>
              <w:keepNext w:val="0"/>
              <w:snapToGrid w:val="false"/>
            </w:pPr>
            <w:r>
              <w:rPr>
                <w:rFonts w:ascii="맑은 고딕" w:hAnsi="맑은 고딕" w:eastAsia="맑은 고딕" w:cs="맑은 고딕"/>
                <w:b w:val="0"/>
                <w:color w:val="000000"/>
                <w:sz w:val="19"/>
              </w:rPr>
              <w:t>2. 사전 목표와 중요 오류 기준을 충족한 범위를 명시하며 기준 미확정·자료 부족은 합격으로 보고하지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TE14-1</w:t>
            </w:r>
          </w:p>
          <w:p>
            <w:pPr>
              <w:spacing w:after="0" w:line="259" w:lineRule="exact"/>
              <w:keepNext w:val="0"/>
              <w:snapToGrid w:val="false"/>
            </w:pPr>
            <w:r>
              <w:rPr>
                <w:rFonts w:ascii="맑은 고딕" w:hAnsi="맑은 고딕" w:eastAsia="맑은 고딕" w:cs="맑은 고딕"/>
                <w:b w:val="0"/>
                <w:color w:val="000000"/>
                <w:sz w:val="19"/>
              </w:rPr>
              <w:t>원 요구: L01 TE14-1 및 PMS-NFR-003 구체화</w:t>
            </w:r>
          </w:p>
        </w:tc>
      </w:tr>
    </w:tbl>
    <w:p>
      <w:pPr>
        <w:spacing w:after="20" w:line="40" w:lineRule="exact"/>
      </w:pPr>
    </w:p>
    <w:p>
      <w:pPr>
        <w:pStyle w:val="Heading3"/>
      </w:pPr>
      <w:r>
        <w:t>TER 003 성능 장애 복구와 전환 검증</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테스트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TER-003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성능 장애 복구와 전환 검증</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기존 로컬 자원에서 부하·분석 장애·저장 실패·백업 복구·전환 및 되돌림 시험을 수행해야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성능과 복구 목표는 별첨 조건표를 따른다. 기존 승인 자료와 접수증·미결·정정 이력을 전후 대조한다. 기존 백업 자원을 활용하며 장비·저장소 증설비를 계상하지 않는다. 목표 미충족 시 설정·동시성·업무량 조정안을 제출하고 범위 변경은 기관 판단을 받는다.</w:t>
            </w:r>
          </w:p>
          <w:p>
            <w:pPr>
              <w:spacing w:after="0" w:line="259" w:lineRule="exact"/>
              <w:keepNext w:val="0"/>
              <w:snapToGrid w:val="false"/>
            </w:pPr>
            <w:r>
              <w:rPr>
                <w:rFonts w:ascii="맑은 고딕" w:hAnsi="맑은 고딕" w:eastAsia="맑은 고딕" w:cs="맑은 고딕"/>
                <w:b w:val="0"/>
                <w:color w:val="000000"/>
                <w:sz w:val="19"/>
              </w:rPr>
              <w:t>입력: 공고 전 확정 환경·부하·p95·처리량·가용성·RTO/RPO</w:t>
            </w:r>
          </w:p>
          <w:p>
            <w:pPr>
              <w:spacing w:after="0" w:line="259" w:lineRule="exact"/>
              <w:keepNext w:val="0"/>
              <w:snapToGrid w:val="false"/>
            </w:pPr>
            <w:r>
              <w:rPr>
                <w:rFonts w:ascii="맑은 고딕" w:hAnsi="맑은 고딕" w:eastAsia="맑은 고딕" w:cs="맑은 고딕"/>
                <w:b w:val="0"/>
                <w:color w:val="000000"/>
                <w:sz w:val="19"/>
              </w:rPr>
              <w:t>업무 결과: TE15-1/2·IM12-1·복구/되돌림 결과·운영 인수 기록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합의 부하에서 각 성능 지표가 목표를 충족하고 측정 시작·종료·실패·대기시간을 재확인할 수 있어야 한다.</w:t>
            </w:r>
          </w:p>
          <w:p>
            <w:pPr>
              <w:spacing w:after="0" w:line="259" w:lineRule="exact"/>
              <w:keepNext w:val="0"/>
              <w:snapToGrid w:val="false"/>
            </w:pPr>
            <w:r>
              <w:rPr>
                <w:rFonts w:ascii="맑은 고딕" w:hAnsi="맑은 고딕" w:eastAsia="맑은 고딕" w:cs="맑은 고딕"/>
                <w:b w:val="0"/>
                <w:color w:val="000000"/>
                <w:sz w:val="19"/>
              </w:rPr>
              <w:t>2. 복구 후 중복 승인·과거 버전 역전이 없어야 하며 손실 범위와 복구시간을 RPO/RTO와 대조해야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TE15-1, TE15-2, IM12-1</w:t>
            </w:r>
          </w:p>
          <w:p>
            <w:pPr>
              <w:spacing w:after="0" w:line="259" w:lineRule="exact"/>
              <w:keepNext w:val="0"/>
              <w:snapToGrid w:val="false"/>
            </w:pPr>
            <w:r>
              <w:rPr>
                <w:rFonts w:ascii="맑은 고딕" w:hAnsi="맑은 고딕" w:eastAsia="맑은 고딕" w:cs="맑은 고딕"/>
                <w:b w:val="0"/>
                <w:color w:val="000000"/>
                <w:sz w:val="19"/>
              </w:rPr>
              <w:t>원 요구: L01 TE15·IM12·TO13 및 PMS-NFR-005/006 구체화</w:t>
            </w:r>
          </w:p>
        </w:tc>
      </w:tr>
    </w:tbl>
    <w:p>
      <w:pPr>
        <w:spacing w:after="20" w:line="40" w:lineRule="exact"/>
      </w:pPr>
    </w:p>
    <w:p>
      <w:pPr>
        <w:pStyle w:val="Heading2"/>
        <w:pageBreakBefore/>
      </w:pPr>
      <w:r>
        <w:t>3 상세 요구사항 19</w:t>
      </w:r>
    </w:p>
    <w:p>
      <w:pPr>
        <w:pStyle w:val="Heading3"/>
      </w:pPr>
      <w:r>
        <w:t>TER 004 보안 접근성 및 소프트웨어 점검</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테스트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TER-004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보안 접근성 및 소프트웨어 점검</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소스코드·웹서비스·권한·문서 입력 명령·의존 SW·접근성을 점검하고 결함 조치 및 재점검 결과를 제출해야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 간/기업 간 접근 차단, 원문·검색·요약·반출·캐시의 권한 회수, 문서의 악성 명령, 비밀정보 노출, 미승인 외부 전송을 포함한다. 승인된 시험환경을 사용한다. 보안 진단 수행자 자격은 적용 규정에 따라 입증한다. 접근성은 자동 검사와 키보드·확대·보조기술 과업을 함께 확인한다.</w:t>
            </w:r>
          </w:p>
          <w:p>
            <w:pPr>
              <w:spacing w:after="0" w:line="259" w:lineRule="exact"/>
              <w:keepNext w:val="0"/>
              <w:snapToGrid w:val="false"/>
            </w:pPr>
            <w:r>
              <w:rPr>
                <w:rFonts w:ascii="맑은 고딕" w:hAnsi="맑은 고딕" w:eastAsia="맑은 고딕" w:cs="맑은 고딕"/>
                <w:b w:val="0"/>
                <w:color w:val="000000"/>
                <w:sz w:val="19"/>
              </w:rPr>
              <w:t>입력: 권한표·기술/보안 기준·자격 적용 판단·접근성 시험계획</w:t>
            </w:r>
          </w:p>
          <w:p>
            <w:pPr>
              <w:spacing w:after="0" w:line="259" w:lineRule="exact"/>
              <w:keepNext w:val="0"/>
              <w:snapToGrid w:val="false"/>
            </w:pPr>
            <w:r>
              <w:rPr>
                <w:rFonts w:ascii="맑은 고딕" w:hAnsi="맑은 고딕" w:eastAsia="맑은 고딕" w:cs="맑은 고딕"/>
                <w:b w:val="0"/>
                <w:color w:val="000000"/>
                <w:sz w:val="19"/>
              </w:rPr>
              <w:t>업무 결과: CO32-1/2·IM13-1·CO31-1·자격/조치 증거</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중대한 무단 접근·외부 전송·비밀정보 노출 결함은 수용 전 해소하고 재점검 결과를 연결해야 한다.</w:t>
            </w:r>
          </w:p>
          <w:p>
            <w:pPr>
              <w:spacing w:after="0" w:line="259" w:lineRule="exact"/>
              <w:keepNext w:val="0"/>
              <w:snapToGrid w:val="false"/>
            </w:pPr>
            <w:r>
              <w:rPr>
                <w:rFonts w:ascii="맑은 고딕" w:hAnsi="맑은 고딕" w:eastAsia="맑은 고딕" w:cs="맑은 고딕"/>
                <w:b w:val="0"/>
                <w:color w:val="000000"/>
                <w:sz w:val="19"/>
              </w:rPr>
              <w:t>2. 채택된 보안·접근성 기준별 결과와 미적용 근거가 존재하고 미확인 항목을 적합으로 표시하지 않아야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CO31-1, CO32-1, CO32-2, IM13-1</w:t>
            </w:r>
          </w:p>
          <w:p>
            <w:pPr>
              <w:spacing w:after="0" w:line="259" w:lineRule="exact"/>
              <w:keepNext w:val="0"/>
              <w:snapToGrid w:val="false"/>
            </w:pPr>
            <w:r>
              <w:rPr>
                <w:rFonts w:ascii="맑은 고딕" w:hAnsi="맑은 고딕" w:eastAsia="맑은 고딕" w:cs="맑은 고딕"/>
                <w:b w:val="0"/>
                <w:color w:val="000000"/>
                <w:sz w:val="19"/>
              </w:rPr>
              <w:t>원 요구: L02 PDF 76~78쪽 및 PMS-NFR-001/004/007 구체화</w:t>
            </w:r>
          </w:p>
        </w:tc>
      </w:tr>
    </w:tbl>
    <w:p>
      <w:pPr>
        <w:spacing w:after="20" w:line="40" w:lineRule="exact"/>
      </w:pPr>
    </w:p>
    <w:p>
      <w:pPr>
        <w:pStyle w:val="Heading3"/>
      </w:pPr>
      <w:r>
        <w:t>SER 001 기관 사업 문서의 접근 통제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보안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SER-001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기관·사업·문서의 접근 통제</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기관·사업·조직·역할·문서의 권한을 조회·원문·검색·요약·내보내기·대기 처리에 일관되게 적용해야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내부 초안·기관 메모·평가자 신원·타 기업 자료를 분리한다. 기술운영자의 업무내용 열람은 목적·승인·추적 조건을 갖춘 범위로 제한한다.</w:t>
            </w:r>
          </w:p>
          <w:p>
            <w:pPr>
              <w:spacing w:after="0" w:line="259" w:lineRule="exact"/>
              <w:keepNext w:val="0"/>
              <w:snapToGrid w:val="false"/>
            </w:pPr>
            <w:r>
              <w:rPr>
                <w:rFonts w:ascii="맑은 고딕" w:hAnsi="맑은 고딕" w:eastAsia="맑은 고딕" w:cs="맑은 고딕"/>
                <w:b w:val="0"/>
                <w:color w:val="000000"/>
                <w:sz w:val="19"/>
              </w:rPr>
              <w:t>입력: 승인 권한표·위임·공개 범위·철회 사건</w:t>
            </w:r>
          </w:p>
          <w:p>
            <w:pPr>
              <w:spacing w:after="0" w:line="259" w:lineRule="exact"/>
              <w:keepNext w:val="0"/>
              <w:snapToGrid w:val="false"/>
            </w:pPr>
            <w:r>
              <w:rPr>
                <w:rFonts w:ascii="맑은 고딕" w:hAnsi="맑은 고딕" w:eastAsia="맑은 고딕" w:cs="맑은 고딕"/>
                <w:b w:val="0"/>
                <w:color w:val="000000"/>
                <w:sz w:val="19"/>
              </w:rPr>
              <w:t>업무 결과: 허용·거절 결과와 최소한의 접근 이력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권한 철회 후 캐시·검색·다운로드 요청, When 처리, Then 철회된 자료가 노출되지 않는다.</w:t>
            </w:r>
          </w:p>
          <w:p>
            <w:pPr>
              <w:spacing w:after="0" w:line="259" w:lineRule="exact"/>
              <w:keepNext w:val="0"/>
              <w:snapToGrid w:val="false"/>
            </w:pPr>
            <w:r>
              <w:rPr>
                <w:rFonts w:ascii="맑은 고딕" w:hAnsi="맑은 고딕" w:eastAsia="맑은 고딕" w:cs="맑은 고딕"/>
                <w:b w:val="0"/>
                <w:color w:val="000000"/>
                <w:sz w:val="19"/>
              </w:rPr>
              <w:t>2. Given 기관·사업별 허용/거절 시험표, When 각 경로 검증, Then 정의된 모든 권한 기대결과와 일치해야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PM04-1, CO32-1, IM13-1</w:t>
            </w:r>
          </w:p>
          <w:p>
            <w:pPr>
              <w:spacing w:after="0" w:line="259" w:lineRule="exact"/>
              <w:keepNext w:val="0"/>
              <w:snapToGrid w:val="false"/>
            </w:pPr>
            <w:r>
              <w:rPr>
                <w:rFonts w:ascii="맑은 고딕" w:hAnsi="맑은 고딕" w:eastAsia="맑은 고딕" w:cs="맑은 고딕"/>
                <w:b w:val="0"/>
                <w:color w:val="000000"/>
                <w:sz w:val="19"/>
              </w:rPr>
              <w:t>원 요구: PMS-NFR-001 | TBD-02, TBD-07</w:t>
            </w:r>
          </w:p>
        </w:tc>
      </w:tr>
    </w:tbl>
    <w:p>
      <w:pPr>
        <w:spacing w:after="20" w:line="40" w:lineRule="exact"/>
      </w:pPr>
    </w:p>
    <w:p>
      <w:pPr>
        <w:pStyle w:val="Heading2"/>
        <w:pageBreakBefore/>
      </w:pPr>
      <w:r>
        <w:t>3 상세 요구사항 20</w:t>
      </w:r>
    </w:p>
    <w:p>
      <w:pPr>
        <w:pStyle w:val="Heading3"/>
      </w:pPr>
      <w:r>
        <w:t>SER 002 로컬 처리 문서 명령과 업무권한 분리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보안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SER-002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로컬 처리·문서 명령과 업무권한 분리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기관이 허용한 로컬 LLM 처리 경계를 적용하고 입력문서의 명령이 업무권한·검사기준·외부 전송을 임의 변경하지 못하게 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임베딩 등 추가 모델의 실행 경계도 확인한다. 로컬 분석 실패 시 외부 클라우드 LLM으로 자동 우회하지 않는다.</w:t>
            </w:r>
          </w:p>
          <w:p>
            <w:pPr>
              <w:spacing w:after="0" w:line="259" w:lineRule="exact"/>
              <w:keepNext w:val="0"/>
              <w:snapToGrid w:val="false"/>
            </w:pPr>
            <w:r>
              <w:rPr>
                <w:rFonts w:ascii="맑은 고딕" w:hAnsi="맑은 고딕" w:eastAsia="맑은 고딕" w:cs="맑은 고딕"/>
                <w:b w:val="0"/>
                <w:color w:val="000000"/>
                <w:sz w:val="19"/>
              </w:rPr>
              <w:t>입력: 허용 처리 환경·모델/도구 범위·문서 입력</w:t>
            </w:r>
          </w:p>
          <w:p>
            <w:pPr>
              <w:spacing w:after="0" w:line="259" w:lineRule="exact"/>
              <w:keepNext w:val="0"/>
              <w:snapToGrid w:val="false"/>
            </w:pPr>
            <w:r>
              <w:rPr>
                <w:rFonts w:ascii="맑은 고딕" w:hAnsi="맑은 고딕" w:eastAsia="맑은 고딕" w:cs="맑은 고딕"/>
                <w:b w:val="0"/>
                <w:color w:val="000000"/>
                <w:sz w:val="19"/>
              </w:rPr>
              <w:t>업무 결과: 처리 경계·차단 및 오류 기록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원문에 승인·기준 무시·외부 전송 명령 포함, When 분석, Then 문서 내용으로만 취급하고 해당 업무를 실행하지 않는다.</w:t>
            </w:r>
          </w:p>
          <w:p>
            <w:pPr>
              <w:spacing w:after="0" w:line="259" w:lineRule="exact"/>
              <w:keepNext w:val="0"/>
              <w:snapToGrid w:val="false"/>
            </w:pPr>
            <w:r>
              <w:rPr>
                <w:rFonts w:ascii="맑은 고딕" w:hAnsi="맑은 고딕" w:eastAsia="맑은 고딕" w:cs="맑은 고딕"/>
                <w:b w:val="0"/>
                <w:color w:val="000000"/>
                <w:sz w:val="19"/>
              </w:rPr>
              <w:t>2. Given 로컬 분석 불가, When 대체 처리, Then 수동 검토·실패 안내로 이어지며 무단 외부 전송이 없다.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PM04-1, CO32-1, IM13-1</w:t>
            </w:r>
          </w:p>
          <w:p>
            <w:pPr>
              <w:spacing w:after="0" w:line="259" w:lineRule="exact"/>
              <w:keepNext w:val="0"/>
              <w:snapToGrid w:val="false"/>
            </w:pPr>
            <w:r>
              <w:rPr>
                <w:rFonts w:ascii="맑은 고딕" w:hAnsi="맑은 고딕" w:eastAsia="맑은 고딕" w:cs="맑은 고딕"/>
                <w:b w:val="0"/>
                <w:color w:val="000000"/>
                <w:sz w:val="19"/>
              </w:rPr>
              <w:t>원 요구: PMS-NFR-004 | TBD-10</w:t>
            </w:r>
          </w:p>
        </w:tc>
      </w:tr>
    </w:tbl>
    <w:p>
      <w:pPr>
        <w:spacing w:after="20" w:line="40" w:lineRule="exact"/>
      </w:pPr>
    </w:p>
    <w:p>
      <w:pPr>
        <w:pStyle w:val="Heading3"/>
      </w:pPr>
      <w:r>
        <w:t>QUR 001 판단 변경 이력의 추적성</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품질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QUR-001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판단·변경 이력의 추적성</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기준·제출·검토·승인·평가·정정의 행위자·시각·이전/이후 상태·근거를 유효 보존정책에 따라 추적 가능하게 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정정과 삭제·보존 만료를 구분하고 무단 덮어쓰기를 방지한다. 비밀값과 불필요한 원문 전체를 기술 로그에 남기지 않는다.</w:t>
            </w:r>
          </w:p>
          <w:p>
            <w:pPr>
              <w:spacing w:after="0" w:line="259" w:lineRule="exact"/>
              <w:keepNext w:val="0"/>
              <w:snapToGrid w:val="false"/>
            </w:pPr>
            <w:r>
              <w:rPr>
                <w:rFonts w:ascii="맑은 고딕" w:hAnsi="맑은 고딕" w:eastAsia="맑은 고딕" w:cs="맑은 고딕"/>
                <w:b w:val="0"/>
                <w:color w:val="000000"/>
                <w:sz w:val="19"/>
              </w:rPr>
              <w:t>입력: 중요 행위·대상 버전·변경 사유</w:t>
            </w:r>
          </w:p>
          <w:p>
            <w:pPr>
              <w:spacing w:after="0" w:line="259" w:lineRule="exact"/>
              <w:keepNext w:val="0"/>
              <w:snapToGrid w:val="false"/>
            </w:pPr>
            <w:r>
              <w:rPr>
                <w:rFonts w:ascii="맑은 고딕" w:hAnsi="맑은 고딕" w:eastAsia="맑은 고딕" w:cs="맑은 고딕"/>
                <w:b w:val="0"/>
                <w:color w:val="000000"/>
                <w:sz w:val="19"/>
              </w:rPr>
              <w:t>업무 결과: 감사 가능한 업무 이력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확정 기록 정정, When 이력 검토, Then 원 결정·정정자·사유·현재 상태를 추적할 수 있다.</w:t>
            </w:r>
          </w:p>
          <w:p>
            <w:pPr>
              <w:spacing w:after="0" w:line="259" w:lineRule="exact"/>
              <w:keepNext w:val="0"/>
              <w:snapToGrid w:val="false"/>
            </w:pPr>
            <w:r>
              <w:rPr>
                <w:rFonts w:ascii="맑은 고딕" w:hAnsi="맑은 고딕" w:eastAsia="맑은 고딕" w:cs="맑은 고딕"/>
                <w:b w:val="0"/>
                <w:color w:val="000000"/>
                <w:sz w:val="19"/>
              </w:rPr>
              <w:t>2. Given 권한 없는 이력 변경, When 요청, Then 거절되고 해당 시도는 정책상 필요한 범위로 기록된다.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PM06-1, AN13-1</w:t>
            </w:r>
          </w:p>
          <w:p>
            <w:pPr>
              <w:spacing w:after="0" w:line="259" w:lineRule="exact"/>
              <w:keepNext w:val="0"/>
              <w:snapToGrid w:val="false"/>
            </w:pPr>
            <w:r>
              <w:rPr>
                <w:rFonts w:ascii="맑은 고딕" w:hAnsi="맑은 고딕" w:eastAsia="맑은 고딕" w:cs="맑은 고딕"/>
                <w:b w:val="0"/>
                <w:color w:val="000000"/>
                <w:sz w:val="19"/>
              </w:rPr>
              <w:t>원 요구: PMS-NFR-002 | TBD-07</w:t>
            </w:r>
          </w:p>
        </w:tc>
      </w:tr>
    </w:tbl>
    <w:p>
      <w:pPr>
        <w:spacing w:after="20" w:line="40" w:lineRule="exact"/>
      </w:pPr>
    </w:p>
    <w:p>
      <w:pPr>
        <w:pStyle w:val="Heading2"/>
        <w:pageBreakBefore/>
      </w:pPr>
      <w:r>
        <w:t>3 상세 요구사항 21</w:t>
      </w:r>
    </w:p>
    <w:p>
      <w:pPr>
        <w:pStyle w:val="Heading3"/>
      </w:pPr>
      <w:r>
        <w:t>QUR 002 AI 검토 품질 근거 평가 범위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품질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QUR-002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AI 검토 품질·근거·평가 범위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AI 검토는 적용 업무·자료 품질·모델·기준 버전별로 근거 정확성·중요 누락·오탐·미탐·추가 검토 부담을 평가할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1차 범위 기초 검토와 후속 감리 범위 감리 검사를 각각 평가한다. 같은 자료의 버전·반복 채점을 독립 표본으로 부풀리지 않고 AI 결과 동의만을 정답으로 쓰지 않는다.</w:t>
            </w:r>
          </w:p>
          <w:p>
            <w:pPr>
              <w:spacing w:after="0" w:line="259" w:lineRule="exact"/>
              <w:keepNext w:val="0"/>
              <w:snapToGrid w:val="false"/>
            </w:pPr>
            <w:r>
              <w:rPr>
                <w:rFonts w:ascii="맑은 고딕" w:hAnsi="맑은 고딕" w:eastAsia="맑은 고딕" w:cs="맑은 고딕"/>
                <w:b w:val="0"/>
                <w:color w:val="000000"/>
                <w:sz w:val="19"/>
              </w:rPr>
              <w:t>입력: 대표 업무 표본·별도 검증 자료·독립 전문가 기준·버전</w:t>
            </w:r>
          </w:p>
          <w:p>
            <w:pPr>
              <w:spacing w:after="0" w:line="259" w:lineRule="exact"/>
              <w:keepNext w:val="0"/>
              <w:snapToGrid w:val="false"/>
            </w:pPr>
            <w:r>
              <w:rPr>
                <w:rFonts w:ascii="맑은 고딕" w:hAnsi="맑은 고딕" w:eastAsia="맑은 고딕" w:cs="맑은 고딕"/>
                <w:b w:val="0"/>
                <w:color w:val="000000"/>
                <w:sz w:val="19"/>
              </w:rPr>
              <w:t>업무 결과: 범위별 평가 결과·불확실성·적용 제외 영역</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최종 검증, When 결과 판정, Then 사전에 정한 지표·분모·허용 기준·표본 범위와 함께 보고해야 한다.</w:t>
            </w:r>
          </w:p>
          <w:p>
            <w:pPr>
              <w:spacing w:after="0" w:line="259" w:lineRule="exact"/>
              <w:keepNext w:val="0"/>
              <w:snapToGrid w:val="false"/>
            </w:pPr>
            <w:r>
              <w:rPr>
                <w:rFonts w:ascii="맑은 고딕" w:hAnsi="맑은 고딕" w:eastAsia="맑은 고딕" w:cs="맑은 고딕"/>
                <w:b w:val="0"/>
                <w:color w:val="000000"/>
                <w:sz w:val="19"/>
              </w:rPr>
              <w:t>2. Given 기준값 또는 독립 근거 미확정, When 성능 판정, Then 합격·정확도 보장을 확정하지 않고 미평가 항목으로 남겨야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PM06-1, TE14-1</w:t>
            </w:r>
          </w:p>
          <w:p>
            <w:pPr>
              <w:spacing w:after="0" w:line="259" w:lineRule="exact"/>
              <w:keepNext w:val="0"/>
              <w:snapToGrid w:val="false"/>
            </w:pPr>
            <w:r>
              <w:rPr>
                <w:rFonts w:ascii="맑은 고딕" w:hAnsi="맑은 고딕" w:eastAsia="맑은 고딕" w:cs="맑은 고딕"/>
                <w:b w:val="0"/>
                <w:color w:val="000000"/>
                <w:sz w:val="19"/>
              </w:rPr>
              <w:t>원 요구: PMS-NFR-003 | TBD-05, TBD-09</w:t>
            </w:r>
          </w:p>
        </w:tc>
      </w:tr>
    </w:tbl>
    <w:p>
      <w:pPr>
        <w:spacing w:after="20" w:line="40" w:lineRule="exact"/>
      </w:pPr>
    </w:p>
    <w:p>
      <w:pPr>
        <w:pStyle w:val="Heading3"/>
      </w:pPr>
      <w:r>
        <w:t>QUR 003 가용성 복구 접수 보존</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품질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QUR-003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가용성·복구·접수 보존</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업무 접수의 지속성·백업·복구 목표를 정의하고 장애·재시도 후 접수·기준·미결·정정 이력의 일관성을 유지해야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RTO·RPO·가용성 목표는 TBD-10으로 확정한다. 분석 장애와 전체 저장 장애를 구분하고 성공 여부가 불명확한 접수를 성공으로 꾸미지 않는다.</w:t>
            </w:r>
          </w:p>
          <w:p>
            <w:pPr>
              <w:spacing w:after="0" w:line="259" w:lineRule="exact"/>
              <w:keepNext w:val="0"/>
              <w:snapToGrid w:val="false"/>
            </w:pPr>
            <w:r>
              <w:rPr>
                <w:rFonts w:ascii="맑은 고딕" w:hAnsi="맑은 고딕" w:eastAsia="맑은 고딕" w:cs="맑은 고딕"/>
                <w:b w:val="0"/>
                <w:color w:val="000000"/>
                <w:sz w:val="19"/>
              </w:rPr>
              <w:t>입력: 운영시간·서비스 수준·백업·복구 기준·장애 시나리오</w:t>
            </w:r>
          </w:p>
          <w:p>
            <w:pPr>
              <w:spacing w:after="0" w:line="259" w:lineRule="exact"/>
              <w:keepNext w:val="0"/>
              <w:snapToGrid w:val="false"/>
            </w:pPr>
            <w:r>
              <w:rPr>
                <w:rFonts w:ascii="맑은 고딕" w:hAnsi="맑은 고딕" w:eastAsia="맑은 고딕" w:cs="맑은 고딕"/>
                <w:b w:val="0"/>
                <w:color w:val="000000"/>
                <w:sz w:val="19"/>
              </w:rPr>
              <w:t>업무 결과: 가용성·복구시간·복구시점·자료 대조 기록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백업 복구 모의, When 재개, Then 승인 기준·접수증·미결·정정 자료를 복구 목표와 대조해야 한다.</w:t>
            </w:r>
          </w:p>
          <w:p>
            <w:pPr>
              <w:spacing w:after="0" w:line="259" w:lineRule="exact"/>
              <w:keepNext w:val="0"/>
              <w:snapToGrid w:val="false"/>
            </w:pPr>
            <w:r>
              <w:rPr>
                <w:rFonts w:ascii="맑은 고딕" w:hAnsi="맑은 고딕" w:eastAsia="맑은 고딕" w:cs="맑은 고딕"/>
                <w:b w:val="0"/>
                <w:color w:val="000000"/>
                <w:sz w:val="19"/>
              </w:rPr>
              <w:t>2. Given 중복 재시도·순서 역전, When 복구, Then 같은 업무가 중복 확정되거나 최신 상태가 과거 결과로 바뀌지 않아야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PM06-1, TE15-2</w:t>
            </w:r>
          </w:p>
          <w:p>
            <w:pPr>
              <w:spacing w:after="0" w:line="259" w:lineRule="exact"/>
              <w:keepNext w:val="0"/>
              <w:snapToGrid w:val="false"/>
            </w:pPr>
            <w:r>
              <w:rPr>
                <w:rFonts w:ascii="맑은 고딕" w:hAnsi="맑은 고딕" w:eastAsia="맑은 고딕" w:cs="맑은 고딕"/>
                <w:b w:val="0"/>
                <w:color w:val="000000"/>
                <w:sz w:val="19"/>
              </w:rPr>
              <w:t>원 요구: PMS-NFR-006 | TBD-10</w:t>
            </w:r>
          </w:p>
        </w:tc>
      </w:tr>
    </w:tbl>
    <w:p>
      <w:pPr>
        <w:spacing w:after="20" w:line="40" w:lineRule="exact"/>
      </w:pPr>
    </w:p>
    <w:p>
      <w:pPr>
        <w:pStyle w:val="Heading2"/>
        <w:pageBreakBefore/>
      </w:pPr>
      <w:r>
        <w:t>3 상세 요구사항 22</w:t>
      </w:r>
    </w:p>
    <w:p>
      <w:pPr>
        <w:pStyle w:val="Heading3"/>
      </w:pPr>
      <w:r>
        <w:t>QUR 004 변경 영향 버전별 재현 유지보수성</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품질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QUR-004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변경 영향·버전별 재현·유지보수성</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시스템은 모델·규칙·업무 설정 변경의 영향·적용 범위·확정 기록과 관련 시험을 추적하고 되돌림 방안을 제공할 수 있어야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1차 범위부터 해당하는 설정·AI 지원에 적용하며 후속 감리 범위 검사팩으로 확장한다. 과거 입력·출력 이력을 보존하되 LLM의 동일 출력 재생성을 보장한다고 해석하지 않는다.</w:t>
            </w:r>
          </w:p>
          <w:p>
            <w:pPr>
              <w:spacing w:after="0" w:line="259" w:lineRule="exact"/>
              <w:keepNext w:val="0"/>
              <w:snapToGrid w:val="false"/>
            </w:pPr>
            <w:r>
              <w:rPr>
                <w:rFonts w:ascii="맑은 고딕" w:hAnsi="맑은 고딕" w:eastAsia="맑은 고딕" w:cs="맑은 고딕"/>
                <w:b w:val="0"/>
                <w:color w:val="000000"/>
                <w:sz w:val="19"/>
              </w:rPr>
              <w:t>입력: 변경 대상·버전·영향 범위·검증·되돌림 계획</w:t>
            </w:r>
          </w:p>
          <w:p>
            <w:pPr>
              <w:spacing w:after="0" w:line="259" w:lineRule="exact"/>
              <w:keepNext w:val="0"/>
              <w:snapToGrid w:val="false"/>
            </w:pPr>
            <w:r>
              <w:rPr>
                <w:rFonts w:ascii="맑은 고딕" w:hAnsi="맑은 고딕" w:eastAsia="맑은 고딕" w:cs="맑은 고딕"/>
                <w:b w:val="0"/>
                <w:color w:val="000000"/>
                <w:sz w:val="19"/>
              </w:rPr>
              <w:t>업무 결과: 변경·검증·복귀 기록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모델 또는 규칙 교체, When 영향 검토, Then 관련 요구·표본·기준·과거 결과를 대조할 수 있어야 한다.</w:t>
            </w:r>
          </w:p>
          <w:p>
            <w:pPr>
              <w:spacing w:after="0" w:line="259" w:lineRule="exact"/>
              <w:keepNext w:val="0"/>
              <w:snapToGrid w:val="false"/>
            </w:pPr>
            <w:r>
              <w:rPr>
                <w:rFonts w:ascii="맑은 고딕" w:hAnsi="맑은 고딕" w:eastAsia="맑은 고딕" w:cs="맑은 고딕"/>
                <w:b w:val="0"/>
                <w:color w:val="000000"/>
                <w:sz w:val="19"/>
              </w:rPr>
              <w:t>2. Given 변경 중지·복귀, When 업무 재개, Then 이미 확정한 접수·판단·정정 기록이 삭제되지 않아야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PM06-1, AN13-1</w:t>
            </w:r>
          </w:p>
          <w:p>
            <w:pPr>
              <w:spacing w:after="0" w:line="259" w:lineRule="exact"/>
              <w:keepNext w:val="0"/>
              <w:snapToGrid w:val="false"/>
            </w:pPr>
            <w:r>
              <w:rPr>
                <w:rFonts w:ascii="맑은 고딕" w:hAnsi="맑은 고딕" w:eastAsia="맑은 고딕" w:cs="맑은 고딕"/>
                <w:b w:val="0"/>
                <w:color w:val="000000"/>
                <w:sz w:val="19"/>
              </w:rPr>
              <w:t>원 요구: PMS-NFR-008 | TBD-10</w:t>
            </w:r>
          </w:p>
        </w:tc>
      </w:tr>
    </w:tbl>
    <w:p>
      <w:pPr>
        <w:spacing w:after="20" w:line="40" w:lineRule="exact"/>
      </w:pPr>
    </w:p>
    <w:p>
      <w:pPr>
        <w:pStyle w:val="Heading3"/>
      </w:pPr>
      <w:r>
        <w:t>COR 001 기관 도입 기본 참여 대가의 분리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제약사항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COR-001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 도입·기본 참여·대가의 분리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발주기관의 도입·운영 부담, 수행기업의 기본 참여, 선택 과업 및 종료 후 이용조건을 구분한 공급·가격 내역을 제출해야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수행기업의 기본 제출·자체점검·소명·정정에 별도 유료 등급을 두지 않는다. 업체 점수·노출·지적 건수를 대가와 연동하지 않는다. 응용 SW 개발·설정·연계·검증·인수지원 대가를 구분하고, 신규 인프라 투자비는 산출하지 않는다.</w:t>
            </w:r>
          </w:p>
          <w:p>
            <w:pPr>
              <w:spacing w:after="0" w:line="259" w:lineRule="exact"/>
              <w:keepNext w:val="0"/>
              <w:snapToGrid w:val="false"/>
            </w:pPr>
            <w:r>
              <w:rPr>
                <w:rFonts w:ascii="맑은 고딕" w:hAnsi="맑은 고딕" w:eastAsia="맑은 고딕" w:cs="맑은 고딕"/>
                <w:b w:val="0"/>
                <w:color w:val="000000"/>
                <w:sz w:val="19"/>
              </w:rPr>
              <w:t>입력: 기관 도입 모델·제공 묶음·비용 가정</w:t>
            </w:r>
          </w:p>
          <w:p>
            <w:pPr>
              <w:spacing w:after="0" w:line="259" w:lineRule="exact"/>
              <w:keepNext w:val="0"/>
              <w:snapToGrid w:val="false"/>
            </w:pPr>
            <w:r>
              <w:rPr>
                <w:rFonts w:ascii="맑은 고딕" w:hAnsi="맑은 고딕" w:eastAsia="맑은 고딕" w:cs="맑은 고딕"/>
                <w:b w:val="0"/>
                <w:color w:val="000000"/>
                <w:sz w:val="19"/>
              </w:rPr>
              <w:t>업무 결과: 고객·이용·대가·범위 정의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제안 범위 검토, When 기본/선택 묶음 대조, Then 부담 주체·제공 범위·예외·종료 조건을 구분해야 한다.</w:t>
            </w:r>
          </w:p>
          <w:p>
            <w:pPr>
              <w:spacing w:after="0" w:line="259" w:lineRule="exact"/>
              <w:keepNext w:val="0"/>
              <w:snapToGrid w:val="false"/>
            </w:pPr>
            <w:r>
              <w:rPr>
                <w:rFonts w:ascii="맑은 고딕" w:hAnsi="맑은 고딕" w:eastAsia="맑은 고딕" w:cs="맑은 고딕"/>
                <w:b w:val="0"/>
                <w:color w:val="000000"/>
                <w:sz w:val="19"/>
              </w:rPr>
              <w:t>2. Given 평가 대상 기업의 구매 여부, When 평가 정책 검토, Then 점수·공개 우대와 무관해야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사업수행계획서, CO11-1</w:t>
            </w:r>
          </w:p>
          <w:p>
            <w:pPr>
              <w:spacing w:after="0" w:line="259" w:lineRule="exact"/>
              <w:keepNext w:val="0"/>
              <w:snapToGrid w:val="false"/>
            </w:pPr>
            <w:r>
              <w:rPr>
                <w:rFonts w:ascii="맑은 고딕" w:hAnsi="맑은 고딕" w:eastAsia="맑은 고딕" w:cs="맑은 고딕"/>
                <w:b w:val="0"/>
                <w:color w:val="000000"/>
                <w:sz w:val="19"/>
              </w:rPr>
              <w:t>원 요구: PMS-BMR-001 | TBD-11</w:t>
            </w:r>
          </w:p>
        </w:tc>
      </w:tr>
    </w:tbl>
    <w:p>
      <w:pPr>
        <w:spacing w:after="20" w:line="40" w:lineRule="exact"/>
      </w:pPr>
    </w:p>
    <w:p>
      <w:pPr>
        <w:pStyle w:val="Heading2"/>
        <w:pageBreakBefore/>
      </w:pPr>
      <w:r>
        <w:t>3 상세 요구사항 23</w:t>
      </w:r>
    </w:p>
    <w:p>
      <w:pPr>
        <w:pStyle w:val="Heading3"/>
      </w:pPr>
      <w:r>
        <w:t>COR 002 수행 책임과 기존 자산 활용 범위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제약사항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COR-002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 책임과 기존 자산 활용 범위</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사업 제안은 수행사업자의 직접 수행·협력·기관 의존성·기존 자산의 재사용권·신규 과업·검수·운영 책임을 근거와 함께 구분해야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자산 명칭·과거 AI 답변·가상 시연으로 보유·검증 완료를 주장하지 않는다. 기존 공통플랫폼 재구축과 독립 R&amp;D를 기본 범위로 넣지 않는다. 기존 로컬 자원만 사용하며 신규 인프라 투자비는 0원이다. 용량 부족을 추가 장비 구매·임차나 클라우드 비용으로 전환하지 않는다. 자산 사용권·호환성·가용 용량을 제시한다.</w:t>
            </w:r>
          </w:p>
          <w:p>
            <w:pPr>
              <w:spacing w:after="0" w:line="259" w:lineRule="exact"/>
              <w:keepNext w:val="0"/>
              <w:snapToGrid w:val="false"/>
            </w:pPr>
            <w:r>
              <w:rPr>
                <w:rFonts w:ascii="맑은 고딕" w:hAnsi="맑은 고딕" w:eastAsia="맑은 고딕" w:cs="맑은 고딕"/>
                <w:b w:val="0"/>
                <w:color w:val="000000"/>
                <w:sz w:val="19"/>
              </w:rPr>
              <w:t>입력: 기존 계약·기술자산·인력·협력·원가·기관 협조</w:t>
            </w:r>
          </w:p>
          <w:p>
            <w:pPr>
              <w:spacing w:after="0" w:line="259" w:lineRule="exact"/>
              <w:keepNext w:val="0"/>
              <w:snapToGrid w:val="false"/>
            </w:pPr>
            <w:r>
              <w:rPr>
                <w:rFonts w:ascii="맑은 고딕" w:hAnsi="맑은 고딕" w:eastAsia="맑은 고딕" w:cs="맑은 고딕"/>
                <w:b w:val="0"/>
                <w:color w:val="000000"/>
                <w:sz w:val="19"/>
              </w:rPr>
              <w:t>업무 결과: 수행 범위·미확인 조건·비중복 판단 자료</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자산 성능·이용권 근거 없음, When 수행계획 작성, Then 검증 전·추가 확보 조건을 표시해야 한다.</w:t>
            </w:r>
          </w:p>
          <w:p>
            <w:pPr>
              <w:spacing w:after="0" w:line="259" w:lineRule="exact"/>
              <w:keepNext w:val="0"/>
              <w:snapToGrid w:val="false"/>
            </w:pPr>
            <w:r>
              <w:rPr>
                <w:rFonts w:ascii="맑은 고딕" w:hAnsi="맑은 고딕" w:eastAsia="맑은 고딕" w:cs="맑은 고딕"/>
                <w:b w:val="0"/>
                <w:color w:val="000000"/>
                <w:sz w:val="19"/>
              </w:rPr>
              <w:t>2. Given 기존 계약과 동일 과업, When 신규 범위 검토, Then 중복을 구분하고 신규 실적으로 재분류하지 않아야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사업수행계획서, CO11-1</w:t>
            </w:r>
          </w:p>
          <w:p>
            <w:pPr>
              <w:spacing w:after="0" w:line="259" w:lineRule="exact"/>
              <w:keepNext w:val="0"/>
              <w:snapToGrid w:val="false"/>
            </w:pPr>
            <w:r>
              <w:rPr>
                <w:rFonts w:ascii="맑은 고딕" w:hAnsi="맑은 고딕" w:eastAsia="맑은 고딕" w:cs="맑은 고딕"/>
                <w:b w:val="0"/>
                <w:color w:val="000000"/>
                <w:sz w:val="19"/>
              </w:rPr>
              <w:t>원 요구: PMS-BMR-002 | TBD-01, TBD-10, TBD-11</w:t>
            </w:r>
          </w:p>
        </w:tc>
      </w:tr>
    </w:tbl>
    <w:p>
      <w:pPr>
        <w:spacing w:after="20" w:line="40" w:lineRule="exact"/>
      </w:pPr>
    </w:p>
    <w:p>
      <w:pPr>
        <w:pStyle w:val="Heading3"/>
      </w:pPr>
      <w:r>
        <w:t>PMR 001 기준 평가 운영과 이해충돌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관리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PMR-001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기준·평가 운영과 이해충돌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기관과 수행사업자는 기준·평가·소명·정정의 결정 책임, 기술 지원 범위와 이해충돌의 신고·회피·대체 검토 절차를 정의해야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 또는 협력사가 평가 대상이어도 기술운영 권한으로 자신의 평가를 임의 확정·정정하지 못하게 한다.</w:t>
            </w:r>
          </w:p>
          <w:p>
            <w:pPr>
              <w:spacing w:after="0" w:line="259" w:lineRule="exact"/>
              <w:keepNext w:val="0"/>
              <w:snapToGrid w:val="false"/>
            </w:pPr>
            <w:r>
              <w:rPr>
                <w:rFonts w:ascii="맑은 고딕" w:hAnsi="맑은 고딕" w:eastAsia="맑은 고딕" w:cs="맑은 고딕"/>
                <w:b w:val="0"/>
                <w:color w:val="000000"/>
                <w:sz w:val="19"/>
              </w:rPr>
              <w:t>입력: 운영 역할·이해관계·평가 및 감리 절차</w:t>
            </w:r>
          </w:p>
          <w:p>
            <w:pPr>
              <w:spacing w:after="0" w:line="259" w:lineRule="exact"/>
              <w:keepNext w:val="0"/>
              <w:snapToGrid w:val="false"/>
            </w:pPr>
            <w:r>
              <w:rPr>
                <w:rFonts w:ascii="맑은 고딕" w:hAnsi="맑은 고딕" w:eastAsia="맑은 고딕" w:cs="맑은 고딕"/>
                <w:b w:val="0"/>
                <w:color w:val="000000"/>
                <w:sz w:val="19"/>
              </w:rPr>
              <w:t>업무 결과: 책임표·이해충돌 처리·재검토 경로</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수행사업자가 평가 대상, When 검토·정정 배정, Then 기관이 정한 이해충돌 처리와 대체 검토 경로가 적용돼야 한다.</w:t>
            </w:r>
          </w:p>
          <w:p>
            <w:pPr>
              <w:spacing w:after="0" w:line="259" w:lineRule="exact"/>
              <w:keepNext w:val="0"/>
              <w:snapToGrid w:val="false"/>
            </w:pPr>
            <w:r>
              <w:rPr>
                <w:rFonts w:ascii="맑은 고딕" w:hAnsi="맑은 고딕" w:eastAsia="맑은 고딕" w:cs="맑은 고딕"/>
                <w:b w:val="0"/>
                <w:color w:val="000000"/>
                <w:sz w:val="19"/>
              </w:rPr>
              <w:t>2. Given 기술 오류 정정과 평가 판단 정정, When 처리, Then 각각의 책임자·근거·범위를 구분해야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PM06-1</w:t>
            </w:r>
          </w:p>
          <w:p>
            <w:pPr>
              <w:spacing w:after="0" w:line="259" w:lineRule="exact"/>
              <w:keepNext w:val="0"/>
              <w:snapToGrid w:val="false"/>
            </w:pPr>
            <w:r>
              <w:rPr>
                <w:rFonts w:ascii="맑은 고딕" w:hAnsi="맑은 고딕" w:eastAsia="맑은 고딕" w:cs="맑은 고딕"/>
                <w:b w:val="0"/>
                <w:color w:val="000000"/>
                <w:sz w:val="19"/>
              </w:rPr>
              <w:t>원 요구: PMS-OPR-002 | TBD-02, TBD-06, TBD-09</w:t>
            </w:r>
          </w:p>
        </w:tc>
      </w:tr>
    </w:tbl>
    <w:p>
      <w:pPr>
        <w:spacing w:after="20" w:line="40" w:lineRule="exact"/>
      </w:pPr>
    </w:p>
    <w:p>
      <w:pPr>
        <w:pStyle w:val="Heading2"/>
        <w:pageBreakBefore/>
      </w:pPr>
      <w:r>
        <w:t>3 상세 요구사항 24</w:t>
      </w:r>
    </w:p>
    <w:p>
      <w:pPr>
        <w:pStyle w:val="Heading3"/>
      </w:pPr>
      <w:r>
        <w:t>PMR 002 순편익 품질 국민 효과의 검증 계획</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관리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PMR-002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순편익·품질·국민 효과의 검증 계획</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도입 검토는 업무 순시간·추가 부담·총비용·사업 품질·국민 서비스 효과를 구분하고 연차별 비교 범위·산식·자료·측정 책임을 제시해야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건당 시간과 기간 총시간을 구분하고 오탐 비용의 이중 차감을 방지한다. 시간가치·현금 절감·국민 효과를 분리하며 감축 인원·시장 총액의 임의 비율로 환산하지 않는다.</w:t>
            </w:r>
          </w:p>
          <w:p>
            <w:pPr>
              <w:spacing w:after="0" w:line="259" w:lineRule="exact"/>
              <w:keepNext w:val="0"/>
              <w:snapToGrid w:val="false"/>
            </w:pPr>
            <w:r>
              <w:rPr>
                <w:rFonts w:ascii="맑은 고딕" w:hAnsi="맑은 고딕" w:eastAsia="맑은 고딕" w:cs="맑은 고딕"/>
                <w:b w:val="0"/>
                <w:color w:val="000000"/>
                <w:sz w:val="19"/>
              </w:rPr>
              <w:t>입력: 현행/도입 업무량·시간·단가·비용·품질·서비스 지표</w:t>
            </w:r>
          </w:p>
          <w:p>
            <w:pPr>
              <w:spacing w:after="0" w:line="259" w:lineRule="exact"/>
              <w:keepNext w:val="0"/>
              <w:snapToGrid w:val="false"/>
            </w:pPr>
            <w:r>
              <w:rPr>
                <w:rFonts w:ascii="맑은 고딕" w:hAnsi="맑은 고딕" w:eastAsia="맑은 고딕" w:cs="맑은 고딕"/>
                <w:b w:val="0"/>
                <w:color w:val="000000"/>
                <w:sz w:val="19"/>
              </w:rPr>
              <w:t>업무 결과: 편익 가정·실측 계획·비중복 산정·한계</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기간 총시간으로 측정, When 편익 산정, Then 업무 건수를 다시 곱하지 않아야 한다.</w:t>
            </w:r>
          </w:p>
          <w:p>
            <w:pPr>
              <w:spacing w:after="0" w:line="259" w:lineRule="exact"/>
              <w:keepNext w:val="0"/>
              <w:snapToGrid w:val="false"/>
            </w:pPr>
            <w:r>
              <w:rPr>
                <w:rFonts w:ascii="맑은 고딕" w:hAnsi="맑은 고딕" w:eastAsia="맑은 고딕" w:cs="맑은 고딕"/>
                <w:b w:val="0"/>
                <w:color w:val="000000"/>
                <w:sz w:val="19"/>
              </w:rPr>
              <w:t>2. Given 1차 범위 검토, When 연차 편익 제시, Then 미도입 후속 감리 범위·후속 확장 범위 효과를 실현 편익으로 선반영하지 않아야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PM01-2</w:t>
            </w:r>
          </w:p>
          <w:p>
            <w:pPr>
              <w:spacing w:after="0" w:line="259" w:lineRule="exact"/>
              <w:keepNext w:val="0"/>
              <w:snapToGrid w:val="false"/>
            </w:pPr>
            <w:r>
              <w:rPr>
                <w:rFonts w:ascii="맑은 고딕" w:hAnsi="맑은 고딕" w:eastAsia="맑은 고딕" w:cs="맑은 고딕"/>
                <w:b w:val="0"/>
                <w:color w:val="000000"/>
                <w:sz w:val="19"/>
              </w:rPr>
              <w:t>원 요구: PMS-BMR-003 | TBD-12</w:t>
            </w:r>
          </w:p>
        </w:tc>
      </w:tr>
    </w:tbl>
    <w:p>
      <w:pPr>
        <w:spacing w:after="20" w:line="40" w:lineRule="exact"/>
      </w:pPr>
    </w:p>
    <w:p>
      <w:pPr>
        <w:pStyle w:val="Heading3"/>
      </w:pPr>
      <w:r>
        <w:t>PMR 003 테일러링과 수행계획 및 변경관리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관리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PMR-003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테일러링과 수행계획 및 변경관리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단계·활동·작업·산출물별 적용 범위와 WBS, 책임 역할, 검토 시점을 정한 수행계획을 제출해야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별도 테일러링 내역서를 기준으로 적용·통합·조건부·제외와 근거를 작성한다. 조건부 항목은 공고 전에 채택 여부와 물량을 확정하며, 착수 후 변경은 범위·일정·대가·보안·검수 영향과 기관의 결정을 기록한다. 인력 관리는 적용 계약방식에 맞는 역할·책임 중심으로 제안한다.</w:t>
            </w:r>
          </w:p>
          <w:p>
            <w:pPr>
              <w:spacing w:after="0" w:line="259" w:lineRule="exact"/>
              <w:keepNext w:val="0"/>
              <w:snapToGrid w:val="false"/>
            </w:pPr>
            <w:r>
              <w:rPr>
                <w:rFonts w:ascii="맑은 고딕" w:hAnsi="맑은 고딕" w:eastAsia="맑은 고딕" w:cs="맑은 고딕"/>
                <w:b w:val="0"/>
                <w:color w:val="000000"/>
                <w:sz w:val="19"/>
              </w:rPr>
              <w:t>입력: 확정 RFP·계약·사업 특성·공단 가이드</w:t>
            </w:r>
          </w:p>
          <w:p>
            <w:pPr>
              <w:spacing w:after="0" w:line="259" w:lineRule="exact"/>
              <w:keepNext w:val="0"/>
              <w:snapToGrid w:val="false"/>
            </w:pPr>
            <w:r>
              <w:rPr>
                <w:rFonts w:ascii="맑은 고딕" w:hAnsi="맑은 고딕" w:eastAsia="맑은 고딕" w:cs="맑은 고딕"/>
                <w:b w:val="0"/>
                <w:color w:val="000000"/>
                <w:sz w:val="19"/>
              </w:rPr>
              <w:t>업무 결과: 수행계획서·PP11-1·PP11-2·PM01 보고·PM03 대장</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모든 적용 산출물에 WBS 작업·작성 및 검토 책임·제출 시점이 연결되어야 한다.</w:t>
            </w:r>
          </w:p>
          <w:p>
            <w:pPr>
              <w:spacing w:after="0" w:line="259" w:lineRule="exact"/>
              <w:keepNext w:val="0"/>
              <w:snapToGrid w:val="false"/>
            </w:pPr>
            <w:r>
              <w:rPr>
                <w:rFonts w:ascii="맑은 고딕" w:hAnsi="맑은 고딕" w:eastAsia="맑은 고딕" w:cs="맑은 고딕"/>
                <w:b w:val="0"/>
                <w:color w:val="000000"/>
                <w:sz w:val="19"/>
              </w:rPr>
              <w:t>2. 통합·제외 항목에 근거·대체 위치·기관 검토 결과가 없으면 테일러링을 확정하지 않는다.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PP11-1</w:t>
            </w:r>
          </w:p>
          <w:p>
            <w:pPr>
              <w:spacing w:after="0" w:line="259" w:lineRule="exact"/>
              <w:keepNext w:val="0"/>
              <w:snapToGrid w:val="false"/>
            </w:pPr>
            <w:r>
              <w:rPr>
                <w:rFonts w:ascii="맑은 고딕" w:hAnsi="맑은 고딕" w:eastAsia="맑은 고딕" w:cs="맑은 고딕"/>
                <w:b w:val="0"/>
                <w:color w:val="000000"/>
                <w:sz w:val="19"/>
              </w:rPr>
              <w:t>원 요구: L01 PP11-1 및 L02 PDF 10·74~78쪽</w:t>
            </w:r>
          </w:p>
        </w:tc>
      </w:tr>
    </w:tbl>
    <w:p>
      <w:pPr>
        <w:spacing w:after="20" w:line="40" w:lineRule="exact"/>
      </w:pPr>
    </w:p>
    <w:p>
      <w:pPr>
        <w:pStyle w:val="Heading2"/>
        <w:pageBreakBefore/>
      </w:pPr>
      <w:r>
        <w:t>3 상세 요구사항 25</w:t>
      </w:r>
    </w:p>
    <w:p>
      <w:pPr>
        <w:pStyle w:val="Heading3"/>
      </w:pPr>
      <w:r>
        <w:t>PMR 004 납품 산출물과 요구사항 추적 관리</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관리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PMR-004</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납품 산출물과 요구사항 추적 관리</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요구사항부터 설계·구현 산출물·시험·결함 조치·최종 인수까지 확인할 수 있는 납품 추적표를 유지해야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RFP ID와 원 요구 ID를 함께 관리한다. 납품 파일의 버전·작성/검토자·검토 결과·수정 이력·승인 위치를 기록한다. 통합 문서에도 원 산출물 코드와 해당 절을 남긴다. 파일 제출과 내용 검수 합격은 서로 다른 상태로 기록한다.</w:t>
            </w:r>
          </w:p>
          <w:p>
            <w:pPr>
              <w:spacing w:after="0" w:line="259" w:lineRule="exact"/>
              <w:keepNext w:val="0"/>
              <w:snapToGrid w:val="false"/>
            </w:pPr>
            <w:r>
              <w:rPr>
                <w:rFonts w:ascii="맑은 고딕" w:hAnsi="맑은 고딕" w:eastAsia="맑은 고딕" w:cs="맑은 고딕"/>
                <w:b w:val="0"/>
                <w:color w:val="000000"/>
                <w:sz w:val="19"/>
              </w:rPr>
              <w:t>입력: 52개 RFP 요구와 채택 산출물</w:t>
            </w:r>
          </w:p>
          <w:p>
            <w:pPr>
              <w:spacing w:after="0" w:line="259" w:lineRule="exact"/>
              <w:keepNext w:val="0"/>
              <w:snapToGrid w:val="false"/>
            </w:pPr>
            <w:r>
              <w:rPr>
                <w:rFonts w:ascii="맑은 고딕" w:hAnsi="맑은 고딕" w:eastAsia="맑은 고딕" w:cs="맑은 고딕"/>
                <w:b w:val="0"/>
                <w:color w:val="000000"/>
                <w:sz w:val="19"/>
              </w:rPr>
              <w:t>업무 결과: PM02-1·PM02-2·AN13-1·TO31-1 및 버전별 납품목록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채택된 모든 요구에 설계·검증·납품 근거가 연결되고 미연결 항목이 표시되어야 한다.</w:t>
            </w:r>
          </w:p>
          <w:p>
            <w:pPr>
              <w:spacing w:after="0" w:line="259" w:lineRule="exact"/>
              <w:keepNext w:val="0"/>
              <w:snapToGrid w:val="false"/>
            </w:pPr>
            <w:r>
              <w:rPr>
                <w:rFonts w:ascii="맑은 고딕" w:hAnsi="맑은 고딕" w:eastAsia="맑은 고딕" w:cs="맑은 고딕"/>
                <w:b w:val="0"/>
                <w:color w:val="000000"/>
                <w:sz w:val="19"/>
              </w:rPr>
              <w:t>2. 납품 확인과 결함 재검증·인수 판정이 구별되며 기관이 원본 및 수정본을 대조할 수 있어야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AN13-1</w:t>
            </w:r>
          </w:p>
          <w:p>
            <w:pPr>
              <w:spacing w:after="0" w:line="259" w:lineRule="exact"/>
              <w:keepNext w:val="0"/>
              <w:snapToGrid w:val="false"/>
            </w:pPr>
            <w:r>
              <w:rPr>
                <w:rFonts w:ascii="맑은 고딕" w:hAnsi="맑은 고딕" w:eastAsia="맑은 고딕" w:cs="맑은 고딕"/>
                <w:b w:val="0"/>
                <w:color w:val="000000"/>
                <w:sz w:val="19"/>
              </w:rPr>
              <w:t>원 요구: L01 PM02·AN13·TO31 및 L02 PDF 78쪽</w:t>
            </w:r>
          </w:p>
        </w:tc>
      </w:tr>
    </w:tbl>
    <w:p>
      <w:pPr>
        <w:spacing w:after="20" w:line="40" w:lineRule="exact"/>
      </w:pPr>
    </w:p>
    <w:p>
      <w:pPr>
        <w:pStyle w:val="Heading3"/>
      </w:pPr>
      <w:r>
        <w:t>PSR 001 기관 적용 교육 기본 참여 지원</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지원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PSR-001</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 적용·교육·기본 참여 지원</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기관별 적용 범위·역할·업무 절차·자료 준비·교육·문의 대응을 정리하고 실제 참여자가 사용할 수 있는 안내를 제공해야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기본 제출·소명·자체점검에 참여할 수 있는 경로를 확보한다. 교육 완료만으로 실제 이용 정착·업무 개선을 입증했다고 하지 않는다.</w:t>
            </w:r>
          </w:p>
          <w:p>
            <w:pPr>
              <w:spacing w:after="0" w:line="259" w:lineRule="exact"/>
              <w:keepNext w:val="0"/>
              <w:snapToGrid w:val="false"/>
            </w:pPr>
            <w:r>
              <w:rPr>
                <w:rFonts w:ascii="맑은 고딕" w:hAnsi="맑은 고딕" w:eastAsia="맑은 고딕" w:cs="맑은 고딕"/>
                <w:b w:val="0"/>
                <w:color w:val="000000"/>
                <w:sz w:val="19"/>
              </w:rPr>
              <w:t>입력: 적용 사업·운영규칙·역할·자료 준비 상태</w:t>
            </w:r>
          </w:p>
          <w:p>
            <w:pPr>
              <w:spacing w:after="0" w:line="259" w:lineRule="exact"/>
              <w:keepNext w:val="0"/>
              <w:snapToGrid w:val="false"/>
            </w:pPr>
            <w:r>
              <w:rPr>
                <w:rFonts w:ascii="맑은 고딕" w:hAnsi="맑은 고딕" w:eastAsia="맑은 고딕" w:cs="맑은 고딕"/>
                <w:b w:val="0"/>
                <w:color w:val="000000"/>
                <w:sz w:val="19"/>
              </w:rPr>
              <w:t>업무 결과: 적용 계획·역할별 안내·교육·지원 범위</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신규 기관·수행사 참여, When 적용 검토, Then 역할별 기준·자료·교육·지원 경로와 미확정 준비조건이 명시돼야 한다.</w:t>
            </w:r>
          </w:p>
          <w:p>
            <w:pPr>
              <w:spacing w:after="0" w:line="259" w:lineRule="exact"/>
              <w:keepNext w:val="0"/>
              <w:snapToGrid w:val="false"/>
            </w:pPr>
            <w:r>
              <w:rPr>
                <w:rFonts w:ascii="맑은 고딕" w:hAnsi="맑은 고딕" w:eastAsia="맑은 고딕" w:cs="맑은 고딕"/>
                <w:b w:val="0"/>
                <w:color w:val="000000"/>
                <w:sz w:val="19"/>
              </w:rPr>
              <w:t>2. Given 실제 연계 미확보, When 안내, Then 가능한 수동 처리 범위와 제한을 구분해야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TO21-1, TO12-1</w:t>
            </w:r>
          </w:p>
          <w:p>
            <w:pPr>
              <w:spacing w:after="0" w:line="259" w:lineRule="exact"/>
              <w:keepNext w:val="0"/>
              <w:snapToGrid w:val="false"/>
            </w:pPr>
            <w:r>
              <w:rPr>
                <w:rFonts w:ascii="맑은 고딕" w:hAnsi="맑은 고딕" w:eastAsia="맑은 고딕" w:cs="맑은 고딕"/>
                <w:b w:val="0"/>
                <w:color w:val="000000"/>
                <w:sz w:val="19"/>
              </w:rPr>
              <w:t>원 요구: PMS-OPR-001 | TBD-01, TBD-02, TBD-11</w:t>
            </w:r>
          </w:p>
        </w:tc>
      </w:tr>
    </w:tbl>
    <w:p>
      <w:pPr>
        <w:spacing w:after="20" w:line="40" w:lineRule="exact"/>
      </w:pPr>
    </w:p>
    <w:p>
      <w:pPr>
        <w:pStyle w:val="Heading2"/>
        <w:pageBreakBefore/>
      </w:pPr>
      <w:r>
        <w:t>3 상세 요구사항 26</w:t>
      </w:r>
    </w:p>
    <w:p>
      <w:pPr>
        <w:pStyle w:val="Heading3"/>
      </w:pPr>
      <w:r>
        <w:t>PSR 002 장애 미반영 오류 대응 운영</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지원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PSR-002</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장애·미반영·오류 대응 운영</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수행사업자는 접수·분석·권한·정정 반영·자료 복구의 장애를 식별하고 기관과 대응·통지·대체 업무·재개 확인을 수행할 운영 절차를 마련해야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기술 복구와 미결 업무의 해결을 구분한다. 외부 통지 수신자·내용과 원문 노출 범위는 기관 기준을 따른다.</w:t>
            </w:r>
          </w:p>
          <w:p>
            <w:pPr>
              <w:spacing w:after="0" w:line="259" w:lineRule="exact"/>
              <w:keepNext w:val="0"/>
              <w:snapToGrid w:val="false"/>
            </w:pPr>
            <w:r>
              <w:rPr>
                <w:rFonts w:ascii="맑은 고딕" w:hAnsi="맑은 고딕" w:eastAsia="맑은 고딕" w:cs="맑은 고딕"/>
                <w:b w:val="0"/>
                <w:color w:val="000000"/>
                <w:sz w:val="19"/>
              </w:rPr>
              <w:t>입력: 운영 상태·경보 기준·장애 사건</w:t>
            </w:r>
          </w:p>
          <w:p>
            <w:pPr>
              <w:spacing w:after="0" w:line="259" w:lineRule="exact"/>
              <w:keepNext w:val="0"/>
              <w:snapToGrid w:val="false"/>
            </w:pPr>
            <w:r>
              <w:rPr>
                <w:rFonts w:ascii="맑은 고딕" w:hAnsi="맑은 고딕" w:eastAsia="맑은 고딕" w:cs="맑은 고딕"/>
                <w:b w:val="0"/>
                <w:color w:val="000000"/>
                <w:sz w:val="19"/>
              </w:rPr>
              <w:t>업무 결과: 대응·통지·복구·재발 방지 기록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분석 장애, When 대응 모의, Then 접수 유지·수동 검토·담당 통지·재개 확인 책임이 확인돼야 한다.</w:t>
            </w:r>
          </w:p>
          <w:p>
            <w:pPr>
              <w:spacing w:after="0" w:line="259" w:lineRule="exact"/>
              <w:keepNext w:val="0"/>
              <w:snapToGrid w:val="false"/>
            </w:pPr>
            <w:r>
              <w:rPr>
                <w:rFonts w:ascii="맑은 고딕" w:hAnsi="맑은 고딕" w:eastAsia="맑은 고딕" w:cs="맑은 고딕"/>
                <w:b w:val="0"/>
                <w:color w:val="000000"/>
                <w:sz w:val="19"/>
              </w:rPr>
              <w:t>2. Given 평가 정정 미반영, When 복구, Then 영향 조회·집계가 갱신됐는지 확인해야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TO12-2, TO31-1</w:t>
            </w:r>
          </w:p>
          <w:p>
            <w:pPr>
              <w:spacing w:after="0" w:line="259" w:lineRule="exact"/>
              <w:keepNext w:val="0"/>
              <w:snapToGrid w:val="false"/>
            </w:pPr>
            <w:r>
              <w:rPr>
                <w:rFonts w:ascii="맑은 고딕" w:hAnsi="맑은 고딕" w:eastAsia="맑은 고딕" w:cs="맑은 고딕"/>
                <w:b w:val="0"/>
                <w:color w:val="000000"/>
                <w:sz w:val="19"/>
              </w:rPr>
              <w:t>원 요구: PMS-OPR-003 | TBD-08, TBD-10</w:t>
            </w:r>
          </w:p>
        </w:tc>
      </w:tr>
    </w:tbl>
    <w:p>
      <w:pPr>
        <w:spacing w:after="20" w:line="40" w:lineRule="exact"/>
      </w:pPr>
    </w:p>
    <w:p>
      <w:pPr>
        <w:pStyle w:val="Heading3"/>
      </w:pPr>
      <w:r>
        <w:t>PSR 003 계약 종료 운영 인수 계속 열람</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960"/>
        <w:gridCol w:w="1000"/>
        <w:gridCol w:w="7900"/>
      </w:tblGrid>
      <w:tr>
        <w:trPr>
          <w:cantSplit/>
          <w:tblHeader/>
        </w:trPr>
        <w:tc>
          <w:tcPr>
            <w:tcW w:type="dxa" w:w="1960"/>
            <w:vAlign w:val="center"/>
            <w:tcMar>
              <w:top w:w="40" w:type="dxa"/>
              <w:bottom w:w="40" w:type="dxa"/>
              <w:left w:w="75" w:type="dxa"/>
              <w:right w:w="75" w:type="dxa"/>
            </w:tcMar>
            <w:gridSpan w:val="2"/>
            <w:shd w:fill="E8EDF2"/>
          </w:tcPr>
          <w:p>
            <w:pPr>
              <w:spacing w:after="0" w:line="259" w:lineRule="exact"/>
              <w:keepNext/>
              <w:snapToGrid w:val="false"/>
            </w:pPr>
            <w:r>
              <w:rPr>
                <w:rFonts w:ascii="맑은 고딕" w:hAnsi="맑은 고딕" w:eastAsia="맑은 고딕" w:cs="맑은 고딕"/>
                <w:b/>
                <w:color w:val="000000"/>
                <w:sz w:val="19"/>
              </w:rPr>
              <w:t>요구사항 분류</w:t>
            </w:r>
          </w:p>
        </w:tc>
        <w:tc>
          <w:tcPr>
            <w:tcW w:type="dxa" w:w="790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프로젝트 지원 요구사항  |  필수</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고유번호</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PSR-003</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요구사항 명칭</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계약 종료·운영 인수·계속 열람</w:t>
            </w:r>
          </w:p>
        </w:tc>
      </w:tr>
      <w:tr>
        <w:trPr>
          <w:cantSplit/>
        </w:trPr>
        <w:tc>
          <w:tcPr>
            <w:tcW w:type="dxa" w:w="960"/>
            <w:vAlign w:val="center"/>
            <w:vMerge w:val="restart"/>
            <w:tcMar>
              <w:top w:w="40" w:type="dxa"/>
              <w:bottom w:w="40" w:type="dxa"/>
              <w:left w:w="75" w:type="dxa"/>
              <w:right w:w="75" w:type="dxa"/>
            </w:tcMar>
            <w:shd w:fill="F0F0F0"/>
            <w:shd w:fill="F0F0F0"/>
          </w:tcPr>
          <w:p>
            <w:pPr>
              <w:spacing w:after="0" w:line="259" w:lineRule="exact"/>
              <w:keepNext w:val="0"/>
              <w:snapToGrid w:val="false"/>
            </w:pPr>
            <w:r>
              <w:rPr>
                <w:rFonts w:ascii="맑은 고딕" w:hAnsi="맑은 고딕" w:eastAsia="맑은 고딕" w:cs="맑은 고딕"/>
                <w:b/>
                <w:color w:val="000000"/>
                <w:sz w:val="19"/>
              </w:rPr>
              <w:t>요구사항</w:t>
            </w:r>
          </w:p>
          <w:p>
            <w:pPr>
              <w:spacing w:after="0" w:line="259" w:lineRule="exact"/>
              <w:keepNext w:val="0"/>
              <w:snapToGrid w:val="false"/>
            </w:pPr>
            <w:r>
              <w:rPr>
                <w:rFonts w:ascii="맑은 고딕" w:hAnsi="맑은 고딕" w:eastAsia="맑은 고딕" w:cs="맑은 고딕"/>
                <w:b/>
                <w:color w:val="000000"/>
                <w:sz w:val="19"/>
              </w:rPr>
              <w:t>상세설명</w:t>
            </w: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정의</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기관과 수행사업자는 계약 종료 시 자료·설정·이력·미결 책임·계속 열람·기술지원의 인수 범위와 조건을 명시해야 한다.</w:t>
            </w:r>
          </w:p>
        </w:tc>
      </w:tr>
      <w:tr>
        <w:trPr>
          <w:cantSplit/>
        </w:trPr>
        <w:tc>
          <w:tcPr>
            <w:tcW w:type="dxa" w:w="960"/>
            <w:vAlign w:val="center"/>
            <w:vMerge/>
            <w:tcMar>
              <w:top w:w="40" w:type="dxa"/>
              <w:bottom w:w="40" w:type="dxa"/>
              <w:left w:w="75" w:type="dxa"/>
              <w:right w:w="75" w:type="dxa"/>
            </w:tcMar>
          </w:tcPr>
          <w:p>
            <w:pPr>
              <w:spacing w:after="0" w:line="259" w:lineRule="exact"/>
              <w:keepNext w:val="0"/>
              <w:snapToGrid w:val="false"/>
            </w:pPr>
          </w:p>
        </w:tc>
        <w:tc>
          <w:tcPr>
            <w:tcW w:type="dxa" w:w="10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세부내용</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사업·지원 종료만으로 기록 이용 조건과 후속 책임이 사라지지 않게 한다. 실제 이용권·반출 형식·비용은 계약 조건으로 확인한다.</w:t>
            </w:r>
          </w:p>
          <w:p>
            <w:pPr>
              <w:spacing w:after="0" w:line="259" w:lineRule="exact"/>
              <w:keepNext w:val="0"/>
              <w:snapToGrid w:val="false"/>
            </w:pPr>
            <w:r>
              <w:rPr>
                <w:rFonts w:ascii="맑은 고딕" w:hAnsi="맑은 고딕" w:eastAsia="맑은 고딕" w:cs="맑은 고딕"/>
                <w:b w:val="0"/>
                <w:color w:val="000000"/>
                <w:sz w:val="19"/>
              </w:rPr>
              <w:t>입력: 계약 종료 조건·인계 목록·후속 운영자</w:t>
            </w:r>
          </w:p>
          <w:p>
            <w:pPr>
              <w:spacing w:after="0" w:line="259" w:lineRule="exact"/>
              <w:keepNext w:val="0"/>
              <w:snapToGrid w:val="false"/>
            </w:pPr>
            <w:r>
              <w:rPr>
                <w:rFonts w:ascii="맑은 고딕" w:hAnsi="맑은 고딕" w:eastAsia="맑은 고딕" w:cs="맑은 고딕"/>
                <w:b w:val="0"/>
                <w:color w:val="000000"/>
                <w:sz w:val="19"/>
              </w:rPr>
              <w:t>업무 결과: 인수 확인·미결 및 제한 목록</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검수 기준</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 Given 계약 종료 준비, When 인수 검토, Then 원문·버전·설정·미결·정정·후속 책임의 인계 가능 여부가 확인돼야 한다.</w:t>
            </w:r>
          </w:p>
          <w:p>
            <w:pPr>
              <w:spacing w:after="0" w:line="259" w:lineRule="exact"/>
              <w:keepNext w:val="0"/>
              <w:snapToGrid w:val="false"/>
            </w:pPr>
            <w:r>
              <w:rPr>
                <w:rFonts w:ascii="맑은 고딕" w:hAnsi="맑은 고딕" w:eastAsia="맑은 고딕" w:cs="맑은 고딕"/>
                <w:b w:val="0"/>
                <w:color w:val="000000"/>
                <w:sz w:val="19"/>
              </w:rPr>
              <w:t>2. Given 인계 불가 자료, When 종료 판정, Then 제한 근거·대체·미결 책임을 기록해야 한다.</w:t>
            </w:r>
          </w:p>
        </w:tc>
      </w:tr>
      <w:tr>
        <w:trPr>
          <w:cantSplit/>
        </w:trPr>
        <w:tc>
          <w:tcPr>
            <w:tcW w:type="dxa" w:w="1960"/>
            <w:vAlign w:val="center"/>
            <w:gridSpan w:val="2"/>
            <w:tcMar>
              <w:top w:w="40" w:type="dxa"/>
              <w:bottom w:w="40" w:type="dxa"/>
              <w:left w:w="75" w:type="dxa"/>
              <w:right w:w="75" w:type="dxa"/>
            </w:tcMar>
            <w:shd w:fill="F0F0F0"/>
          </w:tcPr>
          <w:p>
            <w:pPr>
              <w:spacing w:after="0" w:line="259" w:lineRule="exact"/>
              <w:keepNext w:val="0"/>
              <w:snapToGrid w:val="false"/>
            </w:pPr>
            <w:r>
              <w:rPr>
                <w:rFonts w:ascii="맑은 고딕" w:hAnsi="맑은 고딕" w:eastAsia="맑은 고딕" w:cs="맑은 고딕"/>
                <w:b/>
                <w:color w:val="000000"/>
                <w:sz w:val="19"/>
              </w:rPr>
              <w:t>납품·추적</w:t>
            </w:r>
          </w:p>
        </w:tc>
        <w:tc>
          <w:tcPr>
            <w:tcW w:type="dxa" w:w="790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 TO12-2, TO31-1</w:t>
            </w:r>
          </w:p>
          <w:p>
            <w:pPr>
              <w:spacing w:after="0" w:line="259" w:lineRule="exact"/>
              <w:keepNext w:val="0"/>
              <w:snapToGrid w:val="false"/>
            </w:pPr>
            <w:r>
              <w:rPr>
                <w:rFonts w:ascii="맑은 고딕" w:hAnsi="맑은 고딕" w:eastAsia="맑은 고딕" w:cs="맑은 고딕"/>
                <w:b w:val="0"/>
                <w:color w:val="000000"/>
                <w:sz w:val="19"/>
              </w:rPr>
              <w:t>원 요구: PMS-OPR-004 | TBD-07, TBD-11</w:t>
            </w:r>
          </w:p>
        </w:tc>
      </w:tr>
    </w:tbl>
    <w:p>
      <w:pPr>
        <w:spacing w:after="20" w:line="40" w:lineRule="exact"/>
      </w:pPr>
    </w:p>
    <w:p>
      <w:pPr>
        <w:pStyle w:val="Heading1"/>
        <w:pageBreakBefore/>
      </w:pPr>
      <w:r>
        <w:t>Ⅳ 제안서 작성요령</w:t>
      </w:r>
    </w:p>
    <w:p>
      <w:pPr>
        <w:pStyle w:val="Heading2"/>
      </w:pPr>
      <w:r>
        <w:t>1 작성 원칙</w:t>
      </w:r>
    </w:p>
    <w:p>
      <w:r>
        <w:rPr>
          <w:rFonts w:ascii="맑은 고딕" w:hAnsi="맑은 고딕" w:eastAsia="맑은 고딕" w:cs="맑은 고딕"/>
          <w:b w:val="0"/>
          <w:color w:val="000000"/>
        </w:rPr>
        <w:t>제안자는 본 RFP의 요구사항 번호별로 제공 범위·구현 방안·검증 방법·산출물·기관 협조·가정·제외 및 제안서 위치를 명시한다. 단순히 준수한다고 적거나 보유 제품 명칭만 열거하지 않고, 해당 업무에서 성립하는 근거와 제한을 제시한다.</w:t>
      </w:r>
    </w:p>
    <w:p>
      <w:r>
        <w:rPr>
          <w:rFonts w:ascii="맑은 고딕" w:hAnsi="맑은 고딕" w:eastAsia="맑은 고딕" w:cs="맑은 고딕"/>
          <w:b w:val="0"/>
          <w:color w:val="000000"/>
        </w:rPr>
        <w:t>요구의 일부를 기존 자산으로 충족할 경우 사용권·지원 범위·호환성과 실제 검증 자료를 제시한다. 공급업체의 고유 제품·독점 경험을 참가 요건으로 간주하지 않는다. 특정 기술 사용 여부와 관계없이 확정된 기능·보안·품질·인수 조건을 충족해야 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80"/>
        <w:gridCol w:w="7780"/>
      </w:tblGrid>
      <w:tr>
        <w:trPr>
          <w:cantSplit/>
          <w:tblHeader/>
        </w:trPr>
        <w:tc>
          <w:tcPr>
            <w:tcW w:type="dxa" w:w="208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제안서 장</w:t>
            </w:r>
          </w:p>
        </w:tc>
        <w:tc>
          <w:tcPr>
            <w:tcW w:type="dxa" w:w="778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필수 작성 내용</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1 제안 개요</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대상 업무·문제·가치·범위·제약·기존 사업과의 차이</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2 서비스와 업무</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역할·공동 흐름·상태·예외·근거·기관 판단·수행사 소명</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3 기술과 데이터</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모듈·로컬 경계·권한·자료·연계·모델/규칙 관리·실패/복구</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4 품질과 검증</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요구별 시험·AI 검증·부하·보안·접근성·인수 판정</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5 사업 관리</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테일러링·WBS·조직/책임·보고·변경/위험·기관 협조</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6 운영과 지원</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교육·안정화·하자/운영 구분·장애·자료/소스/설정 인수</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7 공급과 가격</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기본/조건부·SW 구축/연계/검증/운영 대가·사용권·종료 조건</w:t>
            </w:r>
          </w:p>
        </w:tc>
      </w:tr>
      <w:tr>
        <w:trPr>
          <w:cantSplit/>
        </w:trPr>
        <w:tc>
          <w:tcPr>
            <w:tcW w:type="dxa" w:w="20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8 증빙 및 대응표</w:t>
            </w:r>
          </w:p>
        </w:tc>
        <w:tc>
          <w:tcPr>
            <w:tcW w:type="dxa" w:w="778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요구사항 조견표·편익 측정안·적용 가정·근거 목록</w:t>
            </w:r>
          </w:p>
        </w:tc>
      </w:tr>
    </w:tbl>
    <w:p>
      <w:pPr>
        <w:spacing w:after="20" w:line="40" w:lineRule="exact"/>
      </w:pPr>
    </w:p>
    <w:p>
      <w:pPr>
        <w:pStyle w:val="Heading2"/>
      </w:pPr>
      <w:r>
        <w:t>2 제안 범위와 가격 구분</w:t>
      </w:r>
    </w:p>
    <w:p>
      <w:r>
        <w:rPr>
          <w:rFonts w:ascii="맑은 고딕" w:hAnsi="맑은 고딕" w:eastAsia="맑은 고딕" w:cs="맑은 고딕"/>
          <w:b w:val="0"/>
          <w:color w:val="000000"/>
        </w:rPr>
        <w:t>기본 제출·자체점검·소명·정정을 수행기업별 유료 상품으로 분리하지 않는다. 신규 인프라 구매·임차·클라우드 자원비 및 기존 하드웨어 유지비·자원 증분비를 이 사업의 신규 인프라 예산으로 계상하지 않는다. 응용 SW·설정·연계·검증·운영지원 인건비와 이용권 등 공급 항목은 범위와 기간을 명시해 산정한다.</w:t>
      </w:r>
    </w:p>
    <w:p>
      <w:r>
        <w:rPr>
          <w:rFonts w:ascii="맑은 고딕" w:hAnsi="맑은 고딕" w:eastAsia="맑은 고딕" w:cs="맑은 고딕"/>
          <w:b w:val="0"/>
          <w:color w:val="000000"/>
        </w:rPr>
        <w:t>수량·환경·연계 조건을 충족하기 어려운 경우 가정·근거·대체 처리·범위/성능 조정안을 제시한다. 무한한 기능 추가나 확인되지 않은 자산 사용권·성능 보장을 포함한 것으로 해석하지 않는다.</w:t>
      </w:r>
    </w:p>
    <w:p>
      <w:pPr>
        <w:pStyle w:val="Heading1"/>
        <w:pageBreakBefore/>
      </w:pPr>
      <w:r>
        <w:t>Ⅴ 제안 안내사항</w:t>
      </w:r>
    </w:p>
    <w:p>
      <w:pPr>
        <w:pStyle w:val="Heading2"/>
      </w:pPr>
      <w:r>
        <w:t>1 공고 전 발주조건 확정</w:t>
      </w:r>
    </w:p>
    <w:p>
      <w:r>
        <w:rPr>
          <w:rFonts w:ascii="맑은 고딕" w:hAnsi="맑은 고딕" w:eastAsia="맑은 고딕" w:cs="맑은 고딕"/>
          <w:b w:val="0"/>
          <w:color w:val="000000"/>
        </w:rPr>
        <w:t>발주기관은 계약·예산·정보화·보안 담당자가 함께 아래 적용사항을 검토하고, 공고문·RFP·산출내역·계약조건의 일치 여부를 확인한다. 표의 검토 대상은 일률적 의무 적용 판정이 아니다.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검토 분야</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 및 첨부할 사항</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적용 계약체계</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유형·재원·계약 성격에 따른 적용 규정 및 계약예규, 계약상 우선순위</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입찰과 평가</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공개할 입찰/계약 방식·참가자격·기업규모 참여 제한·공동수급·하도급·평가배점·협상/낙찰 절차</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과업과 대가</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상세 요구·기능 규모·적정 기간·직접구매/분리발주·과업 변경 절차·사업정보 제출·작업장소</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보안과 제도</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보안성 검토·개인정보 영향·개발/운영 보안·정보화 협의·감리·접근성 인증·EA/IRM 적용 여부</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권리와 지원</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기존/신규 SW의 사용권·소스/산출물 인수·오픈소스/제3자 권리·종료 후 이용·하자 및 유상 지원 조건</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공고 실무</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공고일·접수 기한·접수 방식·질의응답·제출 분량/파일·발표 방식·문의처·계약 서식</w:t>
            </w:r>
          </w:p>
        </w:tc>
      </w:tr>
    </w:tbl>
    <w:p>
      <w:pPr>
        <w:spacing w:after="20" w:line="40" w:lineRule="exact"/>
      </w:pPr>
    </w:p>
    <w:p>
      <w:pPr>
        <w:pStyle w:val="Heading2"/>
      </w:pPr>
      <w:r>
        <w:t>2 기술제안 검토 항목</w:t>
      </w:r>
    </w:p>
    <w:p>
      <w:r>
        <w:rPr>
          <w:rFonts w:ascii="맑은 고딕" w:hAnsi="맑은 고딕" w:eastAsia="맑은 고딕" w:cs="맑은 고딕"/>
          <w:b w:val="0"/>
          <w:color w:val="000000"/>
        </w:rPr>
        <w:t>아래는 기능과 서비스 적합성을 검토할 항목안이다. 법정 기술평가 항목과 배점, 기술·가격 비중, 통과 기준 및 평가 절차는 PG-04에서 확정한다. 참조사업의 90 대 10 비율을 승계하지 않는다.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검토 항목</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제안에서 확인할 근거</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업무 적합성</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산출물 제출부터 보완·재검증·인수인계까지의 성공/예외 흐름</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AI 추가 가치</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일반 SI/규칙 기반 대안 대비 근거·오류·추가 검토 부담을 포함한 검증 방안</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데이터와 권한</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원문·검색·요약·반출·정정·회수의 일관성, 역할/기업 분리</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실행 가능성</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 로컬 자원·사용권·물량·조건부 연계·성능 목표의 충족 근거</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사업과 품질 관리</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테일러링·추적표·결함 및 변경관리·시험과 기관 인수 절차</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운영과 공공성</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기본 참여 보장·이해충돌·소명·지원/종료 인수·국민 효과 측정</w:t>
            </w:r>
          </w:p>
        </w:tc>
      </w:tr>
    </w:tbl>
    <w:p>
      <w:pPr>
        <w:spacing w:after="20" w:line="40" w:lineRule="exact"/>
      </w:pPr>
    </w:p>
    <w:p>
      <w:pPr>
        <w:pStyle w:val="Heading2"/>
        <w:pageBreakBefore/>
      </w:pPr>
      <w:r>
        <w:t>3 검사와 인수 및 변경</w:t>
      </w:r>
    </w:p>
    <w:p>
      <w:r>
        <w:rPr>
          <w:rFonts w:ascii="맑은 고딕" w:hAnsi="맑은 고딕" w:eastAsia="맑은 고딕" w:cs="맑은 고딕"/>
          <w:b w:val="0"/>
          <w:color w:val="000000"/>
        </w:rPr>
        <w:t>수행사업자는 단계별 산출물과 요구사항 이행증거를 제출하고 기관의 검토·보완 요청에 대응한다. 기관은 제출 완료, 기술 시험 결과, 업무 인수 판단 및 계약상 검사를 구분하여 기록한다. 시스템 내부의 승인 기능만으로 계약상 검사·대금 지급 조건이 충족된 것으로 처리하지 않는다.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구분</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수용 판단 기준</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범위</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공고·계약에 채택된 요구와 산출물이 누락 없이 대응하고 후속 제외 항목이 혼입되지 않음</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품질</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확정된 기능·보안·성능·AI·접근성 기준별 결과와 결함 조치·재시험 증거 존재</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중요 결함</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무단 자료 노출·허위 승인·접수 소실 등 수용 차단 결함은 해소 및 재검증 완료</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기타 미결</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영향·조치 책임·완료 기한·대체 조치와 기관 판단 기록 존재. 미확정을 통과로 치환하지 않음</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인수</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자료·설정·소스·사용권·매뉴얼·운영 절차·백업/복구·지원 책임을 인수 담당자가 확인</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변경</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추가·삭제·통합·조건부 채택 변경 시 범위·비용·일정·시험 영향을 문서화하고 적용 계약 절차에 따라 결정</w:t>
            </w:r>
          </w:p>
        </w:tc>
      </w:tr>
    </w:tbl>
    <w:p>
      <w:pPr>
        <w:spacing w:after="20" w:line="40" w:lineRule="exact"/>
      </w:pPr>
    </w:p>
    <w:p>
      <w:pPr>
        <w:pStyle w:val="Heading2"/>
      </w:pPr>
      <w:r>
        <w:t>4 지원 조건과 발주기관 협조</w:t>
      </w:r>
    </w:p>
    <w:p>
      <w:r>
        <w:rPr>
          <w:rFonts w:ascii="맑은 고딕" w:hAnsi="맑은 고딕" w:eastAsia="맑은 고딕" w:cs="맑은 고딕"/>
          <w:b w:val="0"/>
          <w:color w:val="000000"/>
        </w:rPr>
        <w:t>하자보수·유상 운영·제품 지원은 책임과 기산 사건을 구분한다. 기간·시간창·응답/복구 수준·담당·예외는 PG-13에서 확정한다. 참조사업의 기간을 자동 적용하지 않으며, 계약 종료 시 업무 자료의 지속 열람과 기술지원 조건을 명시한다.</w:t>
      </w:r>
    </w:p>
    <w:p>
      <w:r>
        <w:rPr>
          <w:rFonts w:ascii="맑은 고딕" w:hAnsi="맑은 고딕" w:eastAsia="맑은 고딕" w:cs="맑은 고딕"/>
          <w:b w:val="0"/>
          <w:color w:val="000000"/>
        </w:rPr>
        <w:t>발주기관은 적용 원문·대표 자료·기존 자원 및 사용권·역할 권한·연계 담당·업무 검토자를 제공하고 협조 지연의 영향을 기록한다. 수행사업자는 미확보 조건을 조기에 알리고 수동 대체·순서 조정·범위 변경안을 제시한다.</w:t>
      </w:r>
    </w:p>
    <w:p>
      <w:pPr>
        <w:pStyle w:val="Heading1"/>
        <w:pageBreakBefore/>
      </w:pPr>
      <w:r>
        <w:t>Ⅵ 서식</w:t>
      </w:r>
    </w:p>
    <w:p>
      <w:r>
        <w:rPr>
          <w:rFonts w:ascii="맑은 고딕" w:hAnsi="맑은 고딕" w:eastAsia="맑은 고딕" w:cs="맑은 고딕"/>
          <w:b w:val="0"/>
          <w:color w:val="000000"/>
        </w:rPr>
        <w:t>다음은 이 사업의 기술제안과 범위 협의에 사용할 작성 서식이다. 입찰참가·가격제안·공동수급·하도급·서약 등 계약 서식은 발주기관이 적용본을 PG-04에서 별도로 첨부한다.</w:t>
      </w:r>
    </w:p>
    <w:p>
      <w:pPr>
        <w:pStyle w:val="Heading2"/>
      </w:pPr>
      <w:r>
        <w:t>서식 1 요구사항 조견표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작성란</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RFP ID와 명칭</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[예: SFR-014 공식 제출 접수증 버전 고정]</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충족 범위</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[전체 / 일부 / 조건부 / 미제공 및 사유]</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구현·운영 방안</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[수행 방법·기존 자산 활용·기관 협조]</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검증·납품</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[시험 시나리오·수용 근거·산출물 코드·제안서 쪽]</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가격과 전제</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[기본 가격 포함 / 채택 조건·물량 / 제외 사항]</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미충족·대안</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[차이·영향·대체 조치·확정 책임]</w:t>
            </w:r>
          </w:p>
        </w:tc>
      </w:tr>
    </w:tbl>
    <w:p>
      <w:pPr>
        <w:spacing w:after="20" w:line="40" w:lineRule="exact"/>
      </w:pPr>
    </w:p>
    <w:p>
      <w:pPr>
        <w:pStyle w:val="Heading2"/>
      </w:pPr>
      <w:r>
        <w:t>서식 2 기존 환경과 재사용 자산 확인표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작성란</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자산·담당</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[기관/제공자·식별자·유형·현재 운영 책임자]</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권리</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[소유·사용·변경·재배포·지원·종료 후 이용 근거]</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가용성</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[할당 자원·동시 사용·사용기간·성능 증거·제한]</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보안과 연결</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[처리 경계·허용 포트/계정·반출·외부 접근]</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확인과 대체</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[확인자·일자·검증 결과·미확인 조건·대체 처리]</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비용</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[SW/작업 대가 / 신규 인프라 투자비 0원 확인]</w:t>
            </w:r>
          </w:p>
        </w:tc>
      </w:tr>
    </w:tbl>
    <w:p>
      <w:pPr>
        <w:spacing w:after="20" w:line="40" w:lineRule="exact"/>
      </w:pPr>
    </w:p>
    <w:p>
      <w:pPr>
        <w:pStyle w:val="Heading2"/>
        <w:pageBreakBefore/>
      </w:pPr>
      <w:r>
        <w:t>서식 3 테일러링 변경 요청서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작성란</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요청 정보</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[요청 ID·일자·요청자·대상 버전]</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산출물</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 산출물 코드·현재 적용·변경안]</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변경 이유</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[사업 특성·적용 근거·현재 문제]</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대체 위치</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[통합 대상 문서·절·필수 내용 보존 방법]</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영향</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[요구사항 ID·WBS·범위·대가·일정·보안·검수·인수]</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확인 자료</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협의·무대상 증빙·원 규정 및 적용일]</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검토·결정</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[검토자·결정권자·결과·조건·시각·승인 위치]</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적용 확인</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[변경 기준선·정정 전파·추적표 갱신 결과]</w:t>
            </w:r>
          </w:p>
        </w:tc>
      </w:tr>
    </w:tbl>
    <w:p>
      <w:pPr>
        <w:spacing w:after="20" w:line="40" w:lineRule="exact"/>
      </w:pPr>
    </w:p>
    <w:p>
      <w:pPr>
        <w:pStyle w:val="Heading2"/>
      </w:pPr>
      <w:r>
        <w:t>서식 4 산출물 검토 및 인수 확인표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000"/>
        <w:gridCol w:w="7860"/>
      </w:tblGrid>
      <w:tr>
        <w:trPr>
          <w:cantSplit/>
          <w:tblHeader/>
        </w:trPr>
        <w:tc>
          <w:tcPr>
            <w:tcW w:type="dxa" w:w="20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8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작성란</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대상</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[산출물 ID·명칭·버전·제출 일시·요구사항 ID]</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근거</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[원문/설계/시험·검토 범위·적용 기준 버전]</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상태</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[접수 / 검토 / 보완 / 재제출 / 재검증 / 승인 / 철회]</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검토 의견</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[사실·근거·중요도·영향·검토자]</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보완과 소명</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[수행자·기한·답변·새 버전·미해결 이견]</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재검증</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[예상·실제·결과·시험증거·남은 제한]</w:t>
            </w:r>
          </w:p>
        </w:tc>
      </w:tr>
      <w:tr>
        <w:trPr>
          <w:cantSplit/>
        </w:trPr>
        <w:tc>
          <w:tcPr>
            <w:tcW w:type="dxa" w:w="20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최종 판단</w:t>
            </w:r>
          </w:p>
        </w:tc>
        <w:tc>
          <w:tcPr>
            <w:tcW w:type="dxa" w:w="78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[판단권자·사유·시각·계약상 검사와의 관계]</w:t>
            </w:r>
          </w:p>
        </w:tc>
      </w:tr>
    </w:tbl>
    <w:p>
      <w:pPr>
        <w:spacing w:after="20" w:line="40" w:lineRule="exact"/>
      </w:pPr>
    </w:p>
    <w:p>
      <w:pPr>
        <w:pStyle w:val="Heading1"/>
        <w:pageBreakBefore/>
      </w:pPr>
      <w:r>
        <w:t>Ⅶ 별첨</w:t>
      </w:r>
    </w:p>
    <w:p>
      <w:pPr>
        <w:pStyle w:val="Heading2"/>
      </w:pPr>
      <w:r>
        <w:t>별첨 1 공고 전 확정사항</w:t>
      </w:r>
    </w:p>
    <w:p>
      <w:r>
        <w:rPr>
          <w:rFonts w:ascii="맑은 고딕" w:hAnsi="맑은 고딕" w:eastAsia="맑은 고딕" w:cs="맑은 고딕"/>
          <w:b w:val="0"/>
          <w:color w:val="000000"/>
        </w:rPr>
        <w:t>15개 항목은 가격·납기·수용 기준의 전제다. 본 표와 기존 14개 TBD의 연결을 함께 관리한다. 공고에 영향을 주는 조건은 입찰 전에 확정하고, 계약 이후 조정이 필요한 경우 변경 절차와 영향 처리 방식을 명시한다.</w:t>
      </w:r>
    </w:p>
    <w:p>
      <w:pPr>
        <w:pStyle w:val="Heading3"/>
      </w:pPr>
      <w:r>
        <w:t>PG 01 발주기관과 사업 경계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발주기관·주관/계약 부서·대상 사업/계약 목록·업무 근거·기존 사업과의 중복 제외</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기획·계약 책임자 | TBD-01</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02 사업비와 산정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총사업비·부가세·SW 기능 규모/대가·직접구매/분리발주 판단·지원 비용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예산·구매 책임자 | TBD-11</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03 기간과 납품 일정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착수 기준·사업기간·단계별 검토일·전환/안정화·납품 일정</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사업 책임자 | TBD-08·10·11</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04 계약 및 참가 조건</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적용 계약체계·입찰/낙찰 방식·참가자격·기업규모 제한·공동수급/하도급·평가 항목/배점·공식 서식</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계약·법무 담당 | TBD-03·11</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05 대상 수량과 처리량</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기관/부서/사업 수·계정/동시사용자 수·문서 건수/크기/형식·분석 일/피크 물량·보존량</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현업·자료·운영 담당 | TBD-04·10</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2"/>
        <w:pageBreakBefore/>
      </w:pPr>
      <w:r>
        <w:t>별첨 1 공고 전 확정사항 2</w:t>
      </w:r>
    </w:p>
    <w:p>
      <w:pPr>
        <w:pStyle w:val="Heading3"/>
      </w:pPr>
      <w:r>
        <w:t>PG 06 문서 지원과 이관</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형식별 텍스트/표/첨부 처리·원문 위치·미처리 대체·이관 대상/건수/권리/정합성</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자료 책임자 | TBD-04·07</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07 성능과 기존 환경</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 자산 목록·사용권·가용 용량·모델 경계·응답/분석 성능·가용성·복구 목표</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운영·보안 담당 | TBD-10</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08 AI 수용조건</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업무별 지표·분모·허용오류·표본 단위/크기·판정자·튜닝 분리·중단/재검증 규칙</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품질·업무 책임자 | TBD-05</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09 권한과 공식 상태</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역할/자료/행위 권한표·위임/회수·내부 승인과 공식 검사 구분·기관/기업별 열람</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사업·계약·보안 담당 | TBD-02·03</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10 평가 수집과 정정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평가 목적/주기/관찰범위·질문/결측·이해충돌·고지/소명 기한·정정 반영</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평가 책임자 | TBD-06·08</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2"/>
        <w:pageBreakBefore/>
      </w:pPr>
      <w:r>
        <w:t>별첨 1 공고 전 확정사항 3</w:t>
      </w:r>
    </w:p>
    <w:p>
      <w:pPr>
        <w:pStyle w:val="Heading3"/>
      </w:pPr>
      <w:r>
        <w:t>PG 11 자료와 보안 적용</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수집/이용/보존/반출/폐기 근거·원문/검색/백업 정책·보안성 검토·보안진단 적용·작업장소</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개인정보·보안·기록 담당 | TBD-03·07</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12 접근성과 사용환경</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대표 과업·브라우저/기기/보조기술·접근성 기준 적용본·인증 취득 여부</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현업·접근성 담당 | TBD-13</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13 지원과 종료 인수</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하자·유상 운영·제품지원의 구분·기산일/기간·서비스 수준·자료/소스/라이선스 인계</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계약·운영 담당 | TBD-03·10·11</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14 조건부 연계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SIR-001/002별 포함/제외·상대 시스템·필드/방향/주기·기관 협조·수동 대체와 가격 반영</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및 상대 시스템 담당 | TBD-14</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3"/>
      </w:pPr>
      <w:r>
        <w:t>PG 15 효과 측정</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900"/>
        <w:gridCol w:w="7960"/>
      </w:tblGrid>
      <w:tr>
        <w:trPr>
          <w:cantSplit/>
          <w:tblHeader/>
        </w:trPr>
        <w:tc>
          <w:tcPr>
            <w:tcW w:type="dxa" w:w="19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항목</w:t>
            </w:r>
          </w:p>
        </w:tc>
        <w:tc>
          <w:tcPr>
            <w:tcW w:type="dxa" w:w="79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확정할 내용</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필요한 결정</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비교 업무/기간·현행/규칙 기반/AI 비교·기준 시간/비용·품질·국민 효과 경로</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책임·연결</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기관 기획·현업·성과 담당 | TBD-12</w:t>
            </w:r>
          </w:p>
        </w:tc>
      </w:tr>
      <w:tr>
        <w:trPr>
          <w:cantSplit/>
        </w:trPr>
        <w:tc>
          <w:tcPr>
            <w:tcW w:type="dxa" w:w="19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현재 상태</w:t>
            </w:r>
          </w:p>
        </w:tc>
        <w:tc>
          <w:tcPr>
            <w:tcW w:type="dxa" w:w="79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미확정  |  결정자·일자·근거·변경 영향 기록 필요</w:t>
            </w:r>
          </w:p>
        </w:tc>
      </w:tr>
    </w:tbl>
    <w:p>
      <w:pPr>
        <w:spacing w:after="20" w:line="40" w:lineRule="exact"/>
      </w:pPr>
    </w:p>
    <w:p>
      <w:pPr>
        <w:pStyle w:val="Heading2"/>
        <w:pageBreakBefore/>
      </w:pPr>
      <w:r>
        <w:t>별첨 2 수량과 성능 및 수용조건</w:t>
      </w:r>
    </w:p>
    <w:p>
      <w:r>
        <w:rPr>
          <w:rFonts w:ascii="맑은 고딕" w:hAnsi="맑은 고딕" w:eastAsia="맑은 고딕" w:cs="맑은 고딕"/>
          <w:b w:val="0"/>
          <w:color w:val="000000"/>
        </w:rPr>
        <w:t>아래 수치의 빈칸을 제안자마다 다르게 가정하도록 남겨 두지 않는다. 발주기관이 기존 자원과 대표 자료를 확인하여 공고 조건으로 제공한다. 수치가 정해지지 않은 요구는 합격으로 판정할 수 없다.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300"/>
        <w:gridCol w:w="1900"/>
        <w:gridCol w:w="3320"/>
        <w:gridCol w:w="3340"/>
      </w:tblGrid>
      <w:tr>
        <w:trPr>
          <w:cantSplit/>
          <w:tblHeader/>
        </w:trPr>
        <w:tc>
          <w:tcPr>
            <w:tcW w:type="dxa" w:w="130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측정 영역</w:t>
            </w:r>
          </w:p>
        </w:tc>
        <w:tc>
          <w:tcPr>
            <w:tcW w:type="dxa" w:w="190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지표</w:t>
            </w:r>
          </w:p>
        </w:tc>
        <w:tc>
          <w:tcPr>
            <w:tcW w:type="dxa" w:w="332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공고 전 확정</w:t>
            </w:r>
          </w:p>
        </w:tc>
        <w:tc>
          <w:tcPr>
            <w:tcW w:type="dxa" w:w="334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검증 방법</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업무 응답</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접수·목록·상태 조회 p95</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목표 초 및 동시 사용자·반복 수 [확정 필요]</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측정 도구·성공/실패·네트워크 포함 범위를 고정</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AI 분석</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대기/완료 p95 및 시간당 처리량</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문서 유형·크기·피크량·목표 [확정 필요]</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텍스트/표·미지원 자료·실패와 재시도를 따로 보고</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연속성</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가용성·RTO·RPO</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시간창·허용 중단·복구/손실 한도 [확정 필요]</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업무 기록과 원문·인덱스·백업을 함께 대조</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근거 정확성</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정확한 근거 / 확인한 근거</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오류 정의·허용 한도·표본 범위 [확정 필요]</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원문 버전/위치와 주장 지지 여부를 사람 검토</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누락과 오탐</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확정 중요 항목의 미탐·잘못된 후보 비율</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분자/분모·중요도별 임계값 [확정 필요]</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후보 없음 사례도 확인하고 미처리를 구분</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권한과 접수</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권한 기대결과·중복/버전 정합성</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확정 시험표의 모든 기대결과 일치</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무단 노출·허위 승인·접수 소실은 수용 차단</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접근성</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대표 업무와 적용 기준별 적합</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PG-12의 기준·환경·인증 여부</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자동 결과와 키보드·확대·보조기술 수동 결과</w:t>
            </w:r>
          </w:p>
        </w:tc>
      </w:tr>
      <w:tr>
        <w:trPr>
          <w:cantSplit/>
        </w:trPr>
        <w:tc>
          <w:tcPr>
            <w:tcW w:type="dxa" w:w="13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업무 개선</w:t>
            </w:r>
          </w:p>
        </w:tc>
        <w:tc>
          <w:tcPr>
            <w:tcW w:type="dxa" w:w="190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순 작업시간·추가 부담·품질</w:t>
            </w:r>
          </w:p>
        </w:tc>
        <w:tc>
          <w:tcPr>
            <w:tcW w:type="dxa" w:w="332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업무 단위·최소 개선·품질 하한 [확정 필요]</w:t>
            </w:r>
          </w:p>
        </w:tc>
        <w:tc>
          <w:tcPr>
            <w:tcW w:type="dxa" w:w="33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서비스 효과 가설과 계약 납품 합격은 구분</w:t>
            </w:r>
          </w:p>
        </w:tc>
      </w:tr>
    </w:tbl>
    <w:p>
      <w:pPr>
        <w:spacing w:after="20" w:line="40" w:lineRule="exact"/>
      </w:pPr>
    </w:p>
    <w:p>
      <w:pPr>
        <w:pStyle w:val="Heading3"/>
      </w:pPr>
      <w:r>
        <w:t>검증 근거의 기록 항목</w:t>
      </w:r>
    </w:p>
    <w:p>
      <w:r>
        <w:rPr>
          <w:rFonts w:ascii="맑은 고딕" w:hAnsi="맑은 고딕" w:eastAsia="맑은 고딕" w:cs="맑은 고딕"/>
          <w:b w:val="0"/>
          <w:color w:val="000000"/>
        </w:rPr>
        <w:t>대상 업무·자료 출처/권리·측정 단위·표본 수·반복 수·모델/규칙 버전·환경·실행 시각·지표 분자/분모·판정자·허용 기준·오류 유형·미실시·적용 제한을 함께 남긴다. 선정한 어려운 사례의 오류율을 운영 모집단 실패율로 보고하지 않는다.</w:t>
      </w:r>
    </w:p>
    <w:p>
      <w:r>
        <w:rPr>
          <w:rFonts w:ascii="맑은 고딕" w:hAnsi="맑은 고딕" w:eastAsia="맑은 고딕" w:cs="맑은 고딕"/>
          <w:b w:val="0"/>
          <w:color w:val="000000"/>
        </w:rPr>
        <w:t>지표와 허용치는 결과 확인 전에 확정한다. 최종 검증 자료를 튜닝에 재사용한 경우 독립 검증 자료를 다시 마련하고, 불확실성·표본 부족·판정 이견은 별도로 보고한다. 관측 오류 0건을 전체 위험 0으로 보장하지 않는다.</w:t>
      </w:r>
    </w:p>
    <w:p>
      <w:pPr>
        <w:pStyle w:val="Heading2"/>
        <w:pageBreakBefore/>
      </w:pPr>
      <w:r>
        <w:t>별첨 3 최소 자료 항목 1</w:t>
      </w:r>
    </w:p>
    <w:p>
      <w:r>
        <w:rPr>
          <w:rFonts w:ascii="맑은 고딕" w:hAnsi="맑은 고딕" w:eastAsia="맑은 고딕" w:cs="맑은 고딕"/>
          <w:b w:val="0"/>
          <w:color w:val="000000"/>
        </w:rPr>
        <w:t>다음은 1차 범위의 논리 자료이다. 특정 DB 제품을 지정하지 않는다. 기관 정책과 원문 위치·버전을 연결하여 상세 설계와 검수에 사용한다. D17·18은 후속 성과/RFP 기능의 자료로 이번 범위에서 제외한다.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120"/>
        <w:gridCol w:w="4780"/>
        <w:gridCol w:w="2960"/>
      </w:tblGrid>
      <w:tr>
        <w:trPr>
          <w:cantSplit/>
          <w:tblHeader/>
        </w:trPr>
        <w:tc>
          <w:tcPr>
            <w:tcW w:type="dxa" w:w="212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자료 ID와 명칭</w:t>
            </w:r>
          </w:p>
        </w:tc>
        <w:tc>
          <w:tcPr>
            <w:tcW w:type="dxa" w:w="478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최소 필드</w:t>
            </w:r>
          </w:p>
        </w:tc>
        <w:tc>
          <w:tcPr>
            <w:tcW w:type="dxa" w:w="296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무결성과 사용 규칙</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D01</w:t>
            </w:r>
          </w:p>
          <w:p>
            <w:pPr>
              <w:spacing w:after="0" w:line="259" w:lineRule="exact"/>
              <w:keepNext w:val="0"/>
              <w:snapToGrid w:val="false"/>
            </w:pPr>
            <w:r>
              <w:rPr>
                <w:rFonts w:ascii="맑은 고딕" w:hAnsi="맑은 고딕" w:eastAsia="맑은 고딕" w:cs="맑은 고딕"/>
                <w:b w:val="0"/>
                <w:color w:val="000000"/>
                <w:sz w:val="19"/>
              </w:rPr>
              <w:t>기관·조직·참여 역할</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기관/조직/사용자 식별자, 참여 사업, 역할, 유효 시작/종료, 위임자·범위, 활성 상태</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행위 전 현재 유효 권한 확인; 역할 변경은 과거 행위자의 기록을 교체하지 않음</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D02</w:t>
            </w:r>
          </w:p>
          <w:p>
            <w:pPr>
              <w:spacing w:after="0" w:line="259" w:lineRule="exact"/>
              <w:keepNext w:val="0"/>
              <w:snapToGrid w:val="false"/>
            </w:pPr>
            <w:r>
              <w:rPr>
                <w:rFonts w:ascii="맑은 고딕" w:hAnsi="맑은 고딕" w:eastAsia="맑은 고딕" w:cs="맑은 고딕"/>
                <w:b w:val="0"/>
                <w:color w:val="000000"/>
                <w:sz w:val="19"/>
              </w:rPr>
              <w:t>서비스·사업·계약</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서비스/사업/계약 식별자, 목적, 범위, 기간, 관계 유형, 수행 조직·역할, 원문 참조</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복수 계약·동시 운영 가능; 계약기간과 보증/지원기간을 구분</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D03</w:t>
            </w:r>
          </w:p>
          <w:p>
            <w:pPr>
              <w:spacing w:after="0" w:line="259" w:lineRule="exact"/>
              <w:keepNext w:val="0"/>
              <w:snapToGrid w:val="false"/>
            </w:pPr>
            <w:r>
              <w:rPr>
                <w:rFonts w:ascii="맑은 고딕" w:hAnsi="맑은 고딕" w:eastAsia="맑은 고딕" w:cs="맑은 고딕"/>
                <w:b w:val="0"/>
                <w:color w:val="000000"/>
                <w:sz w:val="19"/>
              </w:rPr>
              <w:t>기준 원문·기준선</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원문 식별자·제목·출처·버전·해당 위치, 시행/적용일, 적용 판단자, 기준선 버전·확정자·시각</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미확인 적용일은 미확정; 원문 수정·기준 변경은 새 버전</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D04</w:t>
            </w:r>
          </w:p>
          <w:p>
            <w:pPr>
              <w:spacing w:after="0" w:line="259" w:lineRule="exact"/>
              <w:keepNext w:val="0"/>
              <w:snapToGrid w:val="false"/>
            </w:pPr>
            <w:r>
              <w:rPr>
                <w:rFonts w:ascii="맑은 고딕" w:hAnsi="맑은 고딕" w:eastAsia="맑은 고딕" w:cs="맑은 고딕"/>
                <w:b w:val="0"/>
                <w:color w:val="000000"/>
                <w:sz w:val="19"/>
              </w:rPr>
              <w:t>요구·의무·검사기준</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요구/기준 식별자, 상위 원문·위치, 적용 범위, 완료조건, 검사방법, 책임 역할, 확인 상태, 기준선 버전</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원문 인용과 AI 추출 후보·사람 확정 내용을 구분</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D05</w:t>
            </w:r>
          </w:p>
          <w:p>
            <w:pPr>
              <w:spacing w:after="0" w:line="259" w:lineRule="exact"/>
              <w:keepNext w:val="0"/>
              <w:snapToGrid w:val="false"/>
            </w:pPr>
            <w:r>
              <w:rPr>
                <w:rFonts w:ascii="맑은 고딕" w:hAnsi="맑은 고딕" w:eastAsia="맑은 고딕" w:cs="맑은 고딕"/>
                <w:b w:val="0"/>
                <w:color w:val="000000"/>
                <w:sz w:val="19"/>
              </w:rPr>
              <w:t>과업·일정</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과업 식별자, 요구 연결, 선행 과업, 책임 역할, 초기 계획일·변경 기준일·최신 예상일·실제 완료일, 변경 사유</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실제일은 사건 확인 후 기록; 기한 미정은 지연 0일로 처리하지 않음</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D06</w:t>
            </w:r>
          </w:p>
          <w:p>
            <w:pPr>
              <w:spacing w:after="0" w:line="259" w:lineRule="exact"/>
              <w:keepNext w:val="0"/>
              <w:snapToGrid w:val="false"/>
            </w:pPr>
            <w:r>
              <w:rPr>
                <w:rFonts w:ascii="맑은 고딕" w:hAnsi="맑은 고딕" w:eastAsia="맑은 고딕" w:cs="맑은 고딕"/>
                <w:b w:val="0"/>
                <w:color w:val="000000"/>
                <w:sz w:val="19"/>
              </w:rPr>
              <w:t>요청·회의 결정·이슈·위험</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항목 식별자, 관련 과업/계약, 내용·근거, 요청/응답자, 기한, 대기 원인, 책임 확정 상태, 결정자·상태</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관찰 사실·원인 가설·확정 책임을 구분</w:t>
            </w:r>
          </w:p>
        </w:tc>
      </w:tr>
    </w:tbl>
    <w:p>
      <w:pPr>
        <w:spacing w:after="20" w:line="40" w:lineRule="exact"/>
      </w:pPr>
    </w:p>
    <w:p>
      <w:pPr>
        <w:pStyle w:val="Heading2"/>
        <w:pageBreakBefore/>
      </w:pPr>
      <w:r>
        <w:t>별첨 3 최소 자료 항목 2</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120"/>
        <w:gridCol w:w="4780"/>
        <w:gridCol w:w="2960"/>
      </w:tblGrid>
      <w:tr>
        <w:trPr>
          <w:cantSplit/>
          <w:tblHeader/>
        </w:trPr>
        <w:tc>
          <w:tcPr>
            <w:tcW w:type="dxa" w:w="212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자료 ID와 명칭</w:t>
            </w:r>
          </w:p>
        </w:tc>
        <w:tc>
          <w:tcPr>
            <w:tcW w:type="dxa" w:w="478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최소 필드</w:t>
            </w:r>
          </w:p>
        </w:tc>
        <w:tc>
          <w:tcPr>
            <w:tcW w:type="dxa" w:w="296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무결성과 사용 규칙</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D07</w:t>
            </w:r>
          </w:p>
          <w:p>
            <w:pPr>
              <w:spacing w:after="0" w:line="259" w:lineRule="exact"/>
              <w:keepNext w:val="0"/>
              <w:snapToGrid w:val="false"/>
            </w:pPr>
            <w:r>
              <w:rPr>
                <w:rFonts w:ascii="맑은 고딕" w:hAnsi="맑은 고딕" w:eastAsia="맑은 고딕" w:cs="맑은 고딕"/>
                <w:b w:val="0"/>
                <w:color w:val="000000"/>
                <w:sz w:val="19"/>
              </w:rPr>
              <w:t>산출물·공식 제출</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산출물/버전/제출 식별자, 작성 조직, 요구 대응, 파일 식별정보, 제출자·시각, 접수 상태·접수증, 현재 유효 버전</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동일 제출 재시도와 새 버전 제출 구분; 파일 무결성 확인 방식은 상세 설계에서 결정</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D08</w:t>
            </w:r>
          </w:p>
          <w:p>
            <w:pPr>
              <w:spacing w:after="0" w:line="259" w:lineRule="exact"/>
              <w:keepNext w:val="0"/>
              <w:snapToGrid w:val="false"/>
            </w:pPr>
            <w:r>
              <w:rPr>
                <w:rFonts w:ascii="맑은 고딕" w:hAnsi="맑은 고딕" w:eastAsia="맑은 고딕" w:cs="맑은 고딕"/>
                <w:b w:val="0"/>
                <w:color w:val="000000"/>
                <w:sz w:val="19"/>
              </w:rPr>
              <w:t>증거·시험 결과</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증거 식별자, 원천·생성/수집 시각, 원문 위치 또는 시험 항목, 버전, 제출 주체, 입증하려는 요구, 확인 범위·상태</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증거의 존재·검토·실시 사실을 분리; 외부 결과의 수집 권한 기록</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D09</w:t>
            </w:r>
          </w:p>
          <w:p>
            <w:pPr>
              <w:spacing w:after="0" w:line="259" w:lineRule="exact"/>
              <w:keepNext w:val="0"/>
              <w:snapToGrid w:val="false"/>
            </w:pPr>
            <w:r>
              <w:rPr>
                <w:rFonts w:ascii="맑은 고딕" w:hAnsi="맑은 고딕" w:eastAsia="맑은 고딕" w:cs="맑은 고딕"/>
                <w:b w:val="0"/>
                <w:color w:val="000000"/>
                <w:sz w:val="19"/>
              </w:rPr>
              <w:t>AI 분석·검사 실행</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실행 식별자, 입력/기준/모델/검사팩 버전, 요청자·범위, 상태·시각, 완료/미검사/실패 항목, 출력 근거</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재시도는 이전 실행 식별자를 연결; 요약된 전체 성공으로 부분 실패를 덮지 않음</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D10</w:t>
            </w:r>
          </w:p>
          <w:p>
            <w:pPr>
              <w:spacing w:after="0" w:line="259" w:lineRule="exact"/>
              <w:keepNext w:val="0"/>
              <w:snapToGrid w:val="false"/>
            </w:pPr>
            <w:r>
              <w:rPr>
                <w:rFonts w:ascii="맑은 고딕" w:hAnsi="맑은 고딕" w:eastAsia="맑은 고딕" w:cs="맑은 고딕"/>
                <w:b w:val="0"/>
                <w:color w:val="000000"/>
                <w:sz w:val="19"/>
              </w:rPr>
              <w:t>검토의견·Finding</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항목 식별자, AI/사람 출처, 적용 기준·증거 위치, 대상 버전, 관찰 사실, 영향·심각도 근거, 확인자·상태</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1차 범위 검토의견과 후속 감리 범위 감리 Finding은 유형·판정 주체를 구분</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D11</w:t>
            </w:r>
          </w:p>
          <w:p>
            <w:pPr>
              <w:spacing w:after="0" w:line="259" w:lineRule="exact"/>
              <w:keepNext w:val="0"/>
              <w:snapToGrid w:val="false"/>
            </w:pPr>
            <w:r>
              <w:rPr>
                <w:rFonts w:ascii="맑은 고딕" w:hAnsi="맑은 고딕" w:eastAsia="맑은 고딕" w:cs="맑은 고딕"/>
                <w:b w:val="0"/>
                <w:color w:val="000000"/>
                <w:sz w:val="19"/>
              </w:rPr>
              <w:t>보완·소명·재검증·판단</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항목/지적 연결, 요청/소명 내용과 근거, 담당 역할·기한, 보완 버전, 재검증 결과, 확정/철회자·사유·시각</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미해결·이견·철회 이력 보존; 승인 당시 기준·산출물 버전 고정</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D12</w:t>
            </w:r>
          </w:p>
          <w:p>
            <w:pPr>
              <w:spacing w:after="0" w:line="259" w:lineRule="exact"/>
              <w:keepNext w:val="0"/>
              <w:snapToGrid w:val="false"/>
            </w:pPr>
            <w:r>
              <w:rPr>
                <w:rFonts w:ascii="맑은 고딕" w:hAnsi="맑은 고딕" w:eastAsia="맑은 고딕" w:cs="맑은 고딕"/>
                <w:b w:val="0"/>
                <w:color w:val="000000"/>
                <w:sz w:val="19"/>
              </w:rPr>
              <w:t>평가 계획·배정</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계획 식별자, 사업/역할/기간, 목적, 주기, 문항·척도 버전, 대상군, 배정·마감, 공개/소명 규칙</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중간관리자·최종결재자·실사용자 등을 동일 역할로 합치지 않음</w:t>
            </w:r>
          </w:p>
        </w:tc>
      </w:tr>
    </w:tbl>
    <w:p>
      <w:pPr>
        <w:spacing w:after="20" w:line="40" w:lineRule="exact"/>
      </w:pPr>
    </w:p>
    <w:p>
      <w:pPr>
        <w:pStyle w:val="Heading2"/>
        <w:pageBreakBefore/>
      </w:pPr>
      <w:r>
        <w:t>별첨 3 최소 자료 항목 3</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120"/>
        <w:gridCol w:w="4780"/>
        <w:gridCol w:w="2960"/>
      </w:tblGrid>
      <w:tr>
        <w:trPr>
          <w:cantSplit/>
          <w:tblHeader/>
        </w:trPr>
        <w:tc>
          <w:tcPr>
            <w:tcW w:type="dxa" w:w="212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자료 ID와 명칭</w:t>
            </w:r>
          </w:p>
        </w:tc>
        <w:tc>
          <w:tcPr>
            <w:tcW w:type="dxa" w:w="478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최소 필드</w:t>
            </w:r>
          </w:p>
        </w:tc>
        <w:tc>
          <w:tcPr>
            <w:tcW w:type="dxa" w:w="2960"/>
            <w:vAlign w:val="center"/>
            <w:tcMar>
              <w:top w:w="40" w:type="dxa"/>
              <w:bottom w:w="40" w:type="dxa"/>
              <w:left w:w="75" w:type="dxa"/>
              <w:right w:w="75" w:type="dxa"/>
            </w:tcMar>
            <w:shd w:fill="E8EDF2"/>
          </w:tcPr>
          <w:p>
            <w:pPr>
              <w:spacing w:after="0" w:line="259" w:lineRule="exact"/>
              <w:keepNext/>
              <w:snapToGrid w:val="false"/>
            </w:pPr>
            <w:r>
              <w:rPr>
                <w:rFonts w:ascii="맑은 고딕" w:hAnsi="맑은 고딕" w:eastAsia="맑은 고딕" w:cs="맑은 고딕"/>
                <w:b/>
                <w:color w:val="000000"/>
                <w:sz w:val="19"/>
              </w:rPr>
              <w:t>무결성과 사용 규칙</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D13</w:t>
            </w:r>
          </w:p>
          <w:p>
            <w:pPr>
              <w:spacing w:after="0" w:line="259" w:lineRule="exact"/>
              <w:keepNext w:val="0"/>
              <w:snapToGrid w:val="false"/>
            </w:pPr>
            <w:r>
              <w:rPr>
                <w:rFonts w:ascii="맑은 고딕" w:hAnsi="맑은 고딕" w:eastAsia="맑은 고딕" w:cs="맑은 고딕"/>
                <w:b w:val="0"/>
                <w:color w:val="000000"/>
                <w:sz w:val="19"/>
              </w:rPr>
              <w:t>평가 응답·관찰 범위</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응답 식별자, 계획/문항/역할/기간, 값 또는 미응답/관찰불가 사유, 근거, 제출·정정 시각</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주관 의견과 사실지표 구분; 원응답 접근은 별도 정책</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D14</w:t>
            </w:r>
          </w:p>
          <w:p>
            <w:pPr>
              <w:spacing w:after="0" w:line="259" w:lineRule="exact"/>
              <w:keepNext w:val="0"/>
              <w:snapToGrid w:val="false"/>
            </w:pPr>
            <w:r>
              <w:rPr>
                <w:rFonts w:ascii="맑은 고딕" w:hAnsi="맑은 고딕" w:eastAsia="맑은 고딕" w:cs="맑은 고딕"/>
                <w:b w:val="0"/>
                <w:color w:val="000000"/>
                <w:sz w:val="19"/>
              </w:rPr>
              <w:t>수행 레퍼런스·이의·정정</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기업·사업·역할·기간, 확인된 수행/우수/미흡/개선 근거, 이의 상태, 정정 버전, 공개 범위·수신처</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이력 없음과 미흡을 구분; 소명에는 필요한 평가 근거를 제공하고 개인 응답 식별은 별도 제한</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D15</w:t>
            </w:r>
          </w:p>
          <w:p>
            <w:pPr>
              <w:spacing w:after="0" w:line="259" w:lineRule="exact"/>
              <w:keepNext w:val="0"/>
              <w:snapToGrid w:val="false"/>
            </w:pPr>
            <w:r>
              <w:rPr>
                <w:rFonts w:ascii="맑은 고딕" w:hAnsi="맑은 고딕" w:eastAsia="맑은 고딕" w:cs="맑은 고딕"/>
                <w:b w:val="0"/>
                <w:color w:val="000000"/>
                <w:sz w:val="19"/>
              </w:rPr>
              <w:t>유지관리·지원 책임</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서비스/계약 연결, 하자/유상운영/제품지원 유형, 범위, 기산 사건·확인 상태, 시작/종료, 담당·연락 역할, 준비기한</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종류별 계약 근거로 기간 계산; 미확정 기산일 표시</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D16</w:t>
            </w:r>
          </w:p>
          <w:p>
            <w:pPr>
              <w:spacing w:after="0" w:line="259" w:lineRule="exact"/>
              <w:keepNext w:val="0"/>
              <w:snapToGrid w:val="false"/>
            </w:pPr>
            <w:r>
              <w:rPr>
                <w:rFonts w:ascii="맑은 고딕" w:hAnsi="맑은 고딕" w:eastAsia="맑은 고딕" w:cs="맑은 고딕"/>
                <w:b w:val="0"/>
                <w:color w:val="000000"/>
                <w:sz w:val="19"/>
              </w:rPr>
              <w:t>인수인계·미결 승계</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인계 식별자, 서비스/사업, 이전/신규 역할, 결정·미결·지원 연결, 인계/인수 확인, 미인수 사유</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인사 정보 전체 수집을 요구하지 않음; 업무상 필요한 역할 전환만 관리</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D19</w:t>
            </w:r>
          </w:p>
          <w:p>
            <w:pPr>
              <w:spacing w:after="0" w:line="259" w:lineRule="exact"/>
              <w:keepNext w:val="0"/>
              <w:snapToGrid w:val="false"/>
            </w:pPr>
            <w:r>
              <w:rPr>
                <w:rFonts w:ascii="맑은 고딕" w:hAnsi="맑은 고딕" w:eastAsia="맑은 고딕" w:cs="맑은 고딕"/>
                <w:b w:val="0"/>
                <w:color w:val="000000"/>
                <w:sz w:val="19"/>
              </w:rPr>
              <w:t>접근·변경·운영 이력</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행위 식별자, 주체·역할, 대상·버전, 행위·시각·결과, 변경 전후 참조, 사유, 반출·정정·회수 사건</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원문·비밀값을 무제한 중복 저장하지 않음; 기록 보존과 법정 정정/폐기는 정책에 따름</w:t>
            </w:r>
          </w:p>
        </w:tc>
      </w:tr>
      <w:tr>
        <w:trPr>
          <w:cantSplit/>
        </w:trPr>
        <w:tc>
          <w:tcPr>
            <w:tcW w:type="dxa" w:w="212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D20</w:t>
            </w:r>
          </w:p>
          <w:p>
            <w:pPr>
              <w:spacing w:after="0" w:line="259" w:lineRule="exact"/>
              <w:keepNext w:val="0"/>
              <w:snapToGrid w:val="false"/>
            </w:pPr>
            <w:r>
              <w:rPr>
                <w:rFonts w:ascii="맑은 고딕" w:hAnsi="맑은 고딕" w:eastAsia="맑은 고딕" w:cs="맑은 고딕"/>
                <w:b w:val="0"/>
                <w:color w:val="000000"/>
                <w:sz w:val="19"/>
              </w:rPr>
              <w:t>외부 전달·대조 기록</w:t>
            </w:r>
          </w:p>
        </w:tc>
        <w:tc>
          <w:tcPr>
            <w:tcW w:type="dxa" w:w="478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연계 식별자, 상대 원천, 전달 항목·식별자·버전·시각, 원천 권위, 성공/부분/실패, 재시도·중복·대조 결과</w:t>
            </w:r>
          </w:p>
        </w:tc>
        <w:tc>
          <w:tcPr>
            <w:tcW w:type="dxa" w:w="2960"/>
            <w:vAlign w:val="center"/>
            <w:tcMar>
              <w:top w:w="40" w:type="dxa"/>
              <w:bottom w:w="40" w:type="dxa"/>
              <w:left w:w="75" w:type="dxa"/>
              <w:right w:w="75" w:type="dxa"/>
            </w:tcMar>
          </w:tcPr>
          <w:p>
            <w:pPr>
              <w:spacing w:after="0" w:line="259" w:lineRule="exact"/>
              <w:keepNext w:val="0"/>
              <w:snapToGrid w:val="false"/>
            </w:pPr>
            <w:r>
              <w:rPr>
                <w:rFonts w:ascii="맑은 고딕" w:hAnsi="맑은 고딕" w:eastAsia="맑은 고딕" w:cs="맑은 고딕"/>
                <w:b w:val="0"/>
                <w:color w:val="000000"/>
                <w:sz w:val="19"/>
              </w:rPr>
              <w:t>기술 응답과 업무 반영 성공 구분; 실패로 공식 제출을 중복 생성하지 않음</w:t>
            </w:r>
          </w:p>
        </w:tc>
      </w:tr>
    </w:tbl>
    <w:p>
      <w:pPr>
        <w:spacing w:after="20" w:line="40" w:lineRule="exact"/>
      </w:pPr>
    </w:p>
    <w:p>
      <w:pPr>
        <w:pStyle w:val="Heading2"/>
        <w:pageBreakBefore/>
      </w:pPr>
      <w:r>
        <w:t>별첨 4 원 요구사항 대응표 1</w:t>
      </w:r>
    </w:p>
    <w:p>
      <w:r>
        <w:rPr>
          <w:rFonts w:ascii="맑은 고딕" w:hAnsi="맑은 고딕" w:eastAsia="맑은 고딕" w:cs="맑은 고딕"/>
          <w:b w:val="0"/>
          <w:color w:val="000000"/>
        </w:rPr>
        <w:t>원장 58개는 식별자를 보존한다. 1차 46개를 본 RFP로 전환했으며, 후속 12개는 가격·검수에서 제외한다. 추가된 6개는 아래 보강 목록으로 구분한다.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100"/>
        <w:gridCol w:w="5400"/>
        <w:gridCol w:w="2360"/>
      </w:tblGrid>
      <w:tr>
        <w:trPr>
          <w:cantSplit/>
          <w:tblHeader/>
        </w:trPr>
        <w:tc>
          <w:tcPr>
            <w:tcW w:type="dxa" w:w="210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원 요구 ID</w:t>
            </w:r>
          </w:p>
        </w:tc>
        <w:tc>
          <w:tcPr>
            <w:tcW w:type="dxa" w:w="540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원 요구사항 명칭</w:t>
            </w:r>
          </w:p>
        </w:tc>
        <w:tc>
          <w:tcPr>
            <w:tcW w:type="dxa" w:w="236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RFP ID와 범위</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기관·서비스·사업·계약의 연결</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참여 조직·역할·위임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기준 원문 등록·적용 정보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SFR-003</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요구·의무·완료조건 후보 추출</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SFR-004</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PMS-SFR-005</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공동 기준 검토·확정</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SFR-005</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PMS-SFR-006</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기준·범위·일정 변경의 영향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SFR-006</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PMS-SFR-007</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공동 WBS·네 종류 일정·선행조건</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SFR-007</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PMS-SFR-008</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역할별 업무함·알림·상향 요청</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SFR-008</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PMS-SFR-009</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자료 요청·회신·회의 결정 연결</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SFR-009</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PMS-SFR-010</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이슈·위험·병목·책임 구분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SFR-010</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산출물·요구사항·검증증거 대응</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증거 등록·출처·확인 상태</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수행사 제출 전 자체점검</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SFR-013</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공식 제출·접수증·버전 고정</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SFR-014</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PMS-SFR-015</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분석 상태 분리·실패 복구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SFR-015</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PMS-SFR-016</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기초 검토 후보·근거 제공</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SFR-016</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PMS-SFR-017</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보완 요청·소명·의견 차이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SFR-017</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PMS-SFR-018</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현재 버전 재검증·확정·철회</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SFR-018</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PMS-SFR-019</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정보화사업 감리 검사기준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PMS-SFR-020</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요구 단위 검사 실행·범위 기록</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bl>
    <w:p>
      <w:pPr>
        <w:spacing w:after="20" w:line="40" w:lineRule="exact"/>
      </w:pPr>
    </w:p>
    <w:p>
      <w:pPr>
        <w:pStyle w:val="Heading2"/>
        <w:pageBreakBefore/>
      </w:pPr>
      <w:r>
        <w:t>별첨 4 원 요구사항 대응표 2</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100"/>
        <w:gridCol w:w="5400"/>
        <w:gridCol w:w="2360"/>
      </w:tblGrid>
      <w:tr>
        <w:trPr>
          <w:cantSplit/>
          <w:tblHeader/>
        </w:trPr>
        <w:tc>
          <w:tcPr>
            <w:tcW w:type="dxa" w:w="210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원 요구 ID</w:t>
            </w:r>
          </w:p>
        </w:tc>
        <w:tc>
          <w:tcPr>
            <w:tcW w:type="dxa" w:w="540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원 요구사항 명칭</w:t>
            </w:r>
          </w:p>
        </w:tc>
        <w:tc>
          <w:tcPr>
            <w:tcW w:type="dxa" w:w="236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RFP ID와 범위</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구조화 Finding·전문 시정·재검증</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AI·감리사의 독립 검토와 차이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주기적 다면평가 계획·배정</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SFR-019</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역할별 응답·관찰 불가·중복 처리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SFR-020</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PMS-SFR-025</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기본 수행이력과 긍정·미흡 근거</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SFR-021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PMS-SFR-026</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평가 고지·소명·재검토·정정 반영</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SFR-022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PMS-SFR-027</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다면평가의 역할·시점별 분석</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PMS-SFR-028</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사업·역할별 레퍼런스 조회 고도화</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PMS-SFR-029</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상시 인수인계와 미결 책임 승계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SFR-023</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PMS-SFR-030</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유지관리 종류·기산 사건·책임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SFR-024</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지원 공백·갱신·차기 계약 준비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SFR-025</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성과·피드백의 문제 정의</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개선 대안·기존 계약·신규 투자 비교</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차기 RFP 요구 초안과 근거 추적</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PMS-SFR-035</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협업·컨소시엄 역량 탐색</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PMS-SFR-036</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기관별 서비스 규칙의 반복 적용</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기관·사업·문서의 접근 통제</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SER-001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판단·변경 이력의 추적성</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QUR-001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AI 검토 품질·근거·평가 범위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QUR-002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로컬 처리·문서 명령과 업무권한 분리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SER-002</w:t>
            </w:r>
          </w:p>
          <w:p>
            <w:pPr>
              <w:spacing w:after="0" w:line="251" w:lineRule="exact"/>
              <w:keepNext w:val="0"/>
              <w:snapToGrid w:val="false"/>
            </w:pPr>
            <w:r>
              <w:rPr>
                <w:rFonts w:ascii="맑은 고딕" w:hAnsi="맑은 고딕" w:eastAsia="맑은 고딕" w:cs="맑은 고딕"/>
                <w:b w:val="0"/>
                <w:color w:val="000000"/>
                <w:sz w:val="18"/>
              </w:rPr>
              <w:t>필수</w:t>
            </w:r>
          </w:p>
        </w:tc>
      </w:tr>
    </w:tbl>
    <w:p>
      <w:pPr>
        <w:spacing w:after="20" w:line="40" w:lineRule="exact"/>
      </w:pPr>
    </w:p>
    <w:p>
      <w:pPr>
        <w:pStyle w:val="Heading2"/>
        <w:pageBreakBefore/>
      </w:pPr>
      <w:r>
        <w:t>별첨 4 원 요구사항 대응표 3</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100"/>
        <w:gridCol w:w="5400"/>
        <w:gridCol w:w="2360"/>
      </w:tblGrid>
      <w:tr>
        <w:trPr>
          <w:cantSplit/>
          <w:tblHeader/>
        </w:trPr>
        <w:tc>
          <w:tcPr>
            <w:tcW w:type="dxa" w:w="210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원 요구 ID</w:t>
            </w:r>
          </w:p>
        </w:tc>
        <w:tc>
          <w:tcPr>
            <w:tcW w:type="dxa" w:w="540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원 요구사항 명칭</w:t>
            </w:r>
          </w:p>
        </w:tc>
        <w:tc>
          <w:tcPr>
            <w:tcW w:type="dxa" w:w="2360"/>
            <w:vAlign w:val="center"/>
            <w:tcMar>
              <w:top w:w="40" w:type="dxa"/>
              <w:bottom w:w="40" w:type="dxa"/>
              <w:left w:w="75" w:type="dxa"/>
              <w:right w:w="75" w:type="dxa"/>
            </w:tcMar>
            <w:shd w:fill="E8EDF2"/>
          </w:tcPr>
          <w:p>
            <w:pPr>
              <w:spacing w:after="0" w:line="251" w:lineRule="exact"/>
              <w:keepNext/>
              <w:snapToGrid w:val="false"/>
            </w:pPr>
            <w:r>
              <w:rPr>
                <w:rFonts w:ascii="맑은 고딕" w:hAnsi="맑은 고딕" w:eastAsia="맑은 고딕" w:cs="맑은 고딕"/>
                <w:b/>
                <w:color w:val="000000"/>
                <w:sz w:val="18"/>
              </w:rPr>
              <w:t>RFP ID와 범위</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PMS-NFR-005</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업무 응답·분석 처리량의 성능 목표</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PER-001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PMS-NFR-006</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가용성·복구·접수 보존</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QUR-003</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PMS-NFR-007</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접근성·업무 이해·오류 복구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INR-001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PMS-NFR-008</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변경 영향·버전별 재현·유지보수성</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QUR-004</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PMS-DAR-001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핵심 업무자료의 최소 항목·관계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DAR-001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PMS-DAR-002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지원 문서·추출 범위·원문 대응</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DAR-002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PMS-DAR-003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버전·관계·이관 자료의 정합성</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DAR-003</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PMS-DAR-004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보존·정정·반출·폐기 정책</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DAR-004</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PMS-IFR-001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계정·조직 정보 연계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SIR-001</w:t>
            </w:r>
          </w:p>
          <w:p>
            <w:pPr>
              <w:spacing w:after="0" w:line="251" w:lineRule="exact"/>
              <w:keepNext w:val="0"/>
              <w:snapToGrid w:val="false"/>
            </w:pPr>
            <w:r>
              <w:rPr>
                <w:rFonts w:ascii="맑은 고딕" w:hAnsi="맑은 고딕" w:eastAsia="맑은 고딕" w:cs="맑은 고딕"/>
                <w:b w:val="0"/>
                <w:color w:val="000000"/>
                <w:sz w:val="18"/>
              </w:rPr>
              <w:t>조건부</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PMS-IFR-002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계약·전자결재·기존 PMS 기록 연계</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SIR-002</w:t>
            </w:r>
          </w:p>
          <w:p>
            <w:pPr>
              <w:spacing w:after="0" w:line="251" w:lineRule="exact"/>
              <w:keepNext w:val="0"/>
              <w:snapToGrid w:val="false"/>
            </w:pPr>
            <w:r>
              <w:rPr>
                <w:rFonts w:ascii="맑은 고딕" w:hAnsi="맑은 고딕" w:eastAsia="맑은 고딕" w:cs="맑은 고딕"/>
                <w:b w:val="0"/>
                <w:color w:val="000000"/>
                <w:sz w:val="18"/>
              </w:rPr>
              <w:t>조건부</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PMS-IFR-003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외부 시험·운영 결과 수집</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후속 제외</w:t>
            </w:r>
          </w:p>
          <w:p>
            <w:pPr>
              <w:spacing w:after="0" w:line="251" w:lineRule="exact"/>
              <w:keepNext w:val="0"/>
              <w:snapToGrid w:val="false"/>
            </w:pPr>
            <w:r>
              <w:rPr>
                <w:rFonts w:ascii="맑은 고딕" w:hAnsi="맑은 고딕" w:eastAsia="맑은 고딕" w:cs="맑은 고딕"/>
                <w:b w:val="0"/>
                <w:color w:val="000000"/>
                <w:sz w:val="18"/>
              </w:rPr>
              <w:t>이번 가격·검수 제외</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PMS-OPR-001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기관 적용·교육·기본 참여 지원</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PSR-001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PMS-OPR-002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기준·평가 운영과 이해충돌 관리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PMS-OPR-003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장애·미반영·오류 대응 운영</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PSR-002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PMS-OPR-004</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계약 종료·운영 인수·계속 열람</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PSR-003</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PMS-BMR-001</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기관 도입·기본 참여·대가의 분리</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COR-001</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PMS-BMR-002</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수행사업자 주관 책임·재사용·비중복 확인</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COR-002</w:t>
            </w:r>
          </w:p>
          <w:p>
            <w:pPr>
              <w:spacing w:after="0" w:line="251" w:lineRule="exact"/>
              <w:keepNext w:val="0"/>
              <w:snapToGrid w:val="false"/>
            </w:pPr>
            <w:r>
              <w:rPr>
                <w:rFonts w:ascii="맑은 고딕" w:hAnsi="맑은 고딕" w:eastAsia="맑은 고딕" w:cs="맑은 고딕"/>
                <w:b w:val="0"/>
                <w:color w:val="000000"/>
                <w:sz w:val="18"/>
              </w:rPr>
              <w:t>필수</w:t>
            </w:r>
          </w:p>
        </w:tc>
      </w:tr>
      <w:tr>
        <w:trPr>
          <w:cantSplit/>
        </w:trPr>
        <w:tc>
          <w:tcPr>
            <w:tcW w:type="dxa" w:w="21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PMS-BMR-003</w:t>
            </w:r>
          </w:p>
        </w:tc>
        <w:tc>
          <w:tcPr>
            <w:tcW w:type="dxa" w:w="540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순편익·품질·국민 효과의 검증 계획</w:t>
            </w:r>
          </w:p>
        </w:tc>
        <w:tc>
          <w:tcPr>
            <w:tcW w:type="dxa" w:w="2360"/>
            <w:vAlign w:val="center"/>
            <w:tcMar>
              <w:top w:w="40" w:type="dxa"/>
              <w:bottom w:w="40" w:type="dxa"/>
              <w:left w:w="75" w:type="dxa"/>
              <w:right w:w="75" w:type="dxa"/>
            </w:tcMar>
          </w:tcPr>
          <w:p>
            <w:pPr>
              <w:spacing w:after="0" w:line="251" w:lineRule="exact"/>
              <w:keepNext w:val="0"/>
              <w:snapToGrid w:val="false"/>
            </w:pPr>
            <w:r>
              <w:rPr>
                <w:rFonts w:ascii="맑은 고딕" w:hAnsi="맑은 고딕" w:eastAsia="맑은 고딕" w:cs="맑은 고딕"/>
                <w:b w:val="0"/>
                <w:color w:val="000000"/>
                <w:sz w:val="18"/>
              </w:rPr>
              <w:t>PMR-002</w:t>
            </w:r>
          </w:p>
          <w:p>
            <w:pPr>
              <w:spacing w:after="0" w:line="251" w:lineRule="exact"/>
              <w:keepNext w:val="0"/>
              <w:snapToGrid w:val="false"/>
            </w:pPr>
            <w:r>
              <w:rPr>
                <w:rFonts w:ascii="맑은 고딕" w:hAnsi="맑은 고딕" w:eastAsia="맑은 고딕" w:cs="맑은 고딕"/>
                <w:b w:val="0"/>
                <w:color w:val="000000"/>
                <w:sz w:val="18"/>
              </w:rPr>
              <w:t>필수</w:t>
            </w:r>
          </w:p>
        </w:tc>
      </w:tr>
    </w:tbl>
    <w:p>
      <w:pPr>
        <w:spacing w:after="20" w:line="40" w:lineRule="exact"/>
      </w:pPr>
    </w:p>
    <w:p>
      <w:pPr>
        <w:pStyle w:val="Heading2"/>
        <w:pageBreakBefore/>
      </w:pPr>
      <w:r>
        <w:t>별첨 5 보강 요구와 후속 범위</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1660"/>
        <w:gridCol w:w="3840"/>
        <w:gridCol w:w="4360"/>
      </w:tblGrid>
      <w:tr>
        <w:trPr>
          <w:cantSplit/>
          <w:tblHeader/>
        </w:trPr>
        <w:tc>
          <w:tcPr>
            <w:tcW w:type="dxa" w:w="166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보강 RFP ID</w:t>
            </w:r>
          </w:p>
        </w:tc>
        <w:tc>
          <w:tcPr>
            <w:tcW w:type="dxa" w:w="384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보강한 수행 의무</w:t>
            </w:r>
          </w:p>
        </w:tc>
        <w:tc>
          <w:tcPr>
            <w:tcW w:type="dxa" w:w="4360"/>
            <w:vAlign w:val="center"/>
            <w:tcMar>
              <w:top w:w="40" w:type="dxa"/>
              <w:bottom w:w="40" w:type="dxa"/>
              <w:left w:w="75" w:type="dxa"/>
              <w:right w:w="75" w:type="dxa"/>
            </w:tcMar>
            <w:shd w:fill="E8EDF2"/>
          </w:tcPr>
          <w:p>
            <w:pPr>
              <w:spacing w:after="0" w:line="256" w:lineRule="exact"/>
              <w:keepNext/>
              <w:snapToGrid w:val="false"/>
            </w:pPr>
            <w:r>
              <w:rPr>
                <w:rFonts w:ascii="맑은 고딕" w:hAnsi="맑은 고딕" w:eastAsia="맑은 고딕" w:cs="맑은 고딕"/>
                <w:b/>
                <w:color w:val="000000"/>
                <w:sz w:val="19"/>
              </w:rPr>
              <w:t>근거</w:t>
            </w:r>
          </w:p>
        </w:tc>
      </w:tr>
      <w:tr>
        <w:trPr>
          <w:cantSplit/>
        </w:trPr>
        <w:tc>
          <w:tcPr>
            <w:tcW w:type="dxa" w:w="16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TER-001</w:t>
            </w:r>
          </w:p>
        </w:tc>
        <w:tc>
          <w:tcPr>
            <w:tcW w:type="dxa" w:w="38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단위 통합 및 사용자 인수시험</w:t>
            </w:r>
          </w:p>
        </w:tc>
        <w:tc>
          <w:tcPr>
            <w:tcW w:type="dxa" w:w="43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L01 TE11~TE13 및 L02 PDF 77쪽</w:t>
            </w:r>
          </w:p>
        </w:tc>
      </w:tr>
      <w:tr>
        <w:trPr>
          <w:cantSplit/>
        </w:trPr>
        <w:tc>
          <w:tcPr>
            <w:tcW w:type="dxa" w:w="16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TER-002</w:t>
            </w:r>
          </w:p>
        </w:tc>
        <w:tc>
          <w:tcPr>
            <w:tcW w:type="dxa" w:w="38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AI 검토 품질과 근거 검증</w:t>
            </w:r>
          </w:p>
        </w:tc>
        <w:tc>
          <w:tcPr>
            <w:tcW w:type="dxa" w:w="43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L01 TE14-1 및 PMS-NFR-003 구체화</w:t>
            </w:r>
          </w:p>
        </w:tc>
      </w:tr>
      <w:tr>
        <w:trPr>
          <w:cantSplit/>
        </w:trPr>
        <w:tc>
          <w:tcPr>
            <w:tcW w:type="dxa" w:w="16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TER-003</w:t>
            </w:r>
          </w:p>
        </w:tc>
        <w:tc>
          <w:tcPr>
            <w:tcW w:type="dxa" w:w="38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성능 장애 복구와 전환 검증</w:t>
            </w:r>
          </w:p>
        </w:tc>
        <w:tc>
          <w:tcPr>
            <w:tcW w:type="dxa" w:w="43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L01 TE15·IM12·TO13 및 PMS-NFR-005/006 구체화</w:t>
            </w:r>
          </w:p>
        </w:tc>
      </w:tr>
      <w:tr>
        <w:trPr>
          <w:cantSplit/>
        </w:trPr>
        <w:tc>
          <w:tcPr>
            <w:tcW w:type="dxa" w:w="16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TER-004</w:t>
            </w:r>
          </w:p>
        </w:tc>
        <w:tc>
          <w:tcPr>
            <w:tcW w:type="dxa" w:w="38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보안 접근성 및 소프트웨어 점검</w:t>
            </w:r>
          </w:p>
        </w:tc>
        <w:tc>
          <w:tcPr>
            <w:tcW w:type="dxa" w:w="43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L02 PDF 76~78쪽 및 PMS-NFR-001/004/007 구체화</w:t>
            </w:r>
          </w:p>
        </w:tc>
      </w:tr>
      <w:tr>
        <w:trPr>
          <w:cantSplit/>
        </w:trPr>
        <w:tc>
          <w:tcPr>
            <w:tcW w:type="dxa" w:w="16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PMR-003</w:t>
            </w:r>
          </w:p>
        </w:tc>
        <w:tc>
          <w:tcPr>
            <w:tcW w:type="dxa" w:w="38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테일러링과 수행계획 및 변경관리</w:t>
            </w:r>
          </w:p>
        </w:tc>
        <w:tc>
          <w:tcPr>
            <w:tcW w:type="dxa" w:w="43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L01 PP11-1 및 L02 PDF 10·74~78쪽</w:t>
            </w:r>
          </w:p>
        </w:tc>
      </w:tr>
      <w:tr>
        <w:trPr>
          <w:cantSplit/>
        </w:trPr>
        <w:tc>
          <w:tcPr>
            <w:tcW w:type="dxa" w:w="16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PMR-004</w:t>
            </w:r>
          </w:p>
        </w:tc>
        <w:tc>
          <w:tcPr>
            <w:tcW w:type="dxa" w:w="384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납품 산출물과 요구사항 추적 관리</w:t>
            </w:r>
          </w:p>
        </w:tc>
        <w:tc>
          <w:tcPr>
            <w:tcW w:type="dxa" w:w="4360"/>
            <w:vAlign w:val="center"/>
            <w:tcMar>
              <w:top w:w="40" w:type="dxa"/>
              <w:bottom w:w="40" w:type="dxa"/>
              <w:left w:w="75" w:type="dxa"/>
              <w:right w:w="75" w:type="dxa"/>
            </w:tcMar>
          </w:tcPr>
          <w:p>
            <w:pPr>
              <w:spacing w:after="0" w:line="256" w:lineRule="exact"/>
              <w:keepNext w:val="0"/>
              <w:snapToGrid w:val="false"/>
            </w:pPr>
            <w:r>
              <w:rPr>
                <w:rFonts w:ascii="맑은 고딕" w:hAnsi="맑은 고딕" w:eastAsia="맑은 고딕" w:cs="맑은 고딕"/>
                <w:b w:val="0"/>
                <w:color w:val="000000"/>
                <w:sz w:val="19"/>
              </w:rPr>
              <w:t>L01 PM02·AN13·TO31 및 L02 PDF 78쪽</w:t>
            </w:r>
          </w:p>
        </w:tc>
      </w:tr>
    </w:tbl>
    <w:p>
      <w:pPr>
        <w:spacing w:after="20" w:line="40" w:lineRule="exact"/>
      </w:pPr>
    </w:p>
    <w:p>
      <w:pPr>
        <w:pStyle w:val="Heading3"/>
      </w:pPr>
      <w:r>
        <w:t>후속 기능의 별도 검토</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2400"/>
        <w:gridCol w:w="7460"/>
      </w:tblGrid>
      <w:tr>
        <w:trPr>
          <w:cantSplit/>
          <w:tblHeader/>
        </w:trPr>
        <w:tc>
          <w:tcPr>
            <w:tcW w:type="dxa" w:w="240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후속 범위</w:t>
            </w:r>
          </w:p>
        </w:tc>
        <w:tc>
          <w:tcPr>
            <w:tcW w:type="dxa" w:w="746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이번 과업과의 관계</w:t>
            </w:r>
          </w:p>
        </w:tc>
      </w:tr>
      <w:tr>
        <w:trPr>
          <w:cantSplit/>
        </w:trPr>
        <w:tc>
          <w:tcPr>
            <w:tcW w:type="dxa" w:w="24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감리 검사와 전문 Finding</w:t>
            </w:r>
          </w:p>
        </w:tc>
        <w:tc>
          <w:tcPr>
            <w:tcW w:type="dxa" w:w="7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 PMS-SFR-019~022, PMS-IFR-003. 기준팩·독립 판단·외부 시험 연계는 후속 검토.</w:t>
            </w:r>
          </w:p>
        </w:tc>
      </w:tr>
      <w:tr>
        <w:trPr>
          <w:cantSplit/>
        </w:trPr>
        <w:tc>
          <w:tcPr>
            <w:tcW w:type="dxa" w:w="24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평가 분석과 레퍼런스</w:t>
            </w:r>
          </w:p>
        </w:tc>
        <w:tc>
          <w:tcPr>
            <w:tcW w:type="dxa" w:w="7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 PMS-SFR-027~028. 다면평가 분석·가중치·공유 권한을 갖춘 후 별도 검토.</w:t>
            </w:r>
          </w:p>
        </w:tc>
      </w:tr>
      <w:tr>
        <w:trPr>
          <w:cantSplit/>
        </w:trPr>
        <w:tc>
          <w:tcPr>
            <w:tcW w:type="dxa" w:w="24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성과 및 차기 발주</w:t>
            </w:r>
          </w:p>
        </w:tc>
        <w:tc>
          <w:tcPr>
            <w:tcW w:type="dxa" w:w="7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 PMS-SFR-032~034. 현재 RFP 문서 작성은 발주 준비이며 시스템의 차기 RFP 자동작성 기능 구현을 뜻하지 않음.</w:t>
            </w:r>
          </w:p>
        </w:tc>
      </w:tr>
      <w:tr>
        <w:trPr>
          <w:cantSplit/>
        </w:trPr>
        <w:tc>
          <w:tcPr>
            <w:tcW w:type="dxa" w:w="240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컨소시엄 및 다기관 확장</w:t>
            </w:r>
          </w:p>
        </w:tc>
        <w:tc>
          <w:tcPr>
            <w:tcW w:type="dxa" w:w="746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원 PMS-SFR-035~036. 업체 추천·기관별 서비스 반복 적용은 별도 범위·권한·대가 검토.</w:t>
            </w:r>
          </w:p>
        </w:tc>
      </w:tr>
    </w:tbl>
    <w:p>
      <w:pPr>
        <w:spacing w:after="20" w:line="40" w:lineRule="exact"/>
      </w:pPr>
    </w:p>
    <w:p>
      <w:pPr>
        <w:pStyle w:val="Heading3"/>
      </w:pPr>
      <w:r>
        <w:t>이번 요구사항 번호의 경계</w:t>
      </w:r>
    </w:p>
    <w:p>
      <w:r>
        <w:rPr>
          <w:rFonts w:ascii="맑은 고딕" w:hAnsi="맑은 고딕" w:eastAsia="맑은 고딕" w:cs="맑은 고딕"/>
          <w:b w:val="0"/>
          <w:color w:val="000000"/>
        </w:rPr>
        <w:t>기존 문서의 PMS-NFR·IFR·OPR·BMR 번호를 RFP의 SER·QUR·PER·INR·SIR·PMR·PSR·COR로 재분류하였다. 번호가 같아 보이더라도 서로 다른 문서의 번호를 혼용하지 않으며, 추적 시 원 요구 ID와 RFP ID를 함께 쓴다. 원 TBD-09는 후속 감리 모듈의 조건이며, 이번 구축사업 자체의 감리 적용 검토는 PG-11에서 별도로 수행한다.</w:t>
      </w:r>
    </w:p>
    <w:p>
      <w:pPr>
        <w:pStyle w:val="Heading2"/>
        <w:pageBreakBefore/>
      </w:pPr>
      <w:r>
        <w:t>별첨 6 테일러링 및 적용 자료</w:t>
      </w:r>
    </w:p>
    <w:p>
      <w:r>
        <w:rPr>
          <w:rFonts w:ascii="맑은 고딕" w:hAnsi="맑은 고딕" w:eastAsia="맑은 고딕" w:cs="맑은 고딕"/>
          <w:b w:val="0"/>
          <w:color w:val="000000"/>
        </w:rPr>
        <w:t>별도 테일러링 내역서는 참조사업 HWPX의 단계·활동·작업·산출물·비고 5열을 따르며, 원 74개 코드와 기초 문서 4개를 보존한다. 표준 가이드에 있으나 참조사업 목록에서 빠진 항목과 코드 차이를 별도로 대조한다. 통합·조건부·제외는 기관의 검토 및 근거 기록을 거쳐 확정한다.</w:t>
      </w:r>
    </w:p>
    <w:tbl>
      <w:tblPr>
        <w:tblW w:type="auto" w:w="0"/>
        <w:jc w:val="center"/>
        <w:tblLayout w:type="fixed"/>
        <w:tblLook w:firstColumn="1" w:firstRow="1" w:lastColumn="0" w:lastRow="0" w:noHBand="0" w:noVBand="1" w:val="04A0"/>
        <w:tblBorders>
          <w:top w:val="single" w:sz="5" w:color="A9A9A9"/>
          <w:left w:val="single" w:sz="5" w:color="A9A9A9"/>
          <w:bottom w:val="single" w:sz="5" w:color="A9A9A9"/>
          <w:right w:val="single" w:sz="5" w:color="A9A9A9"/>
          <w:insideH w:val="single" w:sz="5" w:color="A9A9A9"/>
          <w:insideV w:val="single" w:sz="5" w:color="A9A9A9"/>
        </w:tblBorders>
      </w:tblPr>
      <w:tblGrid>
        <w:gridCol w:w="3440"/>
        <w:gridCol w:w="6420"/>
      </w:tblGrid>
      <w:tr>
        <w:trPr>
          <w:cantSplit/>
          <w:tblHeader/>
        </w:trPr>
        <w:tc>
          <w:tcPr>
            <w:tcW w:type="dxa" w:w="344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자료</w:t>
            </w:r>
          </w:p>
        </w:tc>
        <w:tc>
          <w:tcPr>
            <w:tcW w:type="dxa" w:w="6420"/>
            <w:vAlign w:val="center"/>
            <w:tcMar>
              <w:top w:w="40" w:type="dxa"/>
              <w:bottom w:w="40" w:type="dxa"/>
              <w:left w:w="75" w:type="dxa"/>
              <w:right w:w="75" w:type="dxa"/>
            </w:tcMar>
            <w:shd w:fill="E8EDF2"/>
          </w:tcPr>
          <w:p>
            <w:pPr>
              <w:spacing w:after="0" w:line="270" w:lineRule="exact"/>
              <w:keepNext/>
              <w:snapToGrid w:val="false"/>
            </w:pPr>
            <w:r>
              <w:rPr>
                <w:rFonts w:ascii="맑은 고딕" w:hAnsi="맑은 고딕" w:eastAsia="맑은 고딕" w:cs="맑은 고딕"/>
                <w:b/>
                <w:color w:val="000000"/>
                <w:sz w:val="20"/>
              </w:rPr>
              <w:t>확인 범위 및 적용</w:t>
            </w:r>
          </w:p>
        </w:tc>
      </w:tr>
      <w:tr>
        <w:trPr>
          <w:cantSplit/>
        </w:trPr>
        <w:tc>
          <w:tcPr>
            <w:tcW w:type="dxa" w:w="34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L01 PP11-1 테일러링 내역서 v1.0</w:t>
            </w:r>
          </w:p>
        </w:tc>
        <w:tc>
          <w:tcPr>
            <w:tcW w:type="dxa" w:w="64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참조사업의 HWPX 실제 표 구조·산출물 코드. 해당 사업의 기간·승인·범위를 신규 사업에 승계하지 않는다.</w:t>
            </w:r>
          </w:p>
        </w:tc>
      </w:tr>
      <w:tr>
        <w:trPr>
          <w:cantSplit/>
        </w:trPr>
        <w:tc>
          <w:tcPr>
            <w:tcW w:type="dxa" w:w="34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L02 정보시스템 개발 표준 가이드 v1.1</w:t>
            </w:r>
          </w:p>
        </w:tc>
        <w:tc>
          <w:tcPr>
            <w:tcW w:type="dxa" w:w="64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PDF 10쪽 테일러링 절차, 74~78쪽 상세 산출물표. 비해당 산출물도 협의·근거 제출을 요구하는 조건을 반영한다.</w:t>
            </w:r>
          </w:p>
        </w:tc>
      </w:tr>
      <w:tr>
        <w:trPr>
          <w:cantSplit/>
        </w:trPr>
        <w:tc>
          <w:tcPr>
            <w:tcW w:type="dxa" w:w="34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L04 과업 및 제안요청서</w:t>
            </w:r>
          </w:p>
        </w:tc>
        <w:tc>
          <w:tcPr>
            <w:tcW w:type="dxa" w:w="64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PDF 2쪽의 7장 구성, 8~11쪽 분류·요구사항 표를 참조한다. 예산·일정·장비·특정 플랫폼 규격은 승계하지 않는다.</w:t>
            </w:r>
          </w:p>
        </w:tc>
      </w:tr>
      <w:tr>
        <w:trPr>
          <w:cantSplit/>
        </w:trPr>
        <w:tc>
          <w:tcPr>
            <w:tcW w:type="dxa" w:w="344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기존 요구·범위 문서</w:t>
            </w:r>
          </w:p>
        </w:tc>
        <w:tc>
          <w:tcPr>
            <w:tcW w:type="dxa" w:w="6420"/>
            <w:vAlign w:val="center"/>
            <w:tcMar>
              <w:top w:w="40" w:type="dxa"/>
              <w:bottom w:w="40" w:type="dxa"/>
              <w:left w:w="75" w:type="dxa"/>
              <w:right w:w="75" w:type="dxa"/>
            </w:tcMar>
          </w:tcPr>
          <w:p>
            <w:pPr>
              <w:spacing w:after="0" w:line="270" w:lineRule="exact"/>
              <w:keepNext w:val="0"/>
              <w:snapToGrid w:val="false"/>
            </w:pPr>
            <w:r>
              <w:rPr>
                <w:rFonts w:ascii="맑은 고딕" w:hAnsi="맑은 고딕" w:eastAsia="맑은 고딕" w:cs="맑은 고딕"/>
                <w:b w:val="0"/>
                <w:color w:val="000000"/>
                <w:sz w:val="20"/>
              </w:rPr>
              <w:t>요구사항 원장 2026.09.10 v0.1 및 1차 개발범위 2026.09.11 v0.1을 원 요구 추적 기준으로 사용한다.</w:t>
            </w:r>
          </w:p>
        </w:tc>
      </w:tr>
    </w:tbl>
    <w:p>
      <w:pPr>
        <w:spacing w:after="20" w:line="40" w:lineRule="exact"/>
      </w:pPr>
    </w:p>
    <w:p>
      <w:pPr>
        <w:pStyle w:val="Heading3"/>
      </w:pPr>
      <w:r>
        <w:t>법령과 지침의 적용본 확인</w:t>
      </w:r>
    </w:p>
    <w:p>
      <w:r>
        <w:rPr>
          <w:rFonts w:ascii="맑은 고딕" w:hAnsi="맑은 고딕" w:eastAsia="맑은 고딕" w:cs="맑은 고딕"/>
          <w:b w:val="0"/>
          <w:color w:val="000000"/>
        </w:rPr>
        <w:t>아래 공식 페이지에서 지침명과 시행본 표시를 확인하였다. 구체 조문·별표·서식의 적용과 이후 개정 여부는 공고 전 기관의 계약·법무 검토에서 확정한다. 온라인 본문 열람이 제한된 부분은 조문 검증 완료로 표시하지 않았다. 조사일은 2026년 9월 11일이다.</w:t>
      </w:r>
    </w:p>
    <w:p>
      <w:hyperlink r:id="rId10">
        <w:r>
          <w:rPr>
            <w:color w:val="1F4E79"/>
          </w:rPr>
          <w:t>소프트웨어사업 계약 및 관리감독에 관한 지침 2023년 5월 15일 시행본</w:t>
        </w:r>
      </w:hyperlink>
    </w:p>
    <w:p>
      <w:hyperlink r:id="rId11">
        <w:r>
          <w:rPr>
            <w:color w:val="1F4E79"/>
          </w:rPr>
          <w:t>행정기관 및 공공기관 정보시스템 구축 운영 지침 2025년 1월 2일 시행본</w:t>
        </w:r>
      </w:hyperlink>
    </w:p>
    <w:p>
      <w:hyperlink r:id="rId12">
        <w:r>
          <w:rPr>
            <w:color w:val="1F4E79"/>
          </w:rPr>
          <w:t>행정안전부 2025년 1월 2일 개정 고시 안내</w:t>
        </w:r>
      </w:hyperlink>
    </w:p>
    <w:sectPr w:rsidR="00FC693F" w:rsidRPr="0006063C" w:rsidSect="00034616">
      <w:footerReference w:type="default" r:id="rId9"/>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color w:val="000000"/>
        <w:sz w:val="16"/>
      </w:rPr>
      <w:t xml:space="preserve">공공 정보화사업 이행관리 및 AI 검토지원 구축 제안요청서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before="0"/>
    </w:pPr>
    <w:rPr>
      <w:rFonts w:ascii="맑은 고딕" w:hAnsi="맑은 고딕" w:eastAsia="맑은 고딕" w:cs="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맑은 고딕" w:hAnsi="맑은 고딕" w:eastAsia="맑은 고딕" w:cs="맑은 고딕"/>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맑은 고딕" w:hAnsi="맑은 고딕" w:eastAsia="맑은 고딕" w:cs="맑은 고딕"/>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9" w:lineRule="auto"/>
      <w:outlineLvl w:val="0"/>
    </w:pPr>
    <w:rPr>
      <w:rFonts w:asciiTheme="majorHAnsi" w:eastAsiaTheme="majorEastAsia" w:hAnsiTheme="majorHAnsi" w:cstheme="majorBidi" w:ascii="맑은 고딕" w:hAnsi="맑은 고딕" w:eastAsia="맑은 고딕" w:cs="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69" w:lineRule="auto"/>
      <w:outlineLvl w:val="1"/>
    </w:pPr>
    <w:rPr>
      <w:rFonts w:asciiTheme="majorHAnsi" w:eastAsiaTheme="majorEastAsia" w:hAnsiTheme="majorHAnsi" w:cstheme="majorBidi" w:ascii="맑은 고딕" w:hAnsi="맑은 고딕" w:eastAsia="맑은 고딕" w:cs="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line="269" w:lineRule="auto"/>
      <w:outlineLvl w:val="2"/>
    </w:pPr>
    <w:rPr>
      <w:rFonts w:asciiTheme="majorHAnsi" w:eastAsiaTheme="majorEastAsia" w:hAnsiTheme="majorHAnsi" w:cstheme="majorBidi" w:ascii="맑은 고딕" w:hAnsi="맑은 고딕" w:eastAsia="맑은 고딕" w:cs="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맑은 고딕" w:hAnsi="맑은 고딕" w:eastAsia="맑은 고딕" w:cs="맑은 고딕"/>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0"/>
      <w:contextualSpacing/>
    </w:pPr>
    <w:rPr>
      <w:rFonts w:asciiTheme="majorHAnsi" w:eastAsiaTheme="majorEastAsia" w:hAnsiTheme="majorHAnsi" w:cstheme="majorBidi" w:ascii="맑은 고딕" w:hAnsi="맑은 고딕" w:eastAsia="맑은 고딕" w:cs="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맑은 고딕" w:hAnsi="맑은 고딕" w:eastAsia="맑은 고딕" w:cs="맑은 고딕"/>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맑은 고딕" w:hAnsi="맑은 고딕" w:eastAsia="맑은 고딕" w:cs="맑은 고딕"/>
      <w:color w:val="000000"/>
    </w:rPr>
  </w:style>
  <w:style w:type="paragraph" w:styleId="BodyText">
    <w:name w:val="Body Text"/>
    <w:basedOn w:val="Normal"/>
    <w:link w:val="BodyTextChar"/>
    <w:uiPriority w:val="99"/>
    <w:unhideWhenUsed/>
    <w:rsid w:val="00AA1D8D"/>
    <w:pPr>
      <w:spacing w:after="120"/>
    </w:pPr>
    <w:rPr>
      <w:rFonts w:ascii="맑은 고딕" w:hAnsi="맑은 고딕" w:eastAsia="맑은 고딕" w:cs="맑은 고딕"/>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맑은 고딕" w:hAnsi="맑은 고딕" w:eastAsia="맑은 고딕" w:cs="맑은 고딕"/>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맑은 고딕" w:hAnsi="맑은 고딕" w:eastAsia="맑은 고딕" w:cs="맑은 고딕"/>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맑은 고딕" w:hAnsi="맑은 고딕" w:eastAsia="맑은 고딕" w:cs="맑은 고딕"/>
      <w:color w:val="000000"/>
    </w:rPr>
  </w:style>
  <w:style w:type="paragraph" w:styleId="List2">
    <w:name w:val="List 2"/>
    <w:basedOn w:val="Normal"/>
    <w:uiPriority w:val="99"/>
    <w:unhideWhenUsed/>
    <w:rsid w:val="00326F90"/>
    <w:pPr>
      <w:ind w:left="720" w:hanging="360"/>
      <w:contextualSpacing/>
    </w:pPr>
    <w:rPr>
      <w:rFonts w:ascii="맑은 고딕" w:hAnsi="맑은 고딕" w:eastAsia="맑은 고딕" w:cs="맑은 고딕"/>
      <w:color w:val="000000"/>
    </w:rPr>
  </w:style>
  <w:style w:type="paragraph" w:styleId="List3">
    <w:name w:val="List 3"/>
    <w:basedOn w:val="Normal"/>
    <w:uiPriority w:val="99"/>
    <w:unhideWhenUsed/>
    <w:rsid w:val="00326F90"/>
    <w:pPr>
      <w:ind w:left="1080" w:hanging="360"/>
      <w:contextualSpacing/>
    </w:pPr>
    <w:rPr>
      <w:rFonts w:ascii="맑은 고딕" w:hAnsi="맑은 고딕" w:eastAsia="맑은 고딕" w:cs="맑은 고딕"/>
      <w:color w:val="000000"/>
    </w:rPr>
  </w:style>
  <w:style w:type="paragraph" w:styleId="ListBullet">
    <w:name w:val="List Bullet"/>
    <w:basedOn w:val="Normal"/>
    <w:uiPriority w:val="99"/>
    <w:unhideWhenUsed/>
    <w:rsid w:val="00326F90"/>
    <w:pPr>
      <w:numPr>
        <w:numId w:val="1"/>
      </w:numPr>
      <w:spacing w:after="100" w:line="293" w:lineRule="auto"/>
      <w:contextualSpacing/>
    </w:pPr>
    <w:rPr>
      <w:rFonts w:ascii="맑은 고딕" w:hAnsi="맑은 고딕" w:eastAsia="맑은 고딕" w:cs="맑은 고딕"/>
      <w:color w:val="000000"/>
    </w:rPr>
  </w:style>
  <w:style w:type="paragraph" w:styleId="ListBullet2">
    <w:name w:val="List Bullet 2"/>
    <w:basedOn w:val="Normal"/>
    <w:uiPriority w:val="99"/>
    <w:unhideWhenUsed/>
    <w:rsid w:val="00326F90"/>
    <w:pPr>
      <w:numPr>
        <w:numId w:val="2"/>
      </w:numPr>
      <w:contextualSpacing/>
    </w:pPr>
    <w:rPr>
      <w:rFonts w:ascii="맑은 고딕" w:hAnsi="맑은 고딕" w:eastAsia="맑은 고딕" w:cs="맑은 고딕"/>
      <w:color w:val="000000"/>
    </w:rPr>
  </w:style>
  <w:style w:type="paragraph" w:styleId="ListBullet3">
    <w:name w:val="List Bullet 3"/>
    <w:basedOn w:val="Normal"/>
    <w:uiPriority w:val="99"/>
    <w:unhideWhenUsed/>
    <w:rsid w:val="00326F90"/>
    <w:pPr>
      <w:numPr>
        <w:numId w:val="3"/>
      </w:numPr>
      <w:contextualSpacing/>
    </w:pPr>
    <w:rPr>
      <w:rFonts w:ascii="맑은 고딕" w:hAnsi="맑은 고딕" w:eastAsia="맑은 고딕" w:cs="맑은 고딕"/>
      <w:color w:val="000000"/>
    </w:rPr>
  </w:style>
  <w:style w:type="paragraph" w:styleId="ListNumber">
    <w:name w:val="List Number"/>
    <w:basedOn w:val="Normal"/>
    <w:uiPriority w:val="99"/>
    <w:unhideWhenUsed/>
    <w:rsid w:val="00326F90"/>
    <w:pPr>
      <w:numPr>
        <w:numId w:val="5"/>
      </w:numPr>
      <w:spacing w:after="100" w:line="293" w:lineRule="auto"/>
      <w:contextualSpacing/>
    </w:pPr>
    <w:rPr>
      <w:rFonts w:ascii="맑은 고딕" w:hAnsi="맑은 고딕" w:eastAsia="맑은 고딕" w:cs="맑은 고딕"/>
      <w:color w:val="000000"/>
    </w:rPr>
  </w:style>
  <w:style w:type="paragraph" w:styleId="ListNumber2">
    <w:name w:val="List Number 2"/>
    <w:basedOn w:val="Normal"/>
    <w:uiPriority w:val="99"/>
    <w:unhideWhenUsed/>
    <w:rsid w:val="0029639D"/>
    <w:pPr>
      <w:numPr>
        <w:numId w:val="6"/>
      </w:numPr>
      <w:contextualSpacing/>
    </w:pPr>
    <w:rPr>
      <w:rFonts w:ascii="맑은 고딕" w:hAnsi="맑은 고딕" w:eastAsia="맑은 고딕" w:cs="맑은 고딕"/>
      <w:color w:val="000000"/>
    </w:rPr>
  </w:style>
  <w:style w:type="paragraph" w:styleId="ListNumber3">
    <w:name w:val="List Number 3"/>
    <w:basedOn w:val="Normal"/>
    <w:uiPriority w:val="99"/>
    <w:unhideWhenUsed/>
    <w:rsid w:val="0029639D"/>
    <w:pPr>
      <w:numPr>
        <w:numId w:val="7"/>
      </w:numPr>
      <w:contextualSpacing/>
    </w:pPr>
    <w:rPr>
      <w:rFonts w:ascii="맑은 고딕" w:hAnsi="맑은 고딕" w:eastAsia="맑은 고딕" w:cs="맑은 고딕"/>
      <w:color w:val="000000"/>
    </w:rPr>
  </w:style>
  <w:style w:type="paragraph" w:styleId="ListContinue">
    <w:name w:val="List Continue"/>
    <w:basedOn w:val="Normal"/>
    <w:uiPriority w:val="99"/>
    <w:unhideWhenUsed/>
    <w:rsid w:val="0029639D"/>
    <w:pPr>
      <w:spacing w:after="120"/>
      <w:ind w:left="360"/>
      <w:contextualSpacing/>
    </w:pPr>
    <w:rPr>
      <w:rFonts w:ascii="맑은 고딕" w:hAnsi="맑은 고딕" w:eastAsia="맑은 고딕" w:cs="맑은 고딕"/>
      <w:color w:val="000000"/>
    </w:rPr>
  </w:style>
  <w:style w:type="paragraph" w:styleId="ListContinue2">
    <w:name w:val="List Continue 2"/>
    <w:basedOn w:val="Normal"/>
    <w:uiPriority w:val="99"/>
    <w:unhideWhenUsed/>
    <w:rsid w:val="0029639D"/>
    <w:pPr>
      <w:spacing w:after="120"/>
      <w:ind w:left="720"/>
      <w:contextualSpacing/>
    </w:pPr>
    <w:rPr>
      <w:rFonts w:ascii="맑은 고딕" w:hAnsi="맑은 고딕" w:eastAsia="맑은 고딕" w:cs="맑은 고딕"/>
      <w:color w:val="000000"/>
    </w:rPr>
  </w:style>
  <w:style w:type="paragraph" w:styleId="ListContinue3">
    <w:name w:val="List Continue 3"/>
    <w:basedOn w:val="Normal"/>
    <w:uiPriority w:val="99"/>
    <w:unhideWhenUsed/>
    <w:rsid w:val="0029639D"/>
    <w:pPr>
      <w:spacing w:after="120"/>
      <w:ind w:left="1080"/>
      <w:contextualSpacing/>
    </w:pPr>
    <w:rPr>
      <w:rFonts w:ascii="맑은 고딕" w:hAnsi="맑은 고딕" w:eastAsia="맑은 고딕" w:cs="맑은 고딕"/>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eastAsia="맑은 고딕" w:cs="맑은 고딕"/>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cs="맑은 고딕"/>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cs="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맑은 고딕" w:hAnsi="맑은 고딕" w:eastAsia="맑은 고딕" w:cs="맑은 고딕"/>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맑은 고딕" w:hAnsi="맑은 고딕" w:eastAsia="맑은 고딕" w:cs="맑은 고딕"/>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140"/>
    </w:pPr>
    <w:rPr>
      <w:rFonts w:ascii="맑은 고딕" w:hAnsi="맑은 고딕"/>
      <w:color w:val="000000"/>
      <w:sz w:val="22"/>
    </w:rPr>
  </w:style>
  <w:style w:type="paragraph" w:customStyle="1" w:styleId="TOC2">
    <w:name w:val="TOC 2"/>
    <w:pPr>
      <w:spacing w:after="140"/>
    </w:pPr>
    <w:rPr>
      <w:rFonts w:ascii="맑은 고딕" w:hAnsi="맑은 고딕"/>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aw.go.kr/LSW/admRulInfoP.do?admRulSeq=2100000223356" TargetMode="External"/><Relationship Id="rId11" Type="http://schemas.openxmlformats.org/officeDocument/2006/relationships/hyperlink" Target="https://www.law.go.kr/LSW/admRulInfoP.do?admRulSeq=2100000252582&amp;chrClsCd=010201" TargetMode="External"/><Relationship Id="rId12" Type="http://schemas.openxmlformats.org/officeDocument/2006/relationships/hyperlink" Target="https://www.mois.go.kr/frt/bbs/type001/commonSelectBoardArticle.do?bbsId=BBSMSTR_000000000016&amp;nttId=114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 정보화사업 이행관리 및 AI 검토지원 구축 제안요청서</dc:title>
  <dc:subject>공공 정보화사업 이행관리와 AI 검토지원 발주 문서</dc:subject>
  <dc:creator/>
  <cp:keywords>공공 RFP, 테일러링, 설계, 검토안</cp:keywords>
  <dc:description>generated by python-docx</dc:description>
  <cp:lastModifiedBy/>
  <cp:revision>1</cp:revision>
  <dcterms:created xsi:type="dcterms:W3CDTF">2013-12-23T23:15:00Z</dcterms:created>
  <dcterms:modified xsi:type="dcterms:W3CDTF">2013-12-23T23:15:00Z</dcterms:modified>
  <cp:category/>
</cp:coreProperties>
</file>