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Public AI PMS 미확정 사항 검토표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2026년 9월 11일  |  v0.1  |  기관 검토용 설계안</w:t>
      </w:r>
    </w:p>
    <w:p>
      <w:r>
        <w:rPr>
          <w:rFonts w:ascii="맑은 고딕" w:hAnsi="맑은 고딕" w:eastAsia="맑은 고딕" w:cs="맑은 고딕"/>
          <w:b/>
          <w:color w:val="000000"/>
        </w:rPr>
        <w:t>기관 담당자와 CCK 책임자는 아래 14개 항목을 검토해 실제 적용 범위와 수용 조건을 결정한다. 우선 대상 사업·권한·자료·기존 로컬 환경을 확인하고, 가격과 품질 목표는 그 근거를 바탕으로 정한다.</w:t>
      </w:r>
    </w:p>
    <w:p>
      <w:pPr>
        <w:pStyle w:val="Heading1"/>
      </w:pPr>
      <w:r>
        <w:t>1 검토의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0"/>
        <w:gridCol w:w="8220"/>
      </w:tblGrid>
      <w:tr>
        <w:trPr>
          <w:cantSplit/>
          <w:tblHeader w:val="true"/>
        </w:trPr>
        <w:tc>
          <w:tcPr>
            <w:tcW w:type="dxa" w:w="1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적용 원칙</w:t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문서 관계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2026년 9월 10일 요구사항 분석서·명세서 v0.1과 함께 사용한다. TBD 식별자와 원정의를 유지한다.</w:t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현재 상태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14개 항목 모두 미확정. 아래 권고안은 검토 출발점이며 기관의 선택이나 승인 사실이 아니다.</w:t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책임 배정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책임자 명칭은 역할 제안이다. 실제 담당·검토·결정권자를 기관과 제공자가 배정한다.</w:t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종결 방식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한 TBD 안에서도 기관·연차·목적별 하위 조건을 나누어 종결한다. 일부 확정을 전체 확정으로 표시하지 않는다.</w:t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이번 반영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프로젝트 지침 U-INFRA-01: 기존 로컬 서버 사용, 신규 인프라 투자비 0원. 사용권·용량·성능은 별도 확인한다.</w:t>
            </w:r>
          </w:p>
        </w:tc>
      </w:tr>
    </w:tbl>
    <w:p>
      <w:pPr>
        <w:spacing w:after="40" w:before="0" w:line="40" w:lineRule="exact"/>
      </w:pPr>
      <w:r>
        <w:rPr>
          <w:rFonts w:ascii="맑은 고딕" w:hAnsi="맑은 고딕" w:eastAsia="맑은 고딕" w:cs="맑은 고딕"/>
          <w:color w:val="000000"/>
          <w:sz w:val="4"/>
        </w:rPr>
      </w:r>
    </w:p>
    <w:p>
      <w:pPr>
        <w:pStyle w:val="Heading1"/>
      </w:pPr>
      <w:r>
        <w:t>2 의사결정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0"/>
        <w:gridCol w:w="2900"/>
        <w:gridCol w:w="5660"/>
      </w:tblGrid>
      <w:tr>
        <w:trPr>
          <w:cantSplit/>
          <w:tblHeader w:val="true"/>
        </w:trPr>
        <w:tc>
          <w:tcPr>
            <w:tcW w:type="dxa" w:w="16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차례</w:t>
            </w:r>
          </w:p>
        </w:tc>
        <w:tc>
          <w:tcPr>
            <w:tcW w:type="dxa" w:w="29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우선 확인</w:t>
            </w:r>
          </w:p>
        </w:tc>
        <w:tc>
          <w:tcPr>
            <w:tcW w:type="dxa" w:w="56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다음 판단에 주는 정보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1 대상과 권한</w:t>
            </w:r>
          </w:p>
        </w:tc>
        <w:tc>
          <w:tcPr>
            <w:tcW w:type="dxa" w:w="29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TBD-01·02·03·07</w:t>
            </w:r>
          </w:p>
        </w:tc>
        <w:tc>
          <w:tcPr>
            <w:tcW w:type="dxa" w:w="56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누가 어떤 사업·자료에 대해 무엇을 결정할 수 있는가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2 제공 가능 범위</w:t>
            </w:r>
          </w:p>
        </w:tc>
        <w:tc>
          <w:tcPr>
            <w:tcW w:type="dxa" w:w="29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TBD-04·10·14</w:t>
            </w:r>
          </w:p>
        </w:tc>
        <w:tc>
          <w:tcPr>
            <w:tcW w:type="dxa" w:w="56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처리할 문서와 기존 환경, 연계 가능 범위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3 수용과 운영</w:t>
            </w:r>
          </w:p>
        </w:tc>
        <w:tc>
          <w:tcPr>
            <w:tcW w:type="dxa" w:w="29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TBD-05·06·08·13</w:t>
            </w:r>
          </w:p>
        </w:tc>
        <w:tc>
          <w:tcPr>
            <w:tcW w:type="dxa" w:w="56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검토 품질, 평가 수집, 기한, 사용성 조건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4 대가와 효과</w:t>
            </w:r>
          </w:p>
        </w:tc>
        <w:tc>
          <w:tcPr>
            <w:tcW w:type="dxa" w:w="29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TBD-11·12</w:t>
            </w:r>
          </w:p>
        </w:tc>
        <w:tc>
          <w:tcPr>
            <w:tcW w:type="dxa" w:w="56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실제 공급 범위의 원가와 측정할 순편익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후속 감리</w:t>
            </w:r>
          </w:p>
        </w:tc>
        <w:tc>
          <w:tcPr>
            <w:tcW w:type="dxa" w:w="29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TBD-09</w:t>
            </w:r>
          </w:p>
        </w:tc>
        <w:tc>
          <w:tcPr>
            <w:tcW w:type="dxa" w:w="56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Y2 감리 적용·독립성·검사 범위</w:t>
            </w:r>
          </w:p>
        </w:tc>
      </w:tr>
    </w:tbl>
    <w:p>
      <w:pPr>
        <w:spacing w:after="40" w:before="0" w:line="40" w:lineRule="exact"/>
      </w:pPr>
      <w:r>
        <w:rPr>
          <w:rFonts w:ascii="맑은 고딕" w:hAnsi="맑은 고딕" w:eastAsia="맑은 고딕" w:cs="맑은 고딕"/>
          <w:color w:val="000000"/>
          <w:sz w:val="4"/>
        </w:rPr>
      </w:r>
    </w:p>
    <w:p>
      <w:r>
        <w:rPr>
          <w:rFonts w:ascii="맑은 고딕" w:hAnsi="맑은 고딕" w:eastAsia="맑은 고딕" w:cs="맑은 고딕"/>
          <w:b w:val="0"/>
          <w:color w:val="000000"/>
        </w:rPr>
        <w:t>상호 의존하는 항목은 반복 검토한다. 일정 경과·답변 없음·문서 작성 완료를 승인으로 간주하지 않는다. 설계 문서 작성과 실제 자료 처리·평가 시행의 조건을 구분한다.</w:t>
      </w:r>
    </w:p>
    <w:p>
      <w:pPr>
        <w:pStyle w:val="Heading1"/>
        <w:pageBreakBefore/>
      </w:pPr>
      <w:r>
        <w:t>3 항목별 검토 1부터 2</w:t>
      </w:r>
    </w:p>
    <w:p>
      <w:pPr>
        <w:pStyle w:val="Heading2"/>
      </w:pPr>
      <w:r>
        <w:t>TBD 01 대상과 사업 경계</w:t>
      </w:r>
    </w:p>
    <w:p>
      <w:r>
        <w:rPr>
          <w:rFonts w:ascii="맑은 고딕" w:hAnsi="맑은 고딕" w:eastAsia="맑은 고딕" w:cs="맑은 고딕"/>
          <w:b/>
          <w:color w:val="000000"/>
        </w:rPr>
        <w:t>원정의: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첫 기관·대상 사업·업무 근거·기존 사업과의 경계</w:t>
      </w:r>
    </w:p>
    <w:p>
      <w:r>
        <w:rPr>
          <w:rFonts w:ascii="맑은 고딕" w:hAnsi="맑은 고딕" w:eastAsia="맑은 고딕" w:cs="맑은 고딕"/>
          <w:b/>
          <w:color w:val="000000"/>
        </w:rPr>
        <w:t>책임 역할: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기관 기획·정보화 책임자  |  </w:t>
      </w:r>
      <w:r>
        <w:rPr>
          <w:rFonts w:ascii="맑은 고딕" w:hAnsi="맑은 고딕" w:eastAsia="맑은 고딕" w:cs="맑은 고딕"/>
          <w:b/>
          <w:color w:val="000000"/>
        </w:rPr>
        <w:t>기한: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기관별 요구사항 기준선 확정 전</w:t>
      </w:r>
    </w:p>
    <w:p>
      <w:r>
        <w:rPr>
          <w:rFonts w:ascii="맑은 고딕" w:hAnsi="맑은 고딕" w:eastAsia="맑은 고딕" w:cs="맑은 고딕"/>
          <w:b/>
          <w:color w:val="000000"/>
        </w:rPr>
        <w:t>확보할 근거: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대상 서비스·계약 목록, 업무 근거, 기존 자산/사업 대조</w:t>
      </w:r>
    </w:p>
    <w:p>
      <w:r>
        <w:rPr>
          <w:rFonts w:ascii="맑은 고딕" w:hAnsi="맑은 고딕" w:eastAsia="맑은 고딕" w:cs="맑은 고딕"/>
          <w:b/>
          <w:color w:val="000000"/>
        </w:rPr>
        <w:t>권고안과 대안: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기관 단위 서비스 안에서 한 사업·한 산출물 흐름을 먼저 검토한다. 여러 기관 동시 적용은 후속안으로 둔다.</w:t>
      </w:r>
    </w:p>
    <w:p>
      <w:r>
        <w:rPr>
          <w:rFonts w:ascii="맑은 고딕" w:hAnsi="맑은 고딕" w:eastAsia="맑은 고딕" w:cs="맑은 고딕"/>
          <w:b/>
          <w:color w:val="000000"/>
        </w:rPr>
        <w:t>종결 기준: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대상 서비스·계약·수행조직·국민 영향과 기존 과업의 차이를 기관 책임자가 확인한다.</w:t>
      </w:r>
    </w:p>
    <w:p>
      <w:r>
        <w:rPr>
          <w:rFonts w:ascii="맑은 고딕" w:hAnsi="맑은 고딕" w:eastAsia="맑은 고딕" w:cs="맑은 고딕"/>
          <w:b/>
          <w:color w:val="000000"/>
        </w:rPr>
        <w:t>미확정 시 처리: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대상별 상세범위·견적·신규사업 확정을 보류한다. 문서 모델의 정리는 계속한다.</w:t>
      </w:r>
    </w:p>
    <w:p>
      <w:r>
        <w:rPr>
          <w:rFonts w:ascii="맑은 고딕" w:hAnsi="맑은 고딕" w:eastAsia="맑은 고딕" w:cs="맑은 고딕"/>
          <w:b/>
          <w:color w:val="000000"/>
        </w:rPr>
        <w:t>직접 연결: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Y1 3개 · Y2 0개 · Y3 1개. 공통 정책 영향은 추가 검토. </w:t>
      </w:r>
      <w:r>
        <w:rPr>
          <w:rFonts w:ascii="맑은 고딕" w:hAnsi="맑은 고딕" w:eastAsia="맑은 고딕" w:cs="맑은 고딕"/>
          <w:b/>
          <w:color w:val="000000"/>
        </w:rPr>
        <w:t>현재 결정: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미확정.</w:t>
      </w:r>
    </w:p>
    <w:p>
      <w:pPr>
        <w:pStyle w:val="Heading2"/>
      </w:pPr>
      <w:r>
        <w:t>TBD 02 역할과 판단 권한</w:t>
      </w:r>
    </w:p>
    <w:p>
      <w:r>
        <w:rPr>
          <w:rFonts w:ascii="맑은 고딕" w:hAnsi="맑은 고딕" w:eastAsia="맑은 고딕" w:cs="맑은 고딕"/>
          <w:b/>
          <w:color w:val="000000"/>
        </w:rPr>
        <w:t>원정의: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권한·위임·승인·예외 및 이해충돌 처리</w:t>
      </w:r>
    </w:p>
    <w:p>
      <w:r>
        <w:rPr>
          <w:rFonts w:ascii="맑은 고딕" w:hAnsi="맑은 고딕" w:eastAsia="맑은 고딕" w:cs="맑은 고딕"/>
          <w:b/>
          <w:color w:val="000000"/>
        </w:rPr>
        <w:t>책임 역할: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기관 서비스 책임자·계약/보안 담당  |  </w:t>
      </w:r>
      <w:r>
        <w:rPr>
          <w:rFonts w:ascii="맑은 고딕" w:hAnsi="맑은 고딕" w:eastAsia="맑은 고딕" w:cs="맑은 고딕"/>
          <w:b/>
          <w:color w:val="000000"/>
        </w:rPr>
        <w:t>기한: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업무·권한 기준선 확정 전</w:t>
      </w:r>
    </w:p>
    <w:p>
      <w:r>
        <w:rPr>
          <w:rFonts w:ascii="맑은 고딕" w:hAnsi="맑은 고딕" w:eastAsia="맑은 고딕" w:cs="맑은 고딕"/>
          <w:b/>
          <w:color w:val="000000"/>
        </w:rPr>
        <w:t>확보할 근거: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역할-자료-행위 권한표와 대행·퇴직·회수 규칙</w:t>
      </w:r>
    </w:p>
    <w:p>
      <w:r>
        <w:rPr>
          <w:rFonts w:ascii="맑은 고딕" w:hAnsi="맑은 고딕" w:eastAsia="맑은 고딕" w:cs="맑은 고딕"/>
          <w:b/>
          <w:color w:val="000000"/>
        </w:rPr>
        <w:t>권고안과 대안: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작성·검토·확정 권한을 역할별로 구분하고 대행·회수 규칙을 둔다. 전원 관리자 방식은 채택하지 않는다.</w:t>
      </w:r>
    </w:p>
    <w:p>
      <w:r>
        <w:rPr>
          <w:rFonts w:ascii="맑은 고딕" w:hAnsi="맑은 고딕" w:eastAsia="맑은 고딕" w:cs="맑은 고딕"/>
          <w:b/>
          <w:color w:val="000000"/>
        </w:rPr>
        <w:t>종결 기준: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자료 유형·행위·유효기간별 권한표와 자기 평가 회피·대체 검토자를 지정한다.</w:t>
      </w:r>
    </w:p>
    <w:p>
      <w:r>
        <w:rPr>
          <w:rFonts w:ascii="맑은 고딕" w:hAnsi="맑은 고딕" w:eastAsia="맑은 고딕" w:cs="맑은 고딕"/>
          <w:b/>
          <w:color w:val="000000"/>
        </w:rPr>
        <w:t>미확정 시 처리: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실자료를 이용하는 공동 업무와 평가를 시작하지 않는다.</w:t>
      </w:r>
    </w:p>
    <w:p>
      <w:r>
        <w:rPr>
          <w:rFonts w:ascii="맑은 고딕" w:hAnsi="맑은 고딕" w:eastAsia="맑은 고딕" w:cs="맑은 고딕"/>
          <w:b/>
          <w:color w:val="000000"/>
        </w:rPr>
        <w:t>직접 연결: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Y1 7개 · Y2 0개 · Y3 0개. 공통 정책 영향은 추가 검토. </w:t>
      </w:r>
      <w:r>
        <w:rPr>
          <w:rFonts w:ascii="맑은 고딕" w:hAnsi="맑은 고딕" w:eastAsia="맑은 고딕" w:cs="맑은 고딕"/>
          <w:b/>
          <w:color w:val="000000"/>
        </w:rPr>
        <w:t>현재 결정: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미확정.</w:t>
      </w:r>
    </w:p>
    <w:p>
      <w:pPr>
        <w:pStyle w:val="Heading1"/>
        <w:pageBreakBefore/>
      </w:pPr>
      <w:r>
        <w:t>4 항목별 검토 3부터 4</w:t>
      </w:r>
    </w:p>
    <w:p>
      <w:pPr>
        <w:pStyle w:val="Heading2"/>
      </w:pPr>
      <w:r>
        <w:t>TBD 03 기준과 공식 기록</w:t>
      </w:r>
    </w:p>
    <w:p>
      <w:r>
        <w:rPr>
          <w:rFonts w:ascii="맑은 고딕" w:hAnsi="맑은 고딕" w:eastAsia="맑은 고딕" w:cs="맑은 고딕"/>
          <w:b/>
          <w:color w:val="000000"/>
        </w:rPr>
        <w:t>원정의: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적용 법령·지침·계약·완료조건·기간 기산·공식 기록</w:t>
      </w:r>
    </w:p>
    <w:p>
      <w:r>
        <w:rPr>
          <w:rFonts w:ascii="맑은 고딕" w:hAnsi="맑은 고딕" w:eastAsia="맑은 고딕" w:cs="맑은 고딕"/>
          <w:b/>
          <w:color w:val="000000"/>
        </w:rPr>
        <w:t>책임 역할: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기관 사업·계약/법무 담당  |  </w:t>
      </w:r>
      <w:r>
        <w:rPr>
          <w:rFonts w:ascii="맑은 고딕" w:hAnsi="맑은 고딕" w:eastAsia="맑은 고딕" w:cs="맑은 고딕"/>
          <w:b/>
          <w:color w:val="000000"/>
        </w:rPr>
        <w:t>기한: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사업 기준 승인 전</w:t>
      </w:r>
    </w:p>
    <w:p>
      <w:r>
        <w:rPr>
          <w:rFonts w:ascii="맑은 고딕" w:hAnsi="맑은 고딕" w:eastAsia="맑은 고딕" w:cs="맑은 고딕"/>
          <w:b/>
          <w:color w:val="000000"/>
        </w:rPr>
        <w:t>확보할 근거: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원문·시행/적용일·우선순위·변경 근거·공식 기록 원천</w:t>
      </w:r>
    </w:p>
    <w:p>
      <w:r>
        <w:rPr>
          <w:rFonts w:ascii="맑은 고딕" w:hAnsi="맑은 고딕" w:eastAsia="맑은 고딕" w:cs="맑은 고딕"/>
          <w:b/>
          <w:color w:val="000000"/>
        </w:rPr>
        <w:t>권고안과 대안: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사업별 계약·적용 원문을 확인해 기준선을 만든다. 일률적인 하자기간·승인 효력을 기본값으로 넣지 않는다.</w:t>
      </w:r>
    </w:p>
    <w:p>
      <w:r>
        <w:rPr>
          <w:rFonts w:ascii="맑은 고딕" w:hAnsi="맑은 고딕" w:eastAsia="맑은 고딕" w:cs="맑은 고딕"/>
          <w:b/>
          <w:color w:val="000000"/>
        </w:rPr>
        <w:t>종결 기준: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원문·적용일·충돌 시 처리자·완료조건·기산 사건·공식 기록 원천이 정리돼야 한다.</w:t>
      </w:r>
    </w:p>
    <w:p>
      <w:r>
        <w:rPr>
          <w:rFonts w:ascii="맑은 고딕" w:hAnsi="맑은 고딕" w:eastAsia="맑은 고딕" w:cs="맑은 고딕"/>
          <w:b/>
          <w:color w:val="000000"/>
        </w:rPr>
        <w:t>미확정 시 처리: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법정·계약상 완료 및 기간을 확정하지 않고 확인 필요 상태로 둔다.</w:t>
      </w:r>
    </w:p>
    <w:p>
      <w:r>
        <w:rPr>
          <w:rFonts w:ascii="맑은 고딕" w:hAnsi="맑은 고딕" w:eastAsia="맑은 고딕" w:cs="맑은 고딕"/>
          <w:b/>
          <w:color w:val="000000"/>
        </w:rPr>
        <w:t>직접 연결: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Y1 5개 · Y2 0개 · Y3 1개. 공통 정책 영향은 추가 검토. </w:t>
      </w:r>
      <w:r>
        <w:rPr>
          <w:rFonts w:ascii="맑은 고딕" w:hAnsi="맑은 고딕" w:eastAsia="맑은 고딕" w:cs="맑은 고딕"/>
          <w:b/>
          <w:color w:val="000000"/>
        </w:rPr>
        <w:t>현재 결정: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미확정.</w:t>
      </w:r>
    </w:p>
    <w:p>
      <w:pPr>
        <w:pStyle w:val="Heading2"/>
      </w:pPr>
      <w:r>
        <w:t>TBD 04 자료와 문서 처리 범위</w:t>
      </w:r>
    </w:p>
    <w:p>
      <w:r>
        <w:rPr>
          <w:rFonts w:ascii="맑은 고딕" w:hAnsi="맑은 고딕" w:eastAsia="맑은 고딕" w:cs="맑은 고딕"/>
          <w:b/>
          <w:color w:val="000000"/>
        </w:rPr>
        <w:t>원정의: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지원 문서·크기·표·추출 품질·자료 항목·이관 범위</w:t>
      </w:r>
    </w:p>
    <w:p>
      <w:r>
        <w:rPr>
          <w:rFonts w:ascii="맑은 고딕" w:hAnsi="맑은 고딕" w:eastAsia="맑은 고딕" w:cs="맑은 고딕"/>
          <w:b/>
          <w:color w:val="000000"/>
        </w:rPr>
        <w:t>책임 역할: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기관 자료 책임자·수행사·CCK  |  </w:t>
      </w:r>
      <w:r>
        <w:rPr>
          <w:rFonts w:ascii="맑은 고딕" w:hAnsi="맑은 고딕" w:eastAsia="맑은 고딕" w:cs="맑은 고딕"/>
          <w:b/>
          <w:color w:val="000000"/>
        </w:rPr>
        <w:t>기한: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자료/문서 처리 명세 확정 전</w:t>
      </w:r>
    </w:p>
    <w:p>
      <w:r>
        <w:rPr>
          <w:rFonts w:ascii="맑은 고딕" w:hAnsi="맑은 고딕" w:eastAsia="맑은 고딕" w:cs="맑은 고딕"/>
          <w:b/>
          <w:color w:val="000000"/>
        </w:rPr>
        <w:t>확보할 근거: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실제 샘플과 권리 확인, 지원/제외 목록, 추출 확인·보완 절차</w:t>
      </w:r>
    </w:p>
    <w:p>
      <w:r>
        <w:rPr>
          <w:rFonts w:ascii="맑은 고딕" w:hAnsi="맑은 고딕" w:eastAsia="맑은 고딕" w:cs="맑은 고딕"/>
          <w:b/>
          <w:color w:val="000000"/>
        </w:rPr>
        <w:t>권고안과 대안: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대표 텍스트 문서와 표부터 지원 범위를 정한다. 전 형식 일괄 지원 대신 확인된 형식·크기·구간을 명시한다.</w:t>
      </w:r>
    </w:p>
    <w:p>
      <w:r>
        <w:rPr>
          <w:rFonts w:ascii="맑은 고딕" w:hAnsi="맑은 고딕" w:eastAsia="맑은 고딕" w:cs="맑은 고딕"/>
          <w:b/>
          <w:color w:val="000000"/>
        </w:rPr>
        <w:t>종결 기준: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자료 권리·필수 항목·원문 위치 대응·지원 및 제외 목록·추출 실패 보완 절차를 합의한다.</w:t>
      </w:r>
    </w:p>
    <w:p>
      <w:r>
        <w:rPr>
          <w:rFonts w:ascii="맑은 고딕" w:hAnsi="맑은 고딕" w:eastAsia="맑은 고딕" w:cs="맑은 고딕"/>
          <w:b/>
          <w:color w:val="000000"/>
        </w:rPr>
        <w:t>미확정 시 처리: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지원 미확인 문서는 수동 검토 대상으로 표시하며 신규 OCR·VLM을 범위에 넣지 않는다.</w:t>
      </w:r>
    </w:p>
    <w:p>
      <w:r>
        <w:rPr>
          <w:rFonts w:ascii="맑은 고딕" w:hAnsi="맑은 고딕" w:eastAsia="맑은 고딕" w:cs="맑은 고딕"/>
          <w:b/>
          <w:color w:val="000000"/>
        </w:rPr>
        <w:t>직접 연결: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Y1 6개 · Y2 0개 · Y3 0개. 공통 정책 영향은 추가 검토. </w:t>
      </w:r>
      <w:r>
        <w:rPr>
          <w:rFonts w:ascii="맑은 고딕" w:hAnsi="맑은 고딕" w:eastAsia="맑은 고딕" w:cs="맑은 고딕"/>
          <w:b/>
          <w:color w:val="000000"/>
        </w:rPr>
        <w:t>현재 결정: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미확정.</w:t>
      </w:r>
    </w:p>
    <w:p>
      <w:pPr>
        <w:pStyle w:val="Heading1"/>
        <w:pageBreakBefore/>
      </w:pPr>
      <w:r>
        <w:t>5 항목별 검토 5부터 6</w:t>
      </w:r>
    </w:p>
    <w:p>
      <w:pPr>
        <w:pStyle w:val="Heading2"/>
      </w:pPr>
      <w:r>
        <w:t>TBD 05 AI 검토의 수용 조건</w:t>
      </w:r>
    </w:p>
    <w:p>
      <w:r>
        <w:rPr>
          <w:rFonts w:ascii="맑은 고딕" w:hAnsi="맑은 고딕" w:eastAsia="맑은 고딕" w:cs="맑은 고딕"/>
          <w:b/>
          <w:color w:val="000000"/>
        </w:rPr>
        <w:t>원정의: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검토 품질 목표·오류 허용·최소 개선·독립 평가 표본</w:t>
      </w:r>
    </w:p>
    <w:p>
      <w:r>
        <w:rPr>
          <w:rFonts w:ascii="맑은 고딕" w:hAnsi="맑은 고딕" w:eastAsia="맑은 고딕" w:cs="맑은 고딕"/>
          <w:b/>
          <w:color w:val="000000"/>
        </w:rPr>
        <w:t>책임 역할: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기관 품질 책임자·업무 전문가  |  </w:t>
      </w:r>
      <w:r>
        <w:rPr>
          <w:rFonts w:ascii="맑은 고딕" w:hAnsi="맑은 고딕" w:eastAsia="맑은 고딕" w:cs="맑은 고딕"/>
          <w:b/>
          <w:color w:val="000000"/>
        </w:rPr>
        <w:t>기한: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AI 수용평가 계획 확정 전</w:t>
      </w:r>
    </w:p>
    <w:p>
      <w:r>
        <w:rPr>
          <w:rFonts w:ascii="맑은 고딕" w:hAnsi="맑은 고딕" w:eastAsia="맑은 고딕" w:cs="맑은 고딕"/>
          <w:b/>
          <w:color w:val="000000"/>
        </w:rPr>
        <w:t>확보할 근거: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분야별 오류 정의·검사범위·목표·대조군·판정자·표본/중단 규칙</w:t>
      </w:r>
    </w:p>
    <w:p>
      <w:r>
        <w:rPr>
          <w:rFonts w:ascii="맑은 고딕" w:hAnsi="맑은 고딕" w:eastAsia="맑은 고딕" w:cs="맑은 고딕"/>
          <w:b/>
          <w:color w:val="000000"/>
        </w:rPr>
        <w:t>권고안과 대안: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근거 오류·중요 누락·오탐·미탐과 재검토 부담을 분리한다. 단일 정확도만으로 수용하지 않는다.</w:t>
      </w:r>
    </w:p>
    <w:p>
      <w:r>
        <w:rPr>
          <w:rFonts w:ascii="맑은 고딕" w:hAnsi="맑은 고딕" w:eastAsia="맑은 고딕" w:cs="맑은 고딕"/>
          <w:b/>
          <w:color w:val="000000"/>
        </w:rPr>
        <w:t>종결 기준: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적용 업무별 지표·분모·허용 기준·독립 판정자·검증 자료와 판정 규칙을 결과 확인 전에 확정한다.</w:t>
      </w:r>
    </w:p>
    <w:p>
      <w:r>
        <w:rPr>
          <w:rFonts w:ascii="맑은 고딕" w:hAnsi="맑은 고딕" w:eastAsia="맑은 고딕" w:cs="맑은 고딕"/>
          <w:b/>
          <w:color w:val="000000"/>
        </w:rPr>
        <w:t>미확정 시 처리: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AI 품질 보장을 보류하고 해당 업무는 사람 검토 경로를 유지한다.</w:t>
      </w:r>
    </w:p>
    <w:p>
      <w:r>
        <w:rPr>
          <w:rFonts w:ascii="맑은 고딕" w:hAnsi="맑은 고딕" w:eastAsia="맑은 고딕" w:cs="맑은 고딕"/>
          <w:b/>
          <w:color w:val="000000"/>
        </w:rPr>
        <w:t>직접 연결: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Y1 1개 · Y2 1개 · Y3 0개. 공통 정책 영향은 추가 검토. </w:t>
      </w:r>
      <w:r>
        <w:rPr>
          <w:rFonts w:ascii="맑은 고딕" w:hAnsi="맑은 고딕" w:eastAsia="맑은 고딕" w:cs="맑은 고딕"/>
          <w:b/>
          <w:color w:val="000000"/>
        </w:rPr>
        <w:t>현재 결정: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미확정.</w:t>
      </w:r>
    </w:p>
    <w:p>
      <w:pPr>
        <w:pStyle w:val="Heading2"/>
      </w:pPr>
      <w:r>
        <w:t>TBD 06 다면평가 운영</w:t>
      </w:r>
    </w:p>
    <w:p>
      <w:r>
        <w:rPr>
          <w:rFonts w:ascii="맑은 고딕" w:hAnsi="맑은 고딕" w:eastAsia="맑은 고딕" w:cs="맑은 고딕"/>
          <w:b/>
          <w:color w:val="000000"/>
        </w:rPr>
        <w:t>원정의: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평가 목적·주기·문항·척도·역할·가중치·소명 기한</w:t>
      </w:r>
    </w:p>
    <w:p>
      <w:r>
        <w:rPr>
          <w:rFonts w:ascii="맑은 고딕" w:hAnsi="맑은 고딕" w:eastAsia="맑은 고딕" w:cs="맑은 고딕"/>
          <w:b/>
          <w:color w:val="000000"/>
        </w:rPr>
        <w:t>책임 역할: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기관 평가 운영자  |  </w:t>
      </w:r>
      <w:r>
        <w:rPr>
          <w:rFonts w:ascii="맑은 고딕" w:hAnsi="맑은 고딕" w:eastAsia="맑은 고딕" w:cs="맑은 고딕"/>
          <w:b/>
          <w:color w:val="000000"/>
        </w:rPr>
        <w:t>기한: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첫 조사 전; 분석 방식은 해당 분석 적용 전</w:t>
      </w:r>
    </w:p>
    <w:p>
      <w:r>
        <w:rPr>
          <w:rFonts w:ascii="맑은 고딕" w:hAnsi="맑은 고딕" w:eastAsia="맑은 고딕" w:cs="맑은 고딕"/>
          <w:b/>
          <w:color w:val="000000"/>
        </w:rPr>
        <w:t>확보할 근거: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역할별 질문지·응답/결측 규칙·버전·재검토 절차</w:t>
      </w:r>
    </w:p>
    <w:p>
      <w:r>
        <w:rPr>
          <w:rFonts w:ascii="맑은 고딕" w:hAnsi="맑은 고딕" w:eastAsia="맑은 고딕" w:cs="맑은 고딕"/>
          <w:b/>
          <w:color w:val="000000"/>
        </w:rPr>
        <w:t>권고안과 대안: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Y1은 역할별 의견 수집·근거 이력·소명에 집중한다. 종합점수·가중 순위 분석은 별도 조건을 갖춘 후속 범위다.</w:t>
      </w:r>
    </w:p>
    <w:p>
      <w:r>
        <w:rPr>
          <w:rFonts w:ascii="맑은 고딕" w:hAnsi="맑은 고딕" w:eastAsia="맑은 고딕" w:cs="맑은 고딕"/>
          <w:b/>
          <w:color w:val="000000"/>
        </w:rPr>
        <w:t>종결 기준: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목적·주기·관찰기간·질문·결측·중복·고지·소명 기한을 정한다. 분석 조건은 필요 시 따로 종결한다.</w:t>
      </w:r>
    </w:p>
    <w:p>
      <w:r>
        <w:rPr>
          <w:rFonts w:ascii="맑은 고딕" w:hAnsi="맑은 고딕" w:eastAsia="맑은 고딕" w:cs="맑은 고딕"/>
          <w:b/>
          <w:color w:val="000000"/>
        </w:rPr>
        <w:t>미확정 시 처리: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실제 평가 수집·고지를 시작하지 않는다. 기록과 평가 운영 절차 설계는 유지한다.</w:t>
      </w:r>
    </w:p>
    <w:p>
      <w:r>
        <w:rPr>
          <w:rFonts w:ascii="맑은 고딕" w:hAnsi="맑은 고딕" w:eastAsia="맑은 고딕" w:cs="맑은 고딕"/>
          <w:b/>
          <w:color w:val="000000"/>
        </w:rPr>
        <w:t>직접 연결: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Y1 5개 · Y2 0개 · Y3 1개. 공통 정책 영향은 추가 검토. </w:t>
      </w:r>
      <w:r>
        <w:rPr>
          <w:rFonts w:ascii="맑은 고딕" w:hAnsi="맑은 고딕" w:eastAsia="맑은 고딕" w:cs="맑은 고딕"/>
          <w:b/>
          <w:color w:val="000000"/>
        </w:rPr>
        <w:t>현재 결정: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미확정.</w:t>
      </w:r>
    </w:p>
    <w:p>
      <w:pPr>
        <w:pStyle w:val="Heading1"/>
        <w:pageBreakBefore/>
      </w:pPr>
      <w:r>
        <w:t>6 항목별 검토 7부터 8</w:t>
      </w:r>
    </w:p>
    <w:p>
      <w:pPr>
        <w:pStyle w:val="Heading2"/>
      </w:pPr>
      <w:r>
        <w:t>TBD 07 자료 이용과 정정</w:t>
      </w:r>
    </w:p>
    <w:p>
      <w:r>
        <w:rPr>
          <w:rFonts w:ascii="맑은 고딕" w:hAnsi="맑은 고딕" w:eastAsia="맑은 고딕" w:cs="맑은 고딕"/>
          <w:b/>
          <w:color w:val="000000"/>
        </w:rPr>
        <w:t>원정의: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자료 권리·분류·공개·보존·반출·정정 전파·집계 최소수</w:t>
      </w:r>
    </w:p>
    <w:p>
      <w:r>
        <w:rPr>
          <w:rFonts w:ascii="맑은 고딕" w:hAnsi="맑은 고딕" w:eastAsia="맑은 고딕" w:cs="맑은 고딕"/>
          <w:b/>
          <w:color w:val="000000"/>
        </w:rPr>
        <w:t>책임 역할: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기관 개인정보/보안·기록·평가 책임자  |  </w:t>
      </w:r>
      <w:r>
        <w:rPr>
          <w:rFonts w:ascii="맑은 고딕" w:hAnsi="맑은 고딕" w:eastAsia="맑은 고딕" w:cs="맑은 고딕"/>
          <w:b/>
          <w:color w:val="000000"/>
        </w:rPr>
        <w:t>기한: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자료 수집·평가 고지·기관 간 공유 각각의 시행 전</w:t>
      </w:r>
    </w:p>
    <w:p>
      <w:r>
        <w:rPr>
          <w:rFonts w:ascii="맑은 고딕" w:hAnsi="맑은 고딕" w:eastAsia="맑은 고딕" w:cs="맑은 고딕"/>
          <w:b/>
          <w:color w:val="000000"/>
        </w:rPr>
        <w:t>확보할 근거: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목적별 처리 근거·열람표·보존표·소명 보호·수신처 정정 절차</w:t>
      </w:r>
    </w:p>
    <w:p>
      <w:r>
        <w:rPr>
          <w:rFonts w:ascii="맑은 고딕" w:hAnsi="맑은 고딕" w:eastAsia="맑은 고딕" w:cs="맑은 고딕"/>
          <w:b/>
          <w:color w:val="000000"/>
        </w:rPr>
        <w:t>권고안과 대안: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기관·사업별 필요한 범위만 열람한다. 기관 간 공유·공개를 기본 허용으로 보지 않는다.</w:t>
      </w:r>
    </w:p>
    <w:p>
      <w:r>
        <w:rPr>
          <w:rFonts w:ascii="맑은 고딕" w:hAnsi="맑은 고딕" w:eastAsia="맑은 고딕" w:cs="맑은 고딕"/>
          <w:b/>
          <w:color w:val="000000"/>
        </w:rPr>
        <w:t>종결 기준: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수집·이용·보존·반출·폐기·정정 전파를 목적별로 결정한다. 소수 응답 보호와 공개 제한도 정한다.</w:t>
      </w:r>
    </w:p>
    <w:p>
      <w:r>
        <w:rPr>
          <w:rFonts w:ascii="맑은 고딕" w:hAnsi="맑은 고딕" w:eastAsia="맑은 고딕" w:cs="맑은 고딕"/>
          <w:b/>
          <w:color w:val="000000"/>
        </w:rPr>
        <w:t>미확정 시 처리: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해당 자료 수집·공유를 중지한다. Y1 내부 이용 확정이 Y3 기관 간 공유를 허용하지 않는다.</w:t>
      </w:r>
    </w:p>
    <w:p>
      <w:r>
        <w:rPr>
          <w:rFonts w:ascii="맑은 고딕" w:hAnsi="맑은 고딕" w:eastAsia="맑은 고딕" w:cs="맑은 고딕"/>
          <w:b/>
          <w:color w:val="000000"/>
        </w:rPr>
        <w:t>직접 연결: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Y1 6개 · Y2 0개 · Y3 4개. 공통 정책 영향은 추가 검토. </w:t>
      </w:r>
      <w:r>
        <w:rPr>
          <w:rFonts w:ascii="맑은 고딕" w:hAnsi="맑은 고딕" w:eastAsia="맑은 고딕" w:cs="맑은 고딕"/>
          <w:b/>
          <w:color w:val="000000"/>
        </w:rPr>
        <w:t>현재 결정: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미확정.</w:t>
      </w:r>
    </w:p>
    <w:p>
      <w:pPr>
        <w:pStyle w:val="Heading2"/>
      </w:pPr>
      <w:r>
        <w:t>TBD 08 업무 기한과 알림</w:t>
      </w:r>
    </w:p>
    <w:p>
      <w:r>
        <w:rPr>
          <w:rFonts w:ascii="맑은 고딕" w:hAnsi="맑은 고딕" w:eastAsia="맑은 고딕" w:cs="맑은 고딕"/>
          <w:b/>
          <w:color w:val="000000"/>
        </w:rPr>
        <w:t>원정의: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알림·상향 요청·갱신 준비·응답 시간창</w:t>
      </w:r>
    </w:p>
    <w:p>
      <w:r>
        <w:rPr>
          <w:rFonts w:ascii="맑은 고딕" w:hAnsi="맑은 고딕" w:eastAsia="맑은 고딕" w:cs="맑은 고딕"/>
          <w:b/>
          <w:color w:val="000000"/>
        </w:rPr>
        <w:t>책임 역할: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기관 사업·운영 책임자  |  </w:t>
      </w:r>
      <w:r>
        <w:rPr>
          <w:rFonts w:ascii="맑은 고딕" w:hAnsi="맑은 고딕" w:eastAsia="맑은 고딕" w:cs="맑은 고딕"/>
          <w:b/>
          <w:color w:val="000000"/>
        </w:rPr>
        <w:t>기한: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해당 업무흐름 적용 전</w:t>
      </w:r>
    </w:p>
    <w:p>
      <w:r>
        <w:rPr>
          <w:rFonts w:ascii="맑은 고딕" w:hAnsi="맑은 고딕" w:eastAsia="맑은 고딕" w:cs="맑은 고딕"/>
          <w:b/>
          <w:color w:val="000000"/>
        </w:rPr>
        <w:t>확보할 근거: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사건별 기준일·담당 역할·휴일/대행·미처리 상향 규칙</w:t>
      </w:r>
    </w:p>
    <w:p>
      <w:r>
        <w:rPr>
          <w:rFonts w:ascii="맑은 고딕" w:hAnsi="맑은 고딕" w:eastAsia="맑은 고딕" w:cs="맑은 고딕"/>
          <w:b/>
          <w:color w:val="000000"/>
        </w:rPr>
        <w:t>권고안과 대안: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사건별 담당·시간창·휴일·대행·상향 경로를 설정한다. 모든 사업에 같은 숫자를 임의 적용하지 않는다.</w:t>
      </w:r>
    </w:p>
    <w:p>
      <w:r>
        <w:rPr>
          <w:rFonts w:ascii="맑은 고딕" w:hAnsi="맑은 고딕" w:eastAsia="맑은 고딕" w:cs="맑은 고딕"/>
          <w:b/>
          <w:color w:val="000000"/>
        </w:rPr>
        <w:t>종결 기준: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검토 대기·보완·갱신 준비의 시작 사건과 기한, 미처리 책임자 및 알림 범위를 합의한다.</w:t>
      </w:r>
    </w:p>
    <w:p>
      <w:r>
        <w:rPr>
          <w:rFonts w:ascii="맑은 고딕" w:hAnsi="맑은 고딕" w:eastAsia="맑은 고딕" w:cs="맑은 고딕"/>
          <w:b/>
          <w:color w:val="000000"/>
        </w:rPr>
        <w:t>미확정 시 처리: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기한 미설정 상태를 표시하고 기관·수행사 지연 귀책을 자동 판정하지 않는다.</w:t>
      </w:r>
    </w:p>
    <w:p>
      <w:r>
        <w:rPr>
          <w:rFonts w:ascii="맑은 고딕" w:hAnsi="맑은 고딕" w:eastAsia="맑은 고딕" w:cs="맑은 고딕"/>
          <w:b/>
          <w:color w:val="000000"/>
        </w:rPr>
        <w:t>직접 연결: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Y1 3개 · Y2 0개 · Y3 0개. 공통 정책 영향은 추가 검토. </w:t>
      </w:r>
      <w:r>
        <w:rPr>
          <w:rFonts w:ascii="맑은 고딕" w:hAnsi="맑은 고딕" w:eastAsia="맑은 고딕" w:cs="맑은 고딕"/>
          <w:b/>
          <w:color w:val="000000"/>
        </w:rPr>
        <w:t>현재 결정: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미확정.</w:t>
      </w:r>
    </w:p>
    <w:p>
      <w:pPr>
        <w:pStyle w:val="Heading1"/>
        <w:pageBreakBefore/>
      </w:pPr>
      <w:r>
        <w:t>7 항목별 검토 9부터 10</w:t>
      </w:r>
    </w:p>
    <w:p>
      <w:pPr>
        <w:pStyle w:val="Heading2"/>
      </w:pPr>
      <w:r>
        <w:t>TBD 09 정보시스템 감리</w:t>
      </w:r>
    </w:p>
    <w:p>
      <w:r>
        <w:rPr>
          <w:rFonts w:ascii="맑은 고딕" w:hAnsi="맑은 고딕" w:eastAsia="맑은 고딕" w:cs="맑은 고딕"/>
          <w:b/>
          <w:color w:val="000000"/>
        </w:rPr>
        <w:t>원정의: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감리 적용·독립성·검사 범위·전문가·시정 확인 기준</w:t>
      </w:r>
    </w:p>
    <w:p>
      <w:r>
        <w:rPr>
          <w:rFonts w:ascii="맑은 고딕" w:hAnsi="맑은 고딕" w:eastAsia="맑은 고딕" w:cs="맑은 고딕"/>
          <w:b/>
          <w:color w:val="000000"/>
        </w:rPr>
        <w:t>책임 역할: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기관 감리 발주 담당·감리 전문가  |  </w:t>
      </w:r>
      <w:r>
        <w:rPr>
          <w:rFonts w:ascii="맑은 고딕" w:hAnsi="맑은 고딕" w:eastAsia="맑은 고딕" w:cs="맑은 고딕"/>
          <w:b/>
          <w:color w:val="000000"/>
        </w:rPr>
        <w:t>기한: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2차년도 감리 범위 확정 전</w:t>
      </w:r>
    </w:p>
    <w:p>
      <w:r>
        <w:rPr>
          <w:rFonts w:ascii="맑은 고딕" w:hAnsi="맑은 고딕" w:eastAsia="맑은 고딕" w:cs="맑은 고딕"/>
          <w:b/>
          <w:color w:val="000000"/>
        </w:rPr>
        <w:t>확보할 근거: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대상 여부 검토·업무 분장·분야별 기준팩·독립 검토 절차</w:t>
      </w:r>
    </w:p>
    <w:p>
      <w:r>
        <w:rPr>
          <w:rFonts w:ascii="맑은 고딕" w:hAnsi="맑은 고딕" w:eastAsia="맑은 고딕" w:cs="맑은 고딕"/>
          <w:b/>
          <w:color w:val="000000"/>
        </w:rPr>
        <w:t>권고안과 대안: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Y2에서 법정 감리 적용과 분야별 검사 범위·독립 판단을 설계한다. Y1 기초 검토의 적용 확대와 구분한다.</w:t>
      </w:r>
    </w:p>
    <w:p>
      <w:r>
        <w:rPr>
          <w:rFonts w:ascii="맑은 고딕" w:hAnsi="맑은 고딕" w:eastAsia="맑은 고딕" w:cs="맑은 고딕"/>
          <w:b/>
          <w:color w:val="000000"/>
        </w:rPr>
        <w:t>종결 기준: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해당 사업 적용 근거·감리 계약·판단 주체·전문성·검사 및 재검증 범위를 확인한다.</w:t>
      </w:r>
    </w:p>
    <w:p>
      <w:r>
        <w:rPr>
          <w:rFonts w:ascii="맑은 고딕" w:hAnsi="맑은 고딕" w:eastAsia="맑은 고딕" w:cs="맑은 고딕"/>
          <w:b/>
          <w:color w:val="000000"/>
        </w:rPr>
        <w:t>미확정 시 처리: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감리 모듈의 수용 확정을 보류한다. 다른 조건을 충족한 Y1 일반 검토를 일괄 차단하지 않는다.</w:t>
      </w:r>
    </w:p>
    <w:p>
      <w:r>
        <w:rPr>
          <w:rFonts w:ascii="맑은 고딕" w:hAnsi="맑은 고딕" w:eastAsia="맑은 고딕" w:cs="맑은 고딕"/>
          <w:b/>
          <w:color w:val="000000"/>
        </w:rPr>
        <w:t>직접 연결: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Y1 2개 · Y2 5개 · Y3 0개. 공통 정책 영향은 추가 검토. </w:t>
      </w:r>
      <w:r>
        <w:rPr>
          <w:rFonts w:ascii="맑은 고딕" w:hAnsi="맑은 고딕" w:eastAsia="맑은 고딕" w:cs="맑은 고딕"/>
          <w:b/>
          <w:color w:val="000000"/>
        </w:rPr>
        <w:t>현재 결정: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미확정.</w:t>
      </w:r>
    </w:p>
    <w:p>
      <w:pPr>
        <w:pStyle w:val="Heading2"/>
      </w:pPr>
      <w:r>
        <w:t>TBD 10 기존 로컬 환경과 품질</w:t>
      </w:r>
    </w:p>
    <w:p>
      <w:r>
        <w:rPr>
          <w:rFonts w:ascii="맑은 고딕" w:hAnsi="맑은 고딕" w:eastAsia="맑은 고딕" w:cs="맑은 고딕"/>
          <w:b/>
          <w:color w:val="000000"/>
        </w:rPr>
        <w:t>원정의: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로컬 환경·모델/자산·처리 규모·성능·가용성·복구·지원</w:t>
      </w:r>
    </w:p>
    <w:p>
      <w:r>
        <w:rPr>
          <w:rFonts w:ascii="맑은 고딕" w:hAnsi="맑은 고딕" w:eastAsia="맑은 고딕" w:cs="맑은 고딕"/>
          <w:b/>
          <w:color w:val="000000"/>
        </w:rPr>
        <w:t>책임 역할: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CCK 기술책임자·기관 운영/보안 담당  |  </w:t>
      </w:r>
      <w:r>
        <w:rPr>
          <w:rFonts w:ascii="맑은 고딕" w:hAnsi="맑은 고딕" w:eastAsia="맑은 고딕" w:cs="맑은 고딕"/>
          <w:b/>
          <w:color w:val="000000"/>
        </w:rPr>
        <w:t>기한: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용량·견적 및 기술 수용기준 확정 전</w:t>
      </w:r>
    </w:p>
    <w:p>
      <w:r>
        <w:rPr>
          <w:rFonts w:ascii="맑은 고딕" w:hAnsi="맑은 고딕" w:eastAsia="맑은 고딕" w:cs="맑은 고딕"/>
          <w:b/>
          <w:color w:val="000000"/>
        </w:rPr>
        <w:t>확보할 근거: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실제 자산 점검, 동시 사용자/문서량, p95·처리량·RTO/RPO·복구 기준</w:t>
      </w:r>
    </w:p>
    <w:p>
      <w:r>
        <w:rPr>
          <w:rFonts w:ascii="맑은 고딕" w:hAnsi="맑은 고딕" w:eastAsia="맑은 고딕" w:cs="맑은 고딕"/>
          <w:b/>
          <w:color w:val="000000"/>
        </w:rPr>
        <w:t>권고안과 대안: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기존 로컬 서버를 사용하고 신규 인프라 투자비는 0원으로 제한한다. 용량이 부족하면 업무량·동시성·모델 설정을 조정한다.</w:t>
      </w:r>
    </w:p>
    <w:p>
      <w:r>
        <w:rPr>
          <w:rFonts w:ascii="맑은 고딕" w:hAnsi="맑은 고딕" w:eastAsia="맑은 고딕" w:cs="맑은 고딕"/>
          <w:b/>
          <w:color w:val="000000"/>
        </w:rPr>
        <w:t>종결 기준: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사용권·가용 자원·처리 규모·모델 실행 경계·응답·분석·가용성·복구 조건을 근거와 함께 확정한다.</w:t>
      </w:r>
    </w:p>
    <w:p>
      <w:r>
        <w:rPr>
          <w:rFonts w:ascii="맑은 고딕" w:hAnsi="맑은 고딕" w:eastAsia="맑은 고딕" w:cs="맑은 고딕"/>
          <w:b/>
          <w:color w:val="000000"/>
        </w:rPr>
        <w:t>미확정 시 처리: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성능·처리량·견적을 보장하지 않는다. 조정으로도 불충족하면 적용 범위를 축소하거나 보류한다.</w:t>
      </w:r>
    </w:p>
    <w:p>
      <w:r>
        <w:rPr>
          <w:rFonts w:ascii="맑은 고딕" w:hAnsi="맑은 고딕" w:eastAsia="맑은 고딕" w:cs="맑은 고딕"/>
          <w:b/>
          <w:color w:val="000000"/>
        </w:rPr>
        <w:t>직접 연결: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Y1 6개 · Y2 0개 · Y3 0개. 공통 정책 영향은 추가 검토. </w:t>
      </w:r>
      <w:r>
        <w:rPr>
          <w:rFonts w:ascii="맑은 고딕" w:hAnsi="맑은 고딕" w:eastAsia="맑은 고딕" w:cs="맑은 고딕"/>
          <w:b/>
          <w:color w:val="000000"/>
        </w:rPr>
        <w:t>현재 결정: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미확정.</w:t>
      </w:r>
    </w:p>
    <w:p>
      <w:pPr>
        <w:pStyle w:val="Heading1"/>
        <w:pageBreakBefore/>
      </w:pPr>
      <w:r>
        <w:t>8 항목별 검토 11부터 12</w:t>
      </w:r>
    </w:p>
    <w:p>
      <w:pPr>
        <w:pStyle w:val="Heading2"/>
      </w:pPr>
      <w:r>
        <w:t>TBD 11 공급 범위와 대가</w:t>
      </w:r>
    </w:p>
    <w:p>
      <w:r>
        <w:rPr>
          <w:rFonts w:ascii="맑은 고딕" w:hAnsi="맑은 고딕" w:eastAsia="맑은 고딕" w:cs="맑은 고딕"/>
          <w:b/>
          <w:color w:val="000000"/>
        </w:rPr>
        <w:t>원정의: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계약·대가·원가·인력·협력·재사용권·기관 책임</w:t>
      </w:r>
    </w:p>
    <w:p>
      <w:r>
        <w:rPr>
          <w:rFonts w:ascii="맑은 고딕" w:hAnsi="맑은 고딕" w:eastAsia="맑은 고딕" w:cs="맑은 고딕"/>
          <w:b/>
          <w:color w:val="000000"/>
        </w:rPr>
        <w:t>책임 역할: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기관 구매/기획 담당·CCK 사업 책임자  |  </w:t>
      </w:r>
      <w:r>
        <w:rPr>
          <w:rFonts w:ascii="맑은 고딕" w:hAnsi="맑은 고딕" w:eastAsia="맑은 고딕" w:cs="맑은 고딕"/>
          <w:b/>
          <w:color w:val="000000"/>
        </w:rPr>
        <w:t>기한: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제안 가격·계약 범위 확정 전</w:t>
      </w:r>
    </w:p>
    <w:p>
      <w:r>
        <w:rPr>
          <w:rFonts w:ascii="맑은 고딕" w:hAnsi="맑은 고딕" w:eastAsia="맑은 고딕" w:cs="맑은 고딕"/>
          <w:b/>
          <w:color w:val="000000"/>
        </w:rPr>
        <w:t>확보할 근거: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기관 패키지·기본 참여·선택 모듈·지원 범위·원가 및 권리 근거</w:t>
      </w:r>
    </w:p>
    <w:p>
      <w:r>
        <w:rPr>
          <w:rFonts w:ascii="맑은 고딕" w:hAnsi="맑은 고딕" w:eastAsia="맑은 고딕" w:cs="맑은 고딕"/>
          <w:b/>
          <w:color w:val="000000"/>
        </w:rPr>
        <w:t>권고안과 대안: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기관이 도입·응용 SW·기술운영 비용을 부담하는 기준안을 사용한다. 수행사의 기본 제출·소명·정정에는 유료 등급을 두지 않는다.</w:t>
      </w:r>
    </w:p>
    <w:p>
      <w:r>
        <w:rPr>
          <w:rFonts w:ascii="맑은 고딕" w:hAnsi="맑은 고딕" w:eastAsia="맑은 고딕" w:cs="맑은 고딕"/>
          <w:b/>
          <w:color w:val="000000"/>
        </w:rPr>
        <w:t>종결 기준: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CCK 직접 수행·협력·재사용권·인력·원가·지원·종료 인수 범위를 확인한다. 신규 인프라 비용은 계상하지 않는다.</w:t>
      </w:r>
    </w:p>
    <w:p>
      <w:r>
        <w:rPr>
          <w:rFonts w:ascii="맑은 고딕" w:hAnsi="맑은 고딕" w:eastAsia="맑은 고딕" w:cs="맑은 고딕"/>
          <w:b/>
          <w:color w:val="000000"/>
        </w:rPr>
        <w:t>미확정 시 처리: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정액 가격·납기·수익을 확정하지 않는다. 미확보 외부 협조는 조건부로 남긴다.</w:t>
      </w:r>
    </w:p>
    <w:p>
      <w:r>
        <w:rPr>
          <w:rFonts w:ascii="맑은 고딕" w:hAnsi="맑은 고딕" w:eastAsia="맑은 고딕" w:cs="맑은 고딕"/>
          <w:b/>
          <w:color w:val="000000"/>
        </w:rPr>
        <w:t>직접 연결: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Y1 4개 · Y2 0개 · Y3 3개. 공통 정책 영향은 추가 검토. </w:t>
      </w:r>
      <w:r>
        <w:rPr>
          <w:rFonts w:ascii="맑은 고딕" w:hAnsi="맑은 고딕" w:eastAsia="맑은 고딕" w:cs="맑은 고딕"/>
          <w:b/>
          <w:color w:val="000000"/>
        </w:rPr>
        <w:t>현재 결정: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미확정.</w:t>
      </w:r>
    </w:p>
    <w:p>
      <w:pPr>
        <w:pStyle w:val="Heading2"/>
      </w:pPr>
      <w:r>
        <w:t>TBD 12 효과의 기준값과 목표</w:t>
      </w:r>
    </w:p>
    <w:p>
      <w:r>
        <w:rPr>
          <w:rFonts w:ascii="맑은 고딕" w:hAnsi="맑은 고딕" w:eastAsia="맑은 고딕" w:cs="맑은 고딕"/>
          <w:b/>
          <w:color w:val="000000"/>
        </w:rPr>
        <w:t>원정의: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업무량·시간·비용·품질·국민 성과의 기준값과 목표</w:t>
      </w:r>
    </w:p>
    <w:p>
      <w:r>
        <w:rPr>
          <w:rFonts w:ascii="맑은 고딕" w:hAnsi="맑은 고딕" w:eastAsia="맑은 고딕" w:cs="맑은 고딕"/>
          <w:b/>
          <w:color w:val="000000"/>
        </w:rPr>
        <w:t>책임 역할: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기관 기획·현업·성과 담당  |  </w:t>
      </w:r>
      <w:r>
        <w:rPr>
          <w:rFonts w:ascii="맑은 고딕" w:hAnsi="맑은 고딕" w:eastAsia="맑은 고딕" w:cs="맑은 고딕"/>
          <w:b/>
          <w:color w:val="000000"/>
        </w:rPr>
        <w:t>기한: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실증 측정 시작 전</w:t>
      </w:r>
    </w:p>
    <w:p>
      <w:r>
        <w:rPr>
          <w:rFonts w:ascii="맑은 고딕" w:hAnsi="맑은 고딕" w:eastAsia="맑은 고딕" w:cs="맑은 고딕"/>
          <w:b/>
          <w:color w:val="000000"/>
        </w:rPr>
        <w:t>확보할 근거: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비교군/기간·측정단위·기초값·최소 유의미 개선·중복 제외·결과 해석</w:t>
      </w:r>
    </w:p>
    <w:p>
      <w:r>
        <w:rPr>
          <w:rFonts w:ascii="맑은 고딕" w:hAnsi="맑은 고딕" w:eastAsia="맑은 고딕" w:cs="맑은 고딕"/>
          <w:b/>
          <w:color w:val="000000"/>
        </w:rPr>
        <w:t>권고안과 대안: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현행·규칙 기반 개선·AI 지원의 같은 업무를 비교한다. 실제 추가 입력·확인 부담을 함께 측정한다.</w:t>
      </w:r>
    </w:p>
    <w:p>
      <w:r>
        <w:rPr>
          <w:rFonts w:ascii="맑은 고딕" w:hAnsi="맑은 고딕" w:eastAsia="맑은 고딕" w:cs="맑은 고딕"/>
          <w:b/>
          <w:color w:val="000000"/>
        </w:rPr>
        <w:t>종결 기준: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업무 단위·기준값·비용·품질·국민 효과 경로와 최소 유의미한 개선 기준을 측정 전에 합의한다.</w:t>
      </w:r>
    </w:p>
    <w:p>
      <w:r>
        <w:rPr>
          <w:rFonts w:ascii="맑은 고딕" w:hAnsi="맑은 고딕" w:eastAsia="맑은 고딕" w:cs="맑은 고딕"/>
          <w:b/>
          <w:color w:val="000000"/>
        </w:rPr>
        <w:t>미확정 시 처리: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도입 효과의 금액·개선율을 확정하지 않는다. 기능 요구와 편익 가설을 구분해 유지한다.</w:t>
      </w:r>
    </w:p>
    <w:p>
      <w:r>
        <w:rPr>
          <w:rFonts w:ascii="맑은 고딕" w:hAnsi="맑은 고딕" w:eastAsia="맑은 고딕" w:cs="맑은 고딕"/>
          <w:b/>
          <w:color w:val="000000"/>
        </w:rPr>
        <w:t>직접 연결: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Y1 1개 · Y2 0개 · Y3 2개. 공통 정책 영향은 추가 검토. </w:t>
      </w:r>
      <w:r>
        <w:rPr>
          <w:rFonts w:ascii="맑은 고딕" w:hAnsi="맑은 고딕" w:eastAsia="맑은 고딕" w:cs="맑은 고딕"/>
          <w:b/>
          <w:color w:val="000000"/>
        </w:rPr>
        <w:t>현재 결정: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미확정.</w:t>
      </w:r>
    </w:p>
    <w:p>
      <w:pPr>
        <w:pStyle w:val="Heading1"/>
        <w:pageBreakBefore/>
      </w:pPr>
      <w:r>
        <w:t>9 항목별 검토 13부터 14</w:t>
      </w:r>
    </w:p>
    <w:p>
      <w:pPr>
        <w:pStyle w:val="Heading2"/>
      </w:pPr>
      <w:r>
        <w:t>TBD 13 대표 과업과 접근성</w:t>
      </w:r>
    </w:p>
    <w:p>
      <w:r>
        <w:rPr>
          <w:rFonts w:ascii="맑은 고딕" w:hAnsi="맑은 고딕" w:eastAsia="맑은 고딕" w:cs="맑은 고딕"/>
          <w:b/>
          <w:color w:val="000000"/>
        </w:rPr>
        <w:t>원정의: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대표 이용과업·접근성·기기·지원 환경</w:t>
      </w:r>
    </w:p>
    <w:p>
      <w:r>
        <w:rPr>
          <w:rFonts w:ascii="맑은 고딕" w:hAnsi="맑은 고딕" w:eastAsia="맑은 고딕" w:cs="맑은 고딕"/>
          <w:b/>
          <w:color w:val="000000"/>
        </w:rPr>
        <w:t>책임 역할: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기관 현업·접근성 검토 담당  |  </w:t>
      </w:r>
      <w:r>
        <w:rPr>
          <w:rFonts w:ascii="맑은 고딕" w:hAnsi="맑은 고딕" w:eastAsia="맑은 고딕" w:cs="맑은 고딕"/>
          <w:b/>
          <w:color w:val="000000"/>
        </w:rPr>
        <w:t>기한: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사용성 수용평가 계획 확정 전</w:t>
      </w:r>
    </w:p>
    <w:p>
      <w:r>
        <w:rPr>
          <w:rFonts w:ascii="맑은 고딕" w:hAnsi="맑은 고딕" w:eastAsia="맑은 고딕" w:cs="맑은 고딕"/>
          <w:b/>
          <w:color w:val="000000"/>
        </w:rPr>
        <w:t>확보할 근거: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대표 업무·오류복구·키보드/보조기술·기기 및 평가 기준</w:t>
      </w:r>
    </w:p>
    <w:p>
      <w:r>
        <w:rPr>
          <w:rFonts w:ascii="맑은 고딕" w:hAnsi="맑은 고딕" w:eastAsia="맑은 고딕" w:cs="맑은 고딕"/>
          <w:b/>
          <w:color w:val="000000"/>
        </w:rPr>
        <w:t>권고안과 대안: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기관 담당·수행사·후임의 핵심 과업과 실패 복구를 대상으로 검토한다. 자동 검사만으로 수용하지 않는다.</w:t>
      </w:r>
    </w:p>
    <w:p>
      <w:r>
        <w:rPr>
          <w:rFonts w:ascii="맑은 고딕" w:hAnsi="맑은 고딕" w:eastAsia="맑은 고딕" w:cs="맑은 고딕"/>
          <w:b/>
          <w:color w:val="000000"/>
        </w:rPr>
        <w:t>종결 기준: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기기·화면 확대·키보드·보조기술·대표 사용자 및 과업별 성공 조건을 정한다.</w:t>
      </w:r>
    </w:p>
    <w:p>
      <w:r>
        <w:rPr>
          <w:rFonts w:ascii="맑은 고딕" w:hAnsi="맑은 고딕" w:eastAsia="맑은 고딕" w:cs="맑은 고딕"/>
          <w:b/>
          <w:color w:val="000000"/>
        </w:rPr>
        <w:t>미확정 시 처리: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사용성·접근성 적합성을 확정하지 않는다. 후속 화면 설계의 입력 조건으로 남긴다.</w:t>
      </w:r>
    </w:p>
    <w:p>
      <w:r>
        <w:rPr>
          <w:rFonts w:ascii="맑은 고딕" w:hAnsi="맑은 고딕" w:eastAsia="맑은 고딕" w:cs="맑은 고딕"/>
          <w:b/>
          <w:color w:val="000000"/>
        </w:rPr>
        <w:t>직접 연결: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Y1 1개 · Y2 0개 · Y3 0개. 공통 정책 영향은 추가 검토. </w:t>
      </w:r>
      <w:r>
        <w:rPr>
          <w:rFonts w:ascii="맑은 고딕" w:hAnsi="맑은 고딕" w:eastAsia="맑은 고딕" w:cs="맑은 고딕"/>
          <w:b/>
          <w:color w:val="000000"/>
        </w:rPr>
        <w:t>현재 결정: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미확정.</w:t>
      </w:r>
    </w:p>
    <w:p>
      <w:pPr>
        <w:pStyle w:val="Heading2"/>
      </w:pPr>
      <w:r>
        <w:t>TBD 14 외부 연계와 대체 처리</w:t>
      </w:r>
    </w:p>
    <w:p>
      <w:r>
        <w:rPr>
          <w:rFonts w:ascii="맑은 고딕" w:hAnsi="맑은 고딕" w:eastAsia="맑은 고딕" w:cs="맑은 고딕"/>
          <w:b/>
          <w:color w:val="000000"/>
        </w:rPr>
        <w:t>원정의: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실제 연계 대상·제공 권한·자료·주기·실패 대응</w:t>
      </w:r>
    </w:p>
    <w:p>
      <w:r>
        <w:rPr>
          <w:rFonts w:ascii="맑은 고딕" w:hAnsi="맑은 고딕" w:eastAsia="맑은 고딕" w:cs="맑은 고딕"/>
          <w:b/>
          <w:color w:val="000000"/>
        </w:rPr>
        <w:t>책임 역할: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기관 연계 담당·상대 시스템 책임자  |  </w:t>
      </w:r>
      <w:r>
        <w:rPr>
          <w:rFonts w:ascii="맑은 고딕" w:hAnsi="맑은 고딕" w:eastAsia="맑은 고딕" w:cs="맑은 고딕"/>
          <w:b/>
          <w:color w:val="000000"/>
        </w:rPr>
        <w:t>기한: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외부 인터페이스 상세 명세 확정 전</w:t>
      </w:r>
    </w:p>
    <w:p>
      <w:r>
        <w:rPr>
          <w:rFonts w:ascii="맑은 고딕" w:hAnsi="맑은 고딕" w:eastAsia="맑은 고딕" w:cs="맑은 고딕"/>
          <w:b/>
          <w:color w:val="000000"/>
        </w:rPr>
        <w:t>확보할 근거: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필드별 원천·정합성·전달 책임·오류/재시도/중복·수동 대체</w:t>
      </w:r>
    </w:p>
    <w:p>
      <w:r>
        <w:rPr>
          <w:rFonts w:ascii="맑은 고딕" w:hAnsi="맑은 고딕" w:eastAsia="맑은 고딕" w:cs="맑은 고딕"/>
          <w:b/>
          <w:color w:val="000000"/>
        </w:rPr>
        <w:t>권고안과 대안: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Y1 계정·조직 및 계약·결재·PMS 연계는 조건부다. 연계가 없으면 합의한 수동 등록·공식 원문 대조 경로를 쓴다.</w:t>
      </w:r>
    </w:p>
    <w:p>
      <w:r>
        <w:rPr>
          <w:rFonts w:ascii="맑은 고딕" w:hAnsi="맑은 고딕" w:eastAsia="맑은 고딕" w:cs="맑은 고딕"/>
          <w:b/>
          <w:color w:val="000000"/>
        </w:rPr>
        <w:t>종결 기준: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연계별 권한·필드 원천·동기화·실패·재시도·중복·회수·상대 운영자의 책임을 따로 합의한다.</w:t>
      </w:r>
    </w:p>
    <w:p>
      <w:r>
        <w:rPr>
          <w:rFonts w:ascii="맑은 고딕" w:hAnsi="맑은 고딕" w:eastAsia="맑은 고딕" w:cs="맑은 고딕"/>
          <w:b/>
          <w:color w:val="000000"/>
        </w:rPr>
        <w:t>미확정 시 처리: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자동 연계 범위는 채택하지 않는다. 대체 경로가 권한·품질 기준을 충족하는지 별도 확인한다.</w:t>
      </w:r>
    </w:p>
    <w:p>
      <w:r>
        <w:rPr>
          <w:rFonts w:ascii="맑은 고딕" w:hAnsi="맑은 고딕" w:eastAsia="맑은 고딕" w:cs="맑은 고딕"/>
          <w:b/>
          <w:color w:val="000000"/>
        </w:rPr>
        <w:t>직접 연결: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Y1 2개 · Y2 1개 · Y3 0개. 공통 정책 영향은 추가 검토. </w:t>
      </w:r>
      <w:r>
        <w:rPr>
          <w:rFonts w:ascii="맑은 고딕" w:hAnsi="맑은 고딕" w:eastAsia="맑은 고딕" w:cs="맑은 고딕"/>
          <w:b/>
          <w:color w:val="000000"/>
        </w:rPr>
        <w:t>현재 결정:</w:t>
      </w:r>
      <w:r>
        <w:rPr>
          <w:rFonts w:ascii="맑은 고딕" w:hAnsi="맑은 고딕" w:eastAsia="맑은 고딕" w:cs="맑은 고딕"/>
          <w:b w:val="0"/>
          <w:color w:val="000000"/>
        </w:rPr>
        <w:t xml:space="preserve"> 미확정.</w:t>
      </w:r>
    </w:p>
    <w:p>
      <w:pPr>
        <w:pStyle w:val="Heading1"/>
        <w:pageBreakBefore/>
      </w:pPr>
      <w:r>
        <w:t>10 결정 기록 양식과 후속 반영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다음 양식을 항목과 적용 범위별로 복제해 사용한다. 검토 결과가 생기면 근거와 함께 기록하고 관련 요구사항·수용기준을 갱신한다.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00"/>
        <w:gridCol w:w="79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기록 항목</w:t>
            </w:r>
          </w:p>
        </w:tc>
        <w:tc>
          <w:tcPr>
            <w:tcW w:type="dxa" w:w="79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5EDF4"/>
          </w:tcPr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0"/>
              </w:rPr>
              <w:t>기입 내용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결정 식별</w:t>
            </w:r>
          </w:p>
        </w:tc>
        <w:tc>
          <w:tcPr>
            <w:tcW w:type="dxa" w:w="79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TBD-___ / 하위 조건 ___ / 검토 회차 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적용 범위</w:t>
            </w:r>
          </w:p>
        </w:tc>
        <w:tc>
          <w:tcPr>
            <w:tcW w:type="dxa" w:w="79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기관 ___ / 서비스·사업·계약 ___ / 연차 ___ / 자료·기능 범위 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검토자와 결정자</w:t>
            </w:r>
          </w:p>
        </w:tc>
        <w:tc>
          <w:tcPr>
            <w:tcW w:type="dxa" w:w="79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작성 담당 ___ / 전문 검토 ___ / 최종 결정권자 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대안과 선택</w:t>
            </w:r>
          </w:p>
        </w:tc>
        <w:tc>
          <w:tcPr>
            <w:tcW w:type="dxa" w:w="79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검토 대안 ___ / 선택안 ___ / 선택 이유 ___ / 채택하지 않은 대안과 이유 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증거</w:t>
            </w:r>
          </w:p>
        </w:tc>
        <w:tc>
          <w:tcPr>
            <w:tcW w:type="dxa" w:w="79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문서명·버전·적용일·원문 위치 ___ / 확인자·확인일 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상태</w:t>
            </w:r>
          </w:p>
        </w:tc>
        <w:tc>
          <w:tcPr>
            <w:tcW w:type="dxa" w:w="79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미착수 / 검토 중 / 조건부 / 확정 / 보류 / 적용 제외 중 선택 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남은 조건</w:t>
            </w:r>
          </w:p>
        </w:tc>
        <w:tc>
          <w:tcPr>
            <w:tcW w:type="dxa" w:w="79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추가 근거 ___ / 책임자 ___ / 종결 사건 또는 합의일 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영향</w:t>
            </w:r>
          </w:p>
        </w:tc>
        <w:tc>
          <w:tcPr>
            <w:tcW w:type="dxa" w:w="79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요구 ID ___ / 수용기준 ID ___ / 권한·자료·비용·운영 영향 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반영과 재검토</w:t>
            </w:r>
          </w:p>
        </w:tc>
        <w:tc>
          <w:tcPr>
            <w:tcW w:type="dxa" w:w="796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반영 문서·버전 ___ / 결정일 ___ / 재검토 사유·조건 ___</w:t>
            </w:r>
          </w:p>
        </w:tc>
      </w:tr>
    </w:tbl>
    <w:p>
      <w:pPr>
        <w:spacing w:after="40" w:before="0" w:line="40" w:lineRule="exact"/>
      </w:pPr>
      <w:r>
        <w:rPr>
          <w:rFonts w:ascii="맑은 고딕" w:hAnsi="맑은 고딕" w:eastAsia="맑은 고딕" w:cs="맑은 고딕"/>
          <w:color w:val="000000"/>
          <w:sz w:val="4"/>
        </w:rPr>
      </w:r>
    </w:p>
    <w:p>
      <w:pPr>
        <w:pStyle w:val="Heading2"/>
      </w:pPr>
      <w:r>
        <w:t>종결과 변경 통제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</w:rPr>
        <w:t>확정은 지정 결정자·적용 범위·근거·결정일·영향 반영이 갖춰진 상태다. 조건부·보류·적용 제외는 확정 및 시험 통과와 구분한다.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</w:rPr>
        <w:t>원장에 직접 연결이 없어도 자료 정책·권한·기술 환경의 변경은 관련 업무 전체의 영향을 확인한다. 책임자는 기본 표시만으로 자동 배정되지 않는다.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</w:rPr>
        <w:t>TBD-10·11에는 인프라 0원 조건을 추가 반영한다. 1차 개발범위 정의서의 CR-01과 관련 요구를 대조하고 기존 v0.1 문서를 승인 없이 덮어쓰지 않는다.</w:t>
      </w:r>
    </w:p>
    <w:p>
      <w:r>
        <w:rPr>
          <w:rFonts w:ascii="맑은 고딕" w:hAnsi="맑은 고딕" w:eastAsia="맑은 고딕" w:cs="맑은 고딕"/>
          <w:b w:val="0"/>
          <w:color w:val="000000"/>
        </w:rPr>
        <w:t>근거 문서: 요구사항 분석서 v0.1 제11절, 요구사항 원장 v0.1, CCK 로컬 LLM 적용범위 v1.2의 U-INFRA-01. 기관·법령·품질·경제성의 실제 확정은 각 항목의 근거 확보 후 처리한다.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 w:eastAsia="맑은 고딕" w:cs="맑은 고딕"/>
        <w:color w:val="000000"/>
        <w:sz w:val="16"/>
      </w:rPr>
      <w:t xml:space="preserve">Public AI PMS 미확정 사항 검토표   | 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4" w:lineRule="auto" w:after="100"/>
    </w:pPr>
    <w:rPr>
      <w:rFonts w:ascii="맑은 고딕" w:hAnsi="맑은 고딕" w:eastAsia="맑은 고딕" w:cs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 w:eastAsia="맑은 고딕" w:cs="맑은 고딕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 w:eastAsia="맑은 고딕" w:cs="맑은 고딕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 w:cs="맑은 고딕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 w:cs="맑은 고딕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맑은 고딕" w:hAnsi="맑은 고딕" w:eastAsia="맑은 고딕" w:cs="맑은 고딕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60" w:after="140"/>
    </w:pPr>
    <w:rPr>
      <w:rFonts w:asciiTheme="majorHAnsi" w:eastAsiaTheme="majorEastAsia" w:hAnsiTheme="majorHAnsi" w:cstheme="majorBidi" w:ascii="맑은 고딕" w:hAnsi="맑은 고딕" w:eastAsia="맑은 고딕" w:cs="맑은 고딕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맑은 고딕" w:hAnsi="맑은 고딕" w:eastAsia="맑은 고딕" w:cs="맑은 고딕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맑은 고딕" w:hAnsi="맑은 고딕" w:eastAsia="맑은 고딕" w:cs="맑은 고딕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맑은 고딕" w:hAnsi="맑은 고딕" w:eastAsia="맑은 고딕" w:cs="맑은 고딕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맑은 고딕" w:hAnsi="맑은 고딕" w:eastAsia="맑은 고딕" w:cs="맑은 고딕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맑은 고딕" w:hAnsi="맑은 고딕" w:eastAsia="맑은 고딕" w:cs="맑은 고딕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맑은 고딕" w:hAnsi="맑은 고딕" w:eastAsia="맑은 고딕" w:cs="맑은 고딕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맑은 고딕" w:hAnsi="맑은 고딕" w:eastAsia="맑은 고딕" w:cs="맑은 고딕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4" w:lineRule="auto"/>
      <w:contextualSpacing/>
    </w:pPr>
    <w:rPr>
      <w:rFonts w:ascii="맑은 고딕" w:hAnsi="맑은 고딕" w:eastAsia="맑은 고딕" w:cs="맑은 고딕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93" w:lineRule="auto"/>
      <w:contextualSpacing/>
    </w:pPr>
    <w:rPr>
      <w:rFonts w:ascii="맑은 고딕" w:hAnsi="맑은 고딕" w:eastAsia="맑은 고딕" w:cs="맑은 고딕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맑은 고딕" w:hAnsi="맑은 고딕" w:eastAsia="맑은 고딕" w:cs="맑은 고딕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맑은 고딕" w:hAnsi="맑은 고딕" w:eastAsia="맑은 고딕" w:cs="맑은 고딕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맑은 고딕" w:hAnsi="맑은 고딕" w:eastAsia="맑은 고딕" w:cs="맑은 고딕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 w:eastAsia="맑은 고딕" w:cs="맑은 고딕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맑은 고딕" w:hAnsi="맑은 고딕" w:eastAsia="맑은 고딕" w:cs="맑은 고딕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맑은 고딕" w:hAnsi="맑은 고딕" w:eastAsia="맑은 고딕" w:cs="맑은 고딕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spacing w:after="140"/>
    </w:pPr>
    <w:rPr>
      <w:rFonts w:ascii="맑은 고딕" w:hAnsi="맑은 고딕"/>
      <w:color w:val="000000"/>
      <w:sz w:val="22"/>
    </w:rPr>
  </w:style>
  <w:style w:type="paragraph" w:customStyle="1" w:styleId="TOC2">
    <w:name w:val="TOC 2"/>
    <w:pPr>
      <w:spacing w:after="140"/>
    </w:pPr>
    <w:rPr>
      <w:rFonts w:ascii="맑은 고딕" w:hAnsi="맑은 고딕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AI PMS 미확정 사항 검토표</dc:title>
  <dc:subject>공공 정보화사업 관리 및 검증 서비스 요구사항</dc:subject>
  <dc:creator/>
  <cp:keywords>Public AI-PMS, 요구사항, 설계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