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TS AX 예산 조정 요구사항 정의서</w:t>
      </w:r>
    </w:p>
    <w:p>
      <w:pPr>
        <w:pStyle w:val="Subtitle"/>
      </w:pPr>
      <w:r>
        <w:t>버전 0.2   2026-09-10   발주 전 검토안</w:t>
      </w:r>
    </w:p>
    <w:p>
      <w:r>
        <w:t>1차 7억 원과 2차 추가 5억 원을 부가세 포함 목표 상한으로 두고, CCK 기존 기술과 로컬 LLM을 활용할 수 있도록 서비스·연계를 축소한 검토안이다. TS의 예산 확보나 CCK의 납품 가능성을 확정한 문서가 아니다.</w:t>
      </w:r>
    </w:p>
    <w:p>
      <w:pPr>
        <w:pStyle w:val="Heading1"/>
      </w:pPr>
      <w:r>
        <w:t>요구의 목적과 범위</w:t>
      </w:r>
    </w:p>
    <w:p>
      <w:r>
        <w:t>이 문서는 무엇을 왜 제공하는지와 적용 단계를 정의한다. 구현·검수 상세는 03 요구사항 명세서를 따른다. 기존 43개 중 X03·X05 8개 요구는 이연하고, 공식 읽기 연계 1개를 분리해 현재 범위 36개를 관리한다. 기존 ID를 변경 없이 유지하되 내용과 단계 변경을 명세에 반영했다.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3969"/>
        <w:gridCol w:w="3742"/>
        <w:gridCol w:w="1134"/>
      </w:tblGrid>
      <w:tr>
        <w:trPr>
          <w:cantSplit/>
          <w:tblHeader/>
        </w:trPr>
        <w:tc>
          <w:tcPr>
            <w:tcW w:type="dxa" w:w="1020"/>
            <w:shd w:fill="223E52"/>
            <w:tcMar>
              <w:top w:w="85" w:type="dxa"/>
              <w:left w:w="85" w:type="dxa"/>
              <w:bottom w:w="85" w:type="dxa"/>
              <w:right w:w="85" w:type="dxa"/>
            </w:tcMar>
          </w:tcPr>
          <w:p>
            <w:pPr>
              <w:spacing w:after="40" w:line="252" w:lineRule="auto"/>
            </w:pPr>
            <w:r>
              <w:rPr>
                <w:b/>
                <w:color w:val="FFFFFF"/>
                <w:sz w:val="18"/>
              </w:rPr>
              <w:t>사업 요구</w:t>
            </w:r>
          </w:p>
        </w:tc>
        <w:tc>
          <w:tcPr>
            <w:tcW w:type="dxa" w:w="3969"/>
            <w:shd w:fill="223E52"/>
            <w:tcMar>
              <w:top w:w="85" w:type="dxa"/>
              <w:left w:w="85" w:type="dxa"/>
              <w:bottom w:w="85" w:type="dxa"/>
              <w:right w:w="85" w:type="dxa"/>
            </w:tcMar>
          </w:tcPr>
          <w:p>
            <w:pPr>
              <w:spacing w:after="40" w:line="252" w:lineRule="auto"/>
            </w:pPr>
            <w:r>
              <w:rPr>
                <w:b/>
                <w:color w:val="FFFFFF"/>
                <w:sz w:val="18"/>
              </w:rPr>
              <w:t>목표</w:t>
            </w:r>
          </w:p>
        </w:tc>
        <w:tc>
          <w:tcPr>
            <w:tcW w:type="dxa" w:w="3742"/>
            <w:shd w:fill="223E52"/>
            <w:tcMar>
              <w:top w:w="85" w:type="dxa"/>
              <w:left w:w="85" w:type="dxa"/>
              <w:bottom w:w="85" w:type="dxa"/>
              <w:right w:w="85" w:type="dxa"/>
            </w:tcMar>
          </w:tcPr>
          <w:p>
            <w:pPr>
              <w:spacing w:after="40" w:line="252" w:lineRule="auto"/>
            </w:pPr>
            <w:r>
              <w:rPr>
                <w:b/>
                <w:color w:val="FFFFFF"/>
                <w:sz w:val="18"/>
              </w:rPr>
              <w:t>주요 요구</w:t>
            </w:r>
          </w:p>
        </w:tc>
        <w:tc>
          <w:tcPr>
            <w:tcW w:type="dxa" w:w="1134"/>
            <w:shd w:fill="223E52"/>
            <w:tcMar>
              <w:top w:w="85" w:type="dxa"/>
              <w:left w:w="85" w:type="dxa"/>
              <w:bottom w:w="85" w:type="dxa"/>
              <w:right w:w="85" w:type="dxa"/>
            </w:tcMar>
          </w:tcPr>
          <w:p>
            <w:pPr>
              <w:spacing w:after="40" w:line="252" w:lineRule="auto"/>
            </w:pPr>
            <w:r>
              <w:rPr>
                <w:b/>
                <w:color w:val="FFFFFF"/>
                <w:sz w:val="18"/>
              </w:rPr>
              <w:t>WBS</w:t>
            </w:r>
          </w:p>
        </w:tc>
      </w:tr>
      <w:tr>
        <w:trPr>
          <w:cantSplit/>
        </w:trPr>
        <w:tc>
          <w:tcPr>
            <w:tcW w:type="dxa" w:w="1020"/>
            <w:shd w:fill="FFFFFF"/>
            <w:tcMar>
              <w:top w:w="85" w:type="dxa"/>
              <w:left w:w="85" w:type="dxa"/>
              <w:bottom w:w="85" w:type="dxa"/>
              <w:right w:w="85" w:type="dxa"/>
            </w:tcMar>
          </w:tcPr>
          <w:p>
            <w:pPr>
              <w:spacing w:after="40" w:line="252" w:lineRule="auto"/>
            </w:pPr>
            <w:r>
              <w:rPr>
                <w:b w:val="0"/>
                <w:color w:val="172B39"/>
                <w:sz w:val="18"/>
              </w:rPr>
              <w:t>BR01</w:t>
            </w:r>
          </w:p>
        </w:tc>
        <w:tc>
          <w:tcPr>
            <w:tcW w:type="dxa" w:w="3969"/>
            <w:shd w:fill="FFFFFF"/>
            <w:tcMar>
              <w:top w:w="85" w:type="dxa"/>
              <w:left w:w="85" w:type="dxa"/>
              <w:bottom w:w="85" w:type="dxa"/>
              <w:right w:w="85" w:type="dxa"/>
            </w:tcMar>
          </w:tcPr>
          <w:p>
            <w:pPr>
              <w:spacing w:after="40" w:line="252" w:lineRule="auto"/>
            </w:pPr>
            <w:r>
              <w:rPr>
                <w:b w:val="0"/>
                <w:color w:val="172B39"/>
                <w:sz w:val="18"/>
              </w:rPr>
              <w:t>예약 가능한 선택지를 한 화면에서 찾고 원 채널로 이동한다</w:t>
            </w:r>
          </w:p>
        </w:tc>
        <w:tc>
          <w:tcPr>
            <w:tcW w:type="dxa" w:w="3742"/>
            <w:shd w:fill="FFFFFF"/>
            <w:tcMar>
              <w:top w:w="85" w:type="dxa"/>
              <w:left w:w="85" w:type="dxa"/>
              <w:bottom w:w="85" w:type="dxa"/>
              <w:right w:w="85" w:type="dxa"/>
            </w:tcMar>
          </w:tcPr>
          <w:p>
            <w:pPr>
              <w:spacing w:after="40" w:line="252" w:lineRule="auto"/>
            </w:pPr>
            <w:r>
              <w:rPr>
                <w:b w:val="0"/>
                <w:color w:val="172B39"/>
                <w:sz w:val="18"/>
              </w:rPr>
              <w:t>SFR-101~104</w:t>
            </w:r>
          </w:p>
        </w:tc>
        <w:tc>
          <w:tcPr>
            <w:tcW w:type="dxa" w:w="1134"/>
            <w:shd w:fill="FFFFFF"/>
            <w:tcMar>
              <w:top w:w="85" w:type="dxa"/>
              <w:left w:w="85" w:type="dxa"/>
              <w:bottom w:w="85" w:type="dxa"/>
              <w:right w:w="85" w:type="dxa"/>
            </w:tcMar>
          </w:tcPr>
          <w:p>
            <w:pPr>
              <w:spacing w:after="40" w:line="252" w:lineRule="auto"/>
            </w:pPr>
            <w:r>
              <w:rPr>
                <w:b w:val="0"/>
                <w:color w:val="172B39"/>
                <w:sz w:val="18"/>
              </w:rPr>
              <w:t>W07</w:t>
            </w:r>
          </w:p>
        </w:tc>
      </w:tr>
      <w:tr>
        <w:trPr>
          <w:cantSplit/>
        </w:trPr>
        <w:tc>
          <w:tcPr>
            <w:tcW w:type="dxa" w:w="1020"/>
            <w:shd w:fill="F1F5F7"/>
            <w:tcMar>
              <w:top w:w="85" w:type="dxa"/>
              <w:left w:w="85" w:type="dxa"/>
              <w:bottom w:w="85" w:type="dxa"/>
              <w:right w:w="85" w:type="dxa"/>
            </w:tcMar>
          </w:tcPr>
          <w:p>
            <w:pPr>
              <w:spacing w:after="40" w:line="252" w:lineRule="auto"/>
            </w:pPr>
            <w:r>
              <w:rPr>
                <w:b w:val="0"/>
                <w:color w:val="172B39"/>
                <w:sz w:val="18"/>
              </w:rPr>
              <w:t>BR02</w:t>
            </w:r>
          </w:p>
        </w:tc>
        <w:tc>
          <w:tcPr>
            <w:tcW w:type="dxa" w:w="3969"/>
            <w:shd w:fill="F1F5F7"/>
            <w:tcMar>
              <w:top w:w="85" w:type="dxa"/>
              <w:left w:w="85" w:type="dxa"/>
              <w:bottom w:w="85" w:type="dxa"/>
              <w:right w:w="85" w:type="dxa"/>
            </w:tcMar>
          </w:tcPr>
          <w:p>
            <w:pPr>
              <w:spacing w:after="40" w:line="252" w:lineRule="auto"/>
            </w:pPr>
            <w:r>
              <w:rPr>
                <w:b w:val="0"/>
                <w:color w:val="172B39"/>
                <w:sz w:val="18"/>
              </w:rPr>
              <w:t>공식 검사 결과에서 다음 행동을 이해한다</w:t>
            </w:r>
          </w:p>
        </w:tc>
        <w:tc>
          <w:tcPr>
            <w:tcW w:type="dxa" w:w="3742"/>
            <w:shd w:fill="F1F5F7"/>
            <w:tcMar>
              <w:top w:w="85" w:type="dxa"/>
              <w:left w:w="85" w:type="dxa"/>
              <w:bottom w:w="85" w:type="dxa"/>
              <w:right w:w="85" w:type="dxa"/>
            </w:tcMar>
          </w:tcPr>
          <w:p>
            <w:pPr>
              <w:spacing w:after="40" w:line="252" w:lineRule="auto"/>
            </w:pPr>
            <w:r>
              <w:rPr>
                <w:b w:val="0"/>
                <w:color w:val="172B39"/>
                <w:sz w:val="18"/>
              </w:rPr>
              <w:t>SFR-201~204</w:t>
            </w:r>
          </w:p>
        </w:tc>
        <w:tc>
          <w:tcPr>
            <w:tcW w:type="dxa" w:w="1134"/>
            <w:shd w:fill="F1F5F7"/>
            <w:tcMar>
              <w:top w:w="85" w:type="dxa"/>
              <w:left w:w="85" w:type="dxa"/>
              <w:bottom w:w="85" w:type="dxa"/>
              <w:right w:w="85" w:type="dxa"/>
            </w:tcMar>
          </w:tcPr>
          <w:p>
            <w:pPr>
              <w:spacing w:after="40" w:line="252" w:lineRule="auto"/>
            </w:pPr>
            <w:r>
              <w:rPr>
                <w:b w:val="0"/>
                <w:color w:val="172B39"/>
                <w:sz w:val="18"/>
              </w:rPr>
              <w:t>W04,W09</w:t>
            </w:r>
          </w:p>
        </w:tc>
      </w:tr>
      <w:tr>
        <w:trPr>
          <w:cantSplit/>
        </w:trPr>
        <w:tc>
          <w:tcPr>
            <w:tcW w:type="dxa" w:w="1020"/>
            <w:shd w:fill="FFFFFF"/>
            <w:tcMar>
              <w:top w:w="85" w:type="dxa"/>
              <w:left w:w="85" w:type="dxa"/>
              <w:bottom w:w="85" w:type="dxa"/>
              <w:right w:w="85" w:type="dxa"/>
            </w:tcMar>
          </w:tcPr>
          <w:p>
            <w:pPr>
              <w:spacing w:after="40" w:line="252" w:lineRule="auto"/>
            </w:pPr>
            <w:r>
              <w:rPr>
                <w:b w:val="0"/>
                <w:color w:val="172B39"/>
                <w:sz w:val="18"/>
              </w:rPr>
              <w:t>BR04</w:t>
            </w:r>
          </w:p>
        </w:tc>
        <w:tc>
          <w:tcPr>
            <w:tcW w:type="dxa" w:w="3969"/>
            <w:shd w:fill="FFFFFF"/>
            <w:tcMar>
              <w:top w:w="85" w:type="dxa"/>
              <w:left w:w="85" w:type="dxa"/>
              <w:bottom w:w="85" w:type="dxa"/>
              <w:right w:w="85" w:type="dxa"/>
            </w:tcMar>
          </w:tcPr>
          <w:p>
            <w:pPr>
              <w:spacing w:after="40" w:line="252" w:lineRule="auto"/>
            </w:pPr>
            <w:r>
              <w:rPr>
                <w:b w:val="0"/>
                <w:color w:val="172B39"/>
                <w:sz w:val="18"/>
              </w:rPr>
              <w:t>지적사항과 조치 증빙을 빠짐없이 연결한다</w:t>
            </w:r>
          </w:p>
        </w:tc>
        <w:tc>
          <w:tcPr>
            <w:tcW w:type="dxa" w:w="3742"/>
            <w:shd w:fill="FFFFFF"/>
            <w:tcMar>
              <w:top w:w="85" w:type="dxa"/>
              <w:left w:w="85" w:type="dxa"/>
              <w:bottom w:w="85" w:type="dxa"/>
              <w:right w:w="85" w:type="dxa"/>
            </w:tcMar>
          </w:tcPr>
          <w:p>
            <w:pPr>
              <w:spacing w:after="40" w:line="252" w:lineRule="auto"/>
            </w:pPr>
            <w:r>
              <w:rPr>
                <w:b w:val="0"/>
                <w:color w:val="172B39"/>
                <w:sz w:val="18"/>
              </w:rPr>
              <w:t>SFR-401~404</w:t>
            </w:r>
          </w:p>
        </w:tc>
        <w:tc>
          <w:tcPr>
            <w:tcW w:type="dxa" w:w="1134"/>
            <w:shd w:fill="FFFFFF"/>
            <w:tcMar>
              <w:top w:w="85" w:type="dxa"/>
              <w:left w:w="85" w:type="dxa"/>
              <w:bottom w:w="85" w:type="dxa"/>
              <w:right w:w="85" w:type="dxa"/>
            </w:tcMar>
          </w:tcPr>
          <w:p>
            <w:pPr>
              <w:spacing w:after="40" w:line="252" w:lineRule="auto"/>
            </w:pPr>
            <w:r>
              <w:rPr>
                <w:b w:val="0"/>
                <w:color w:val="172B39"/>
                <w:sz w:val="18"/>
              </w:rPr>
              <w:t>W05,W09</w:t>
            </w:r>
          </w:p>
        </w:tc>
      </w:tr>
      <w:tr>
        <w:trPr>
          <w:cantSplit/>
        </w:trPr>
        <w:tc>
          <w:tcPr>
            <w:tcW w:type="dxa" w:w="1020"/>
            <w:shd w:fill="F1F5F7"/>
            <w:tcMar>
              <w:top w:w="85" w:type="dxa"/>
              <w:left w:w="85" w:type="dxa"/>
              <w:bottom w:w="85" w:type="dxa"/>
              <w:right w:w="85" w:type="dxa"/>
            </w:tcMar>
          </w:tcPr>
          <w:p>
            <w:pPr>
              <w:spacing w:after="40" w:line="252" w:lineRule="auto"/>
            </w:pPr>
            <w:r>
              <w:rPr>
                <w:b w:val="0"/>
                <w:color w:val="172B39"/>
                <w:sz w:val="18"/>
              </w:rPr>
              <w:t>BR06</w:t>
            </w:r>
          </w:p>
        </w:tc>
        <w:tc>
          <w:tcPr>
            <w:tcW w:type="dxa" w:w="3969"/>
            <w:shd w:fill="F1F5F7"/>
            <w:tcMar>
              <w:top w:w="85" w:type="dxa"/>
              <w:left w:w="85" w:type="dxa"/>
              <w:bottom w:w="85" w:type="dxa"/>
              <w:right w:w="85" w:type="dxa"/>
            </w:tcMar>
          </w:tcPr>
          <w:p>
            <w:pPr>
              <w:spacing w:after="40" w:line="252" w:lineRule="auto"/>
            </w:pPr>
            <w:r>
              <w:rPr>
                <w:b w:val="0"/>
                <w:color w:val="172B39"/>
                <w:sz w:val="18"/>
              </w:rPr>
              <w:t>근거와 현행 기준을 추적한다</w:t>
            </w:r>
          </w:p>
        </w:tc>
        <w:tc>
          <w:tcPr>
            <w:tcW w:type="dxa" w:w="3742"/>
            <w:shd w:fill="F1F5F7"/>
            <w:tcMar>
              <w:top w:w="85" w:type="dxa"/>
              <w:left w:w="85" w:type="dxa"/>
              <w:bottom w:w="85" w:type="dxa"/>
              <w:right w:w="85" w:type="dxa"/>
            </w:tcMar>
          </w:tcPr>
          <w:p>
            <w:pPr>
              <w:spacing w:after="40" w:line="252" w:lineRule="auto"/>
            </w:pPr>
            <w:r>
              <w:rPr>
                <w:b w:val="0"/>
                <w:color w:val="172B39"/>
                <w:sz w:val="18"/>
              </w:rPr>
              <w:t>SFR-002~003,006; DAR-001</w:t>
            </w:r>
          </w:p>
        </w:tc>
        <w:tc>
          <w:tcPr>
            <w:tcW w:type="dxa" w:w="1134"/>
            <w:shd w:fill="F1F5F7"/>
            <w:tcMar>
              <w:top w:w="85" w:type="dxa"/>
              <w:left w:w="85" w:type="dxa"/>
              <w:bottom w:w="85" w:type="dxa"/>
              <w:right w:w="85" w:type="dxa"/>
            </w:tcMar>
          </w:tcPr>
          <w:p>
            <w:pPr>
              <w:spacing w:after="40" w:line="252" w:lineRule="auto"/>
            </w:pPr>
            <w:r>
              <w:rPr>
                <w:b w:val="0"/>
                <w:color w:val="172B39"/>
                <w:sz w:val="18"/>
              </w:rPr>
              <w:t>W02</w:t>
            </w:r>
          </w:p>
        </w:tc>
      </w:tr>
      <w:tr>
        <w:trPr>
          <w:cantSplit/>
        </w:trPr>
        <w:tc>
          <w:tcPr>
            <w:tcW w:type="dxa" w:w="1020"/>
            <w:shd w:fill="FFFFFF"/>
            <w:tcMar>
              <w:top w:w="85" w:type="dxa"/>
              <w:left w:w="85" w:type="dxa"/>
              <w:bottom w:w="85" w:type="dxa"/>
              <w:right w:w="85" w:type="dxa"/>
            </w:tcMar>
          </w:tcPr>
          <w:p>
            <w:pPr>
              <w:spacing w:after="40" w:line="252" w:lineRule="auto"/>
            </w:pPr>
            <w:r>
              <w:rPr>
                <w:b w:val="0"/>
                <w:color w:val="172B39"/>
                <w:sz w:val="18"/>
              </w:rPr>
              <w:t>BR07</w:t>
            </w:r>
          </w:p>
        </w:tc>
        <w:tc>
          <w:tcPr>
            <w:tcW w:type="dxa" w:w="3969"/>
            <w:shd w:fill="FFFFFF"/>
            <w:tcMar>
              <w:top w:w="85" w:type="dxa"/>
              <w:left w:w="85" w:type="dxa"/>
              <w:bottom w:w="85" w:type="dxa"/>
              <w:right w:w="85" w:type="dxa"/>
            </w:tcMar>
          </w:tcPr>
          <w:p>
            <w:pPr>
              <w:spacing w:after="40" w:line="252" w:lineRule="auto"/>
            </w:pPr>
            <w:r>
              <w:rPr>
                <w:b w:val="0"/>
                <w:color w:val="172B39"/>
                <w:sz w:val="18"/>
              </w:rPr>
              <w:t>권한에 맞게 내부 검토하고 조회한다</w:t>
            </w:r>
          </w:p>
        </w:tc>
        <w:tc>
          <w:tcPr>
            <w:tcW w:type="dxa" w:w="3742"/>
            <w:shd w:fill="FFFFFF"/>
            <w:tcMar>
              <w:top w:w="85" w:type="dxa"/>
              <w:left w:w="85" w:type="dxa"/>
              <w:bottom w:w="85" w:type="dxa"/>
              <w:right w:w="85" w:type="dxa"/>
            </w:tcMar>
          </w:tcPr>
          <w:p>
            <w:pPr>
              <w:spacing w:after="40" w:line="252" w:lineRule="auto"/>
            </w:pPr>
            <w:r>
              <w:rPr>
                <w:b w:val="0"/>
                <w:color w:val="172B39"/>
                <w:sz w:val="18"/>
              </w:rPr>
              <w:t>SFR-004~005,007; SER-001~003</w:t>
            </w:r>
          </w:p>
        </w:tc>
        <w:tc>
          <w:tcPr>
            <w:tcW w:type="dxa" w:w="1134"/>
            <w:shd w:fill="FFFFFF"/>
            <w:tcMar>
              <w:top w:w="85" w:type="dxa"/>
              <w:left w:w="85" w:type="dxa"/>
              <w:bottom w:w="85" w:type="dxa"/>
              <w:right w:w="85" w:type="dxa"/>
            </w:tcMar>
          </w:tcPr>
          <w:p>
            <w:pPr>
              <w:spacing w:after="40" w:line="252" w:lineRule="auto"/>
            </w:pPr>
            <w:r>
              <w:rPr>
                <w:b w:val="0"/>
                <w:color w:val="172B39"/>
                <w:sz w:val="18"/>
              </w:rPr>
              <w:t>W03</w:t>
            </w:r>
          </w:p>
        </w:tc>
      </w:tr>
      <w:tr>
        <w:trPr>
          <w:cantSplit/>
        </w:trPr>
        <w:tc>
          <w:tcPr>
            <w:tcW w:type="dxa" w:w="1020"/>
            <w:shd w:fill="F1F5F7"/>
            <w:tcMar>
              <w:top w:w="85" w:type="dxa"/>
              <w:left w:w="85" w:type="dxa"/>
              <w:bottom w:w="85" w:type="dxa"/>
              <w:right w:w="85" w:type="dxa"/>
            </w:tcMar>
          </w:tcPr>
          <w:p>
            <w:pPr>
              <w:spacing w:after="40" w:line="252" w:lineRule="auto"/>
            </w:pPr>
            <w:r>
              <w:rPr>
                <w:b w:val="0"/>
                <w:color w:val="172B39"/>
                <w:sz w:val="18"/>
              </w:rPr>
              <w:t>BR08</w:t>
            </w:r>
          </w:p>
        </w:tc>
        <w:tc>
          <w:tcPr>
            <w:tcW w:type="dxa" w:w="3969"/>
            <w:shd w:fill="F1F5F7"/>
            <w:tcMar>
              <w:top w:w="85" w:type="dxa"/>
              <w:left w:w="85" w:type="dxa"/>
              <w:bottom w:w="85" w:type="dxa"/>
              <w:right w:w="85" w:type="dxa"/>
            </w:tcMar>
          </w:tcPr>
          <w:p>
            <w:pPr>
              <w:spacing w:after="40" w:line="252" w:lineRule="auto"/>
            </w:pPr>
            <w:r>
              <w:rPr>
                <w:b w:val="0"/>
                <w:color w:val="172B39"/>
                <w:sz w:val="18"/>
              </w:rPr>
              <w:t>로컬 환경에서 안정적으로 제공한다</w:t>
            </w:r>
          </w:p>
        </w:tc>
        <w:tc>
          <w:tcPr>
            <w:tcW w:type="dxa" w:w="3742"/>
            <w:shd w:fill="F1F5F7"/>
            <w:tcMar>
              <w:top w:w="85" w:type="dxa"/>
              <w:left w:w="85" w:type="dxa"/>
              <w:bottom w:w="85" w:type="dxa"/>
              <w:right w:w="85" w:type="dxa"/>
            </w:tcMar>
          </w:tcPr>
          <w:p>
            <w:pPr>
              <w:spacing w:after="40" w:line="252" w:lineRule="auto"/>
            </w:pPr>
            <w:r>
              <w:rPr>
                <w:b w:val="0"/>
                <w:color w:val="172B39"/>
                <w:sz w:val="18"/>
              </w:rPr>
              <w:t>SFR-001; PER-001~002; COR-001</w:t>
            </w:r>
          </w:p>
        </w:tc>
        <w:tc>
          <w:tcPr>
            <w:tcW w:type="dxa" w:w="1134"/>
            <w:shd w:fill="F1F5F7"/>
            <w:tcMar>
              <w:top w:w="85" w:type="dxa"/>
              <w:left w:w="85" w:type="dxa"/>
              <w:bottom w:w="85" w:type="dxa"/>
              <w:right w:w="85" w:type="dxa"/>
            </w:tcMar>
          </w:tcPr>
          <w:p>
            <w:pPr>
              <w:spacing w:after="40" w:line="252" w:lineRule="auto"/>
            </w:pPr>
            <w:r>
              <w:rPr>
                <w:b w:val="0"/>
                <w:color w:val="172B39"/>
                <w:sz w:val="18"/>
              </w:rPr>
              <w:t>W02,W06,W10</w:t>
            </w:r>
          </w:p>
        </w:tc>
      </w:tr>
      <w:tr>
        <w:trPr>
          <w:cantSplit/>
        </w:trPr>
        <w:tc>
          <w:tcPr>
            <w:tcW w:type="dxa" w:w="1020"/>
            <w:shd w:fill="FFFFFF"/>
            <w:tcMar>
              <w:top w:w="85" w:type="dxa"/>
              <w:left w:w="85" w:type="dxa"/>
              <w:bottom w:w="85" w:type="dxa"/>
              <w:right w:w="85" w:type="dxa"/>
            </w:tcMar>
          </w:tcPr>
          <w:p>
            <w:pPr>
              <w:spacing w:after="40" w:line="252" w:lineRule="auto"/>
            </w:pPr>
            <w:r>
              <w:rPr>
                <w:b w:val="0"/>
                <w:color w:val="172B39"/>
                <w:sz w:val="18"/>
              </w:rPr>
              <w:t>BR09</w:t>
            </w:r>
          </w:p>
        </w:tc>
        <w:tc>
          <w:tcPr>
            <w:tcW w:type="dxa" w:w="3969"/>
            <w:shd w:fill="FFFFFF"/>
            <w:tcMar>
              <w:top w:w="85" w:type="dxa"/>
              <w:left w:w="85" w:type="dxa"/>
              <w:bottom w:w="85" w:type="dxa"/>
              <w:right w:w="85" w:type="dxa"/>
            </w:tcMar>
          </w:tcPr>
          <w:p>
            <w:pPr>
              <w:spacing w:after="40" w:line="252" w:lineRule="auto"/>
            </w:pPr>
            <w:r>
              <w:rPr>
                <w:b w:val="0"/>
                <w:color w:val="172B39"/>
                <w:sz w:val="18"/>
              </w:rPr>
              <w:t>누구나 사용하고 오류를 고친다</w:t>
            </w:r>
          </w:p>
        </w:tc>
        <w:tc>
          <w:tcPr>
            <w:tcW w:type="dxa" w:w="3742"/>
            <w:shd w:fill="FFFFFF"/>
            <w:tcMar>
              <w:top w:w="85" w:type="dxa"/>
              <w:left w:w="85" w:type="dxa"/>
              <w:bottom w:w="85" w:type="dxa"/>
              <w:right w:w="85" w:type="dxa"/>
            </w:tcMar>
          </w:tcPr>
          <w:p>
            <w:pPr>
              <w:spacing w:after="40" w:line="252" w:lineRule="auto"/>
            </w:pPr>
            <w:r>
              <w:rPr>
                <w:b w:val="0"/>
                <w:color w:val="172B39"/>
                <w:sz w:val="18"/>
              </w:rPr>
              <w:t>UIR-001; QUR-001~002</w:t>
            </w:r>
          </w:p>
        </w:tc>
        <w:tc>
          <w:tcPr>
            <w:tcW w:type="dxa" w:w="1134"/>
            <w:shd w:fill="FFFFFF"/>
            <w:tcMar>
              <w:top w:w="85" w:type="dxa"/>
              <w:left w:w="85" w:type="dxa"/>
              <w:bottom w:w="85" w:type="dxa"/>
              <w:right w:w="85" w:type="dxa"/>
            </w:tcMar>
          </w:tcPr>
          <w:p>
            <w:pPr>
              <w:spacing w:after="40" w:line="252" w:lineRule="auto"/>
            </w:pPr>
            <w:r>
              <w:rPr>
                <w:b w:val="0"/>
                <w:color w:val="172B39"/>
                <w:sz w:val="18"/>
              </w:rPr>
              <w:t>W06,W10</w:t>
            </w:r>
          </w:p>
        </w:tc>
      </w:tr>
      <w:tr>
        <w:trPr>
          <w:cantSplit/>
        </w:trPr>
        <w:tc>
          <w:tcPr>
            <w:tcW w:type="dxa" w:w="1020"/>
            <w:shd w:fill="F1F5F7"/>
            <w:tcMar>
              <w:top w:w="85" w:type="dxa"/>
              <w:left w:w="85" w:type="dxa"/>
              <w:bottom w:w="85" w:type="dxa"/>
              <w:right w:w="85" w:type="dxa"/>
            </w:tcMar>
          </w:tcPr>
          <w:p>
            <w:pPr>
              <w:spacing w:after="40" w:line="252" w:lineRule="auto"/>
            </w:pPr>
            <w:r>
              <w:rPr>
                <w:b w:val="0"/>
                <w:color w:val="172B39"/>
                <w:sz w:val="18"/>
              </w:rPr>
              <w:t>BR10</w:t>
            </w:r>
          </w:p>
        </w:tc>
        <w:tc>
          <w:tcPr>
            <w:tcW w:type="dxa" w:w="3969"/>
            <w:shd w:fill="F1F5F7"/>
            <w:tcMar>
              <w:top w:w="85" w:type="dxa"/>
              <w:left w:w="85" w:type="dxa"/>
              <w:bottom w:w="85" w:type="dxa"/>
              <w:right w:w="85" w:type="dxa"/>
            </w:tcMar>
          </w:tcPr>
          <w:p>
            <w:pPr>
              <w:spacing w:after="40" w:line="252" w:lineRule="auto"/>
            </w:pPr>
            <w:r>
              <w:rPr>
                <w:b w:val="0"/>
                <w:color w:val="172B39"/>
                <w:sz w:val="18"/>
              </w:rPr>
              <w:t>서비스 개선과 책임 있는 인수를 수행한다</w:t>
            </w:r>
          </w:p>
        </w:tc>
        <w:tc>
          <w:tcPr>
            <w:tcW w:type="dxa" w:w="3742"/>
            <w:shd w:fill="F1F5F7"/>
            <w:tcMar>
              <w:top w:w="85" w:type="dxa"/>
              <w:left w:w="85" w:type="dxa"/>
              <w:bottom w:w="85" w:type="dxa"/>
              <w:right w:w="85" w:type="dxa"/>
            </w:tcMar>
          </w:tcPr>
          <w:p>
            <w:pPr>
              <w:spacing w:after="40" w:line="252" w:lineRule="auto"/>
            </w:pPr>
            <w:r>
              <w:rPr>
                <w:b w:val="0"/>
                <w:color w:val="172B39"/>
                <w:sz w:val="18"/>
              </w:rPr>
              <w:t>SFR-008; PMR-001~004; TER-001</w:t>
            </w:r>
          </w:p>
        </w:tc>
        <w:tc>
          <w:tcPr>
            <w:tcW w:type="dxa" w:w="1134"/>
            <w:shd w:fill="F1F5F7"/>
            <w:tcMar>
              <w:top w:w="85" w:type="dxa"/>
              <w:left w:w="85" w:type="dxa"/>
              <w:bottom w:w="85" w:type="dxa"/>
              <w:right w:w="85" w:type="dxa"/>
            </w:tcMar>
          </w:tcPr>
          <w:p>
            <w:pPr>
              <w:spacing w:after="40" w:line="252" w:lineRule="auto"/>
            </w:pPr>
            <w:r>
              <w:rPr>
                <w:b w:val="0"/>
                <w:color w:val="172B39"/>
                <w:sz w:val="18"/>
              </w:rPr>
              <w:t>W01,W06,W10</w:t>
            </w:r>
          </w:p>
        </w:tc>
      </w:tr>
      <w:tr>
        <w:trPr>
          <w:cantSplit/>
        </w:trPr>
        <w:tc>
          <w:tcPr>
            <w:tcW w:type="dxa" w:w="1020"/>
            <w:shd w:fill="FFFFFF"/>
            <w:tcMar>
              <w:top w:w="85" w:type="dxa"/>
              <w:left w:w="85" w:type="dxa"/>
              <w:bottom w:w="85" w:type="dxa"/>
              <w:right w:w="85" w:type="dxa"/>
            </w:tcMar>
          </w:tcPr>
          <w:p>
            <w:pPr>
              <w:spacing w:after="40" w:line="252" w:lineRule="auto"/>
            </w:pPr>
            <w:r>
              <w:rPr>
                <w:b w:val="0"/>
                <w:color w:val="172B39"/>
                <w:sz w:val="18"/>
              </w:rPr>
              <w:t>BR11</w:t>
            </w:r>
          </w:p>
        </w:tc>
        <w:tc>
          <w:tcPr>
            <w:tcW w:type="dxa" w:w="3969"/>
            <w:shd w:fill="FFFFFF"/>
            <w:tcMar>
              <w:top w:w="85" w:type="dxa"/>
              <w:left w:w="85" w:type="dxa"/>
              <w:bottom w:w="85" w:type="dxa"/>
              <w:right w:w="85" w:type="dxa"/>
            </w:tcMar>
          </w:tcPr>
          <w:p>
            <w:pPr>
              <w:spacing w:after="40" w:line="252" w:lineRule="auto"/>
            </w:pPr>
            <w:r>
              <w:rPr>
                <w:b w:val="0"/>
                <w:color w:val="172B39"/>
                <w:sz w:val="18"/>
              </w:rPr>
              <w:t>원천 결과를 반복 입력하지 않는다</w:t>
            </w:r>
          </w:p>
        </w:tc>
        <w:tc>
          <w:tcPr>
            <w:tcW w:type="dxa" w:w="3742"/>
            <w:shd w:fill="FFFFFF"/>
            <w:tcMar>
              <w:top w:w="85" w:type="dxa"/>
              <w:left w:w="85" w:type="dxa"/>
              <w:bottom w:w="85" w:type="dxa"/>
              <w:right w:w="85" w:type="dxa"/>
            </w:tcMar>
          </w:tcPr>
          <w:p>
            <w:pPr>
              <w:spacing w:after="40" w:line="252" w:lineRule="auto"/>
            </w:pPr>
            <w:r>
              <w:rPr>
                <w:b w:val="0"/>
                <w:color w:val="172B39"/>
                <w:sz w:val="18"/>
              </w:rPr>
              <w:t>SIR-001</w:t>
            </w:r>
          </w:p>
        </w:tc>
        <w:tc>
          <w:tcPr>
            <w:tcW w:type="dxa" w:w="1134"/>
            <w:shd w:fill="FFFFFF"/>
            <w:tcMar>
              <w:top w:w="85" w:type="dxa"/>
              <w:left w:w="85" w:type="dxa"/>
              <w:bottom w:w="85" w:type="dxa"/>
              <w:right w:w="85" w:type="dxa"/>
            </w:tcMar>
          </w:tcPr>
          <w:p>
            <w:pPr>
              <w:spacing w:after="40" w:line="252" w:lineRule="auto"/>
            </w:pPr>
            <w:r>
              <w:rPr>
                <w:b w:val="0"/>
                <w:color w:val="172B39"/>
                <w:sz w:val="18"/>
              </w:rPr>
              <w:t>W08</w:t>
            </w:r>
          </w:p>
        </w:tc>
      </w:tr>
    </w:tbl>
    <w:p>
      <w:pPr>
        <w:pStyle w:val="Heading1"/>
      </w:pPr>
      <w:r>
        <w:t>가정과 경계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1417"/>
        <w:gridCol w:w="7654"/>
      </w:tblGrid>
      <w:tr>
        <w:trPr>
          <w:cantSplit/>
          <w:tblHeader/>
        </w:trPr>
        <w:tc>
          <w:tcPr>
            <w:tcW w:type="dxa" w:w="794"/>
            <w:shd w:fill="223E52"/>
            <w:tcMar>
              <w:top w:w="85" w:type="dxa"/>
              <w:left w:w="85" w:type="dxa"/>
              <w:bottom w:w="85" w:type="dxa"/>
              <w:right w:w="85" w:type="dxa"/>
            </w:tcMar>
          </w:tcPr>
          <w:p>
            <w:pPr>
              <w:spacing w:after="40" w:line="252" w:lineRule="auto"/>
            </w:pPr>
            <w:r>
              <w:rPr>
                <w:b/>
                <w:color w:val="FFFFFF"/>
                <w:sz w:val="18"/>
              </w:rPr>
              <w:t>ID</w:t>
            </w:r>
          </w:p>
        </w:tc>
        <w:tc>
          <w:tcPr>
            <w:tcW w:type="dxa" w:w="1417"/>
            <w:shd w:fill="223E52"/>
            <w:tcMar>
              <w:top w:w="85" w:type="dxa"/>
              <w:left w:w="85" w:type="dxa"/>
              <w:bottom w:w="85" w:type="dxa"/>
              <w:right w:w="85" w:type="dxa"/>
            </w:tcMar>
          </w:tcPr>
          <w:p>
            <w:pPr>
              <w:spacing w:after="40" w:line="252" w:lineRule="auto"/>
            </w:pPr>
            <w:r>
              <w:rPr>
                <w:b/>
                <w:color w:val="FFFFFF"/>
                <w:sz w:val="18"/>
              </w:rPr>
              <w:t>구분</w:t>
            </w:r>
          </w:p>
        </w:tc>
        <w:tc>
          <w:tcPr>
            <w:tcW w:type="dxa" w:w="7654"/>
            <w:shd w:fill="223E52"/>
            <w:tcMar>
              <w:top w:w="85" w:type="dxa"/>
              <w:left w:w="85" w:type="dxa"/>
              <w:bottom w:w="85" w:type="dxa"/>
              <w:right w:w="85" w:type="dxa"/>
            </w:tcMar>
          </w:tcPr>
          <w:p>
            <w:pPr>
              <w:spacing w:after="40" w:line="252" w:lineRule="auto"/>
            </w:pPr>
            <w:r>
              <w:rPr>
                <w:b/>
                <w:color w:val="FFFFFF"/>
                <w:sz w:val="18"/>
              </w:rPr>
              <w:t>가정</w:t>
            </w:r>
          </w:p>
        </w:tc>
      </w:tr>
      <w:tr>
        <w:trPr>
          <w:cantSplit/>
        </w:trPr>
        <w:tc>
          <w:tcPr>
            <w:tcW w:type="dxa" w:w="794"/>
            <w:shd w:fill="FFFFFF"/>
            <w:tcMar>
              <w:top w:w="85" w:type="dxa"/>
              <w:left w:w="85" w:type="dxa"/>
              <w:bottom w:w="85" w:type="dxa"/>
              <w:right w:w="85" w:type="dxa"/>
            </w:tcMar>
          </w:tcPr>
          <w:p>
            <w:pPr>
              <w:spacing w:after="40" w:line="252" w:lineRule="auto"/>
            </w:pPr>
            <w:r>
              <w:rPr>
                <w:b w:val="0"/>
                <w:color w:val="172B39"/>
                <w:sz w:val="18"/>
              </w:rPr>
              <w:t>A01</w:t>
            </w:r>
          </w:p>
        </w:tc>
        <w:tc>
          <w:tcPr>
            <w:tcW w:type="dxa" w:w="1417"/>
            <w:shd w:fill="FFFFFF"/>
            <w:tcMar>
              <w:top w:w="85" w:type="dxa"/>
              <w:left w:w="85" w:type="dxa"/>
              <w:bottom w:w="85" w:type="dxa"/>
              <w:right w:w="85" w:type="dxa"/>
            </w:tcMar>
          </w:tcPr>
          <w:p>
            <w:pPr>
              <w:spacing w:after="40" w:line="252" w:lineRule="auto"/>
            </w:pPr>
            <w:r>
              <w:rPr>
                <w:b w:val="0"/>
                <w:color w:val="172B39"/>
                <w:sz w:val="18"/>
              </w:rPr>
              <w:t>예산</w:t>
            </w:r>
          </w:p>
        </w:tc>
        <w:tc>
          <w:tcPr>
            <w:tcW w:type="dxa" w:w="7654"/>
            <w:shd w:fill="FFFFFF"/>
            <w:tcMar>
              <w:top w:w="85" w:type="dxa"/>
              <w:left w:w="85" w:type="dxa"/>
              <w:bottom w:w="85" w:type="dxa"/>
              <w:right w:w="85" w:type="dxa"/>
            </w:tcMar>
          </w:tcPr>
          <w:p>
            <w:pPr>
              <w:spacing w:after="40" w:line="252" w:lineRule="auto"/>
            </w:pPr>
            <w:r>
              <w:rPr>
                <w:b w:val="0"/>
                <w:color w:val="172B39"/>
                <w:sz w:val="18"/>
              </w:rPr>
              <w:t>1차 7억·2차 5억은 VAT 포함 목표 상한. 2차는 추가 5억이며 누계 12억이다.</w:t>
            </w:r>
          </w:p>
        </w:tc>
      </w:tr>
      <w:tr>
        <w:trPr>
          <w:cantSplit/>
        </w:trPr>
        <w:tc>
          <w:tcPr>
            <w:tcW w:type="dxa" w:w="794"/>
            <w:shd w:fill="F1F5F7"/>
            <w:tcMar>
              <w:top w:w="85" w:type="dxa"/>
              <w:left w:w="85" w:type="dxa"/>
              <w:bottom w:w="85" w:type="dxa"/>
              <w:right w:w="85" w:type="dxa"/>
            </w:tcMar>
          </w:tcPr>
          <w:p>
            <w:pPr>
              <w:spacing w:after="40" w:line="252" w:lineRule="auto"/>
            </w:pPr>
            <w:r>
              <w:rPr>
                <w:b w:val="0"/>
                <w:color w:val="172B39"/>
                <w:sz w:val="18"/>
              </w:rPr>
              <w:t>A02</w:t>
            </w:r>
          </w:p>
        </w:tc>
        <w:tc>
          <w:tcPr>
            <w:tcW w:type="dxa" w:w="1417"/>
            <w:shd w:fill="F1F5F7"/>
            <w:tcMar>
              <w:top w:w="85" w:type="dxa"/>
              <w:left w:w="85" w:type="dxa"/>
              <w:bottom w:w="85" w:type="dxa"/>
              <w:right w:w="85" w:type="dxa"/>
            </w:tcMar>
          </w:tcPr>
          <w:p>
            <w:pPr>
              <w:spacing w:after="40" w:line="252" w:lineRule="auto"/>
            </w:pPr>
            <w:r>
              <w:rPr>
                <w:b w:val="0"/>
                <w:color w:val="172B39"/>
                <w:sz w:val="18"/>
              </w:rPr>
              <w:t>일정</w:t>
            </w:r>
          </w:p>
        </w:tc>
        <w:tc>
          <w:tcPr>
            <w:tcW w:type="dxa" w:w="7654"/>
            <w:shd w:fill="F1F5F7"/>
            <w:tcMar>
              <w:top w:w="85" w:type="dxa"/>
              <w:left w:w="85" w:type="dxa"/>
              <w:bottom w:w="85" w:type="dxa"/>
              <w:right w:w="85" w:type="dxa"/>
            </w:tcMar>
          </w:tcPr>
          <w:p>
            <w:pPr>
              <w:spacing w:after="40" w:line="252" w:lineRule="auto"/>
            </w:pPr>
            <w:r>
              <w:rPr>
                <w:b w:val="0"/>
                <w:color w:val="172B39"/>
                <w:sz w:val="18"/>
              </w:rPr>
              <w:t>1차 6개월, 2차 추가 6개월. 두 단계 사이 공백은 가정하지 않는다. 공백 운영은 별도 산정한다.</w:t>
            </w:r>
          </w:p>
        </w:tc>
      </w:tr>
      <w:tr>
        <w:trPr>
          <w:cantSplit/>
        </w:trPr>
        <w:tc>
          <w:tcPr>
            <w:tcW w:type="dxa" w:w="794"/>
            <w:shd w:fill="FFFFFF"/>
            <w:tcMar>
              <w:top w:w="85" w:type="dxa"/>
              <w:left w:w="85" w:type="dxa"/>
              <w:bottom w:w="85" w:type="dxa"/>
              <w:right w:w="85" w:type="dxa"/>
            </w:tcMar>
          </w:tcPr>
          <w:p>
            <w:pPr>
              <w:spacing w:after="40" w:line="252" w:lineRule="auto"/>
            </w:pPr>
            <w:r>
              <w:rPr>
                <w:b w:val="0"/>
                <w:color w:val="172B39"/>
                <w:sz w:val="18"/>
              </w:rPr>
              <w:t>A03</w:t>
            </w:r>
          </w:p>
        </w:tc>
        <w:tc>
          <w:tcPr>
            <w:tcW w:type="dxa" w:w="1417"/>
            <w:shd w:fill="FFFFFF"/>
            <w:tcMar>
              <w:top w:w="85" w:type="dxa"/>
              <w:left w:w="85" w:type="dxa"/>
              <w:bottom w:w="85" w:type="dxa"/>
              <w:right w:w="85" w:type="dxa"/>
            </w:tcMar>
          </w:tcPr>
          <w:p>
            <w:pPr>
              <w:spacing w:after="40" w:line="252" w:lineRule="auto"/>
            </w:pPr>
            <w:r>
              <w:rPr>
                <w:b w:val="0"/>
                <w:color w:val="172B39"/>
                <w:sz w:val="18"/>
              </w:rPr>
              <w:t>기존 환경</w:t>
            </w:r>
          </w:p>
        </w:tc>
        <w:tc>
          <w:tcPr>
            <w:tcW w:type="dxa" w:w="7654"/>
            <w:shd w:fill="FFFFFF"/>
            <w:tcMar>
              <w:top w:w="85" w:type="dxa"/>
              <w:left w:w="85" w:type="dxa"/>
              <w:bottom w:w="85" w:type="dxa"/>
              <w:right w:w="85" w:type="dxa"/>
            </w:tcMar>
          </w:tcPr>
          <w:p>
            <w:pPr>
              <w:spacing w:after="40" w:line="252" w:lineRule="auto"/>
            </w:pPr>
            <w:r>
              <w:rPr>
                <w:b w:val="0"/>
                <w:color w:val="172B39"/>
                <w:sz w:val="18"/>
              </w:rPr>
              <w:t>로컬 GPU·센터·망·인증 및 기본 운영을 적법하게 제공받는 조건. GPU 모델·메모리·가용률 미확인.</w:t>
            </w:r>
          </w:p>
        </w:tc>
      </w:tr>
      <w:tr>
        <w:trPr>
          <w:cantSplit/>
        </w:trPr>
        <w:tc>
          <w:tcPr>
            <w:tcW w:type="dxa" w:w="794"/>
            <w:shd w:fill="F1F5F7"/>
            <w:tcMar>
              <w:top w:w="85" w:type="dxa"/>
              <w:left w:w="85" w:type="dxa"/>
              <w:bottom w:w="85" w:type="dxa"/>
              <w:right w:w="85" w:type="dxa"/>
            </w:tcMar>
          </w:tcPr>
          <w:p>
            <w:pPr>
              <w:spacing w:after="40" w:line="252" w:lineRule="auto"/>
            </w:pPr>
            <w:r>
              <w:rPr>
                <w:b w:val="0"/>
                <w:color w:val="172B39"/>
                <w:sz w:val="18"/>
              </w:rPr>
              <w:t>A04</w:t>
            </w:r>
          </w:p>
        </w:tc>
        <w:tc>
          <w:tcPr>
            <w:tcW w:type="dxa" w:w="1417"/>
            <w:shd w:fill="F1F5F7"/>
            <w:tcMar>
              <w:top w:w="85" w:type="dxa"/>
              <w:left w:w="85" w:type="dxa"/>
              <w:bottom w:w="85" w:type="dxa"/>
              <w:right w:w="85" w:type="dxa"/>
            </w:tcMar>
          </w:tcPr>
          <w:p>
            <w:pPr>
              <w:spacing w:after="40" w:line="252" w:lineRule="auto"/>
            </w:pPr>
            <w:r>
              <w:rPr>
                <w:b w:val="0"/>
                <w:color w:val="172B39"/>
                <w:sz w:val="18"/>
              </w:rPr>
              <w:t>제한 적용</w:t>
            </w:r>
          </w:p>
        </w:tc>
        <w:tc>
          <w:tcPr>
            <w:tcW w:type="dxa" w:w="7654"/>
            <w:shd w:fill="F1F5F7"/>
            <w:tcMar>
              <w:top w:w="85" w:type="dxa"/>
              <w:left w:w="85" w:type="dxa"/>
              <w:bottom w:w="85" w:type="dxa"/>
              <w:right w:w="85" w:type="dxa"/>
            </w:tcMar>
          </w:tcPr>
          <w:p>
            <w:pPr>
              <w:spacing w:after="40" w:line="252" w:lineRule="auto"/>
            </w:pPr>
            <w:r>
              <w:rPr>
                <w:b w:val="0"/>
                <w:color w:val="172B39"/>
                <w:sz w:val="18"/>
              </w:rPr>
              <w:t>1차 담당자 30명·동시 생성 2건·일 100세션. 2차 담당자 50명·제한 공개 시험 포함 일 300세션·동시 4건. 전국 대국민 트래픽 보장 없음.</w:t>
            </w:r>
          </w:p>
        </w:tc>
      </w:tr>
      <w:tr>
        <w:trPr>
          <w:cantSplit/>
        </w:trPr>
        <w:tc>
          <w:tcPr>
            <w:tcW w:type="dxa" w:w="794"/>
            <w:shd w:fill="FFFFFF"/>
            <w:tcMar>
              <w:top w:w="85" w:type="dxa"/>
              <w:left w:w="85" w:type="dxa"/>
              <w:bottom w:w="85" w:type="dxa"/>
              <w:right w:w="85" w:type="dxa"/>
            </w:tcMar>
          </w:tcPr>
          <w:p>
            <w:pPr>
              <w:spacing w:after="40" w:line="252" w:lineRule="auto"/>
            </w:pPr>
            <w:r>
              <w:rPr>
                <w:b w:val="0"/>
                <w:color w:val="172B39"/>
                <w:sz w:val="18"/>
              </w:rPr>
              <w:t>A05</w:t>
            </w:r>
          </w:p>
        </w:tc>
        <w:tc>
          <w:tcPr>
            <w:tcW w:type="dxa" w:w="1417"/>
            <w:shd w:fill="FFFFFF"/>
            <w:tcMar>
              <w:top w:w="85" w:type="dxa"/>
              <w:left w:w="85" w:type="dxa"/>
              <w:bottom w:w="85" w:type="dxa"/>
              <w:right w:w="85" w:type="dxa"/>
            </w:tcMar>
          </w:tcPr>
          <w:p>
            <w:pPr>
              <w:spacing w:after="40" w:line="252" w:lineRule="auto"/>
            </w:pPr>
            <w:r>
              <w:rPr>
                <w:b w:val="0"/>
                <w:color w:val="172B39"/>
                <w:sz w:val="18"/>
              </w:rPr>
              <w:t>데이터</w:t>
            </w:r>
          </w:p>
        </w:tc>
        <w:tc>
          <w:tcPr>
            <w:tcW w:type="dxa" w:w="7654"/>
            <w:shd w:fill="FFFFFF"/>
            <w:tcMar>
              <w:top w:w="85" w:type="dxa"/>
              <w:left w:w="85" w:type="dxa"/>
              <w:bottom w:w="85" w:type="dxa"/>
              <w:right w:w="85" w:type="dxa"/>
            </w:tcMar>
          </w:tcPr>
          <w:p>
            <w:pPr>
              <w:spacing w:after="40" w:line="252" w:lineRule="auto"/>
            </w:pPr>
            <w:r>
              <w:rPr>
                <w:b w:val="0"/>
                <w:color w:val="172B39"/>
                <w:sz w:val="18"/>
              </w:rPr>
              <w:t>1차 텍스트 2,000건 이하·X04 증빙 1,000건 포함. 2차 총 5,000건·증빙 3,000건 포함. 중복 합산하지 않음.</w:t>
            </w:r>
          </w:p>
        </w:tc>
      </w:tr>
      <w:tr>
        <w:trPr>
          <w:cantSplit/>
        </w:trPr>
        <w:tc>
          <w:tcPr>
            <w:tcW w:type="dxa" w:w="794"/>
            <w:shd w:fill="F1F5F7"/>
            <w:tcMar>
              <w:top w:w="85" w:type="dxa"/>
              <w:left w:w="85" w:type="dxa"/>
              <w:bottom w:w="85" w:type="dxa"/>
              <w:right w:w="85" w:type="dxa"/>
            </w:tcMar>
          </w:tcPr>
          <w:p>
            <w:pPr>
              <w:spacing w:after="40" w:line="252" w:lineRule="auto"/>
            </w:pPr>
            <w:r>
              <w:rPr>
                <w:b w:val="0"/>
                <w:color w:val="172B39"/>
                <w:sz w:val="18"/>
              </w:rPr>
              <w:t>A06</w:t>
            </w:r>
          </w:p>
        </w:tc>
        <w:tc>
          <w:tcPr>
            <w:tcW w:type="dxa" w:w="1417"/>
            <w:shd w:fill="F1F5F7"/>
            <w:tcMar>
              <w:top w:w="85" w:type="dxa"/>
              <w:left w:w="85" w:type="dxa"/>
              <w:bottom w:w="85" w:type="dxa"/>
              <w:right w:w="85" w:type="dxa"/>
            </w:tcMar>
          </w:tcPr>
          <w:p>
            <w:pPr>
              <w:spacing w:after="40" w:line="252" w:lineRule="auto"/>
            </w:pPr>
            <w:r>
              <w:rPr>
                <w:b w:val="0"/>
                <w:color w:val="172B39"/>
                <w:sz w:val="18"/>
              </w:rPr>
              <w:t>연계</w:t>
            </w:r>
          </w:p>
        </w:tc>
        <w:tc>
          <w:tcPr>
            <w:tcW w:type="dxa" w:w="7654"/>
            <w:shd w:fill="F1F5F7"/>
            <w:tcMar>
              <w:top w:w="85" w:type="dxa"/>
              <w:left w:w="85" w:type="dxa"/>
              <w:bottom w:w="85" w:type="dxa"/>
              <w:right w:w="85" w:type="dxa"/>
            </w:tcMar>
          </w:tcPr>
          <w:p>
            <w:pPr>
              <w:spacing w:after="40" w:line="252" w:lineRule="auto"/>
            </w:pPr>
            <w:r>
              <w:rPr>
                <w:b w:val="0"/>
                <w:color w:val="172B39"/>
                <w:sz w:val="18"/>
              </w:rPr>
              <w:t>1차 공식 파일 입력과 기존 로그인. 2차 공식 읽기 계약 3개까지. 인증 연계는 기존 기반 1개를 1차에 적용.</w:t>
            </w:r>
          </w:p>
        </w:tc>
      </w:tr>
      <w:tr>
        <w:trPr>
          <w:cantSplit/>
        </w:trPr>
        <w:tc>
          <w:tcPr>
            <w:tcW w:type="dxa" w:w="794"/>
            <w:shd w:fill="FFFFFF"/>
            <w:tcMar>
              <w:top w:w="85" w:type="dxa"/>
              <w:left w:w="85" w:type="dxa"/>
              <w:bottom w:w="85" w:type="dxa"/>
              <w:right w:w="85" w:type="dxa"/>
            </w:tcMar>
          </w:tcPr>
          <w:p>
            <w:pPr>
              <w:spacing w:after="40" w:line="252" w:lineRule="auto"/>
            </w:pPr>
            <w:r>
              <w:rPr>
                <w:b w:val="0"/>
                <w:color w:val="172B39"/>
                <w:sz w:val="18"/>
              </w:rPr>
              <w:t>A07</w:t>
            </w:r>
          </w:p>
        </w:tc>
        <w:tc>
          <w:tcPr>
            <w:tcW w:type="dxa" w:w="1417"/>
            <w:shd w:fill="FFFFFF"/>
            <w:tcMar>
              <w:top w:w="85" w:type="dxa"/>
              <w:left w:w="85" w:type="dxa"/>
              <w:bottom w:w="85" w:type="dxa"/>
              <w:right w:w="85" w:type="dxa"/>
            </w:tcMar>
          </w:tcPr>
          <w:p>
            <w:pPr>
              <w:spacing w:after="40" w:line="252" w:lineRule="auto"/>
            </w:pPr>
            <w:r>
              <w:rPr>
                <w:b w:val="0"/>
                <w:color w:val="172B39"/>
                <w:sz w:val="18"/>
              </w:rPr>
              <w:t>CCK 자산</w:t>
            </w:r>
          </w:p>
        </w:tc>
        <w:tc>
          <w:tcPr>
            <w:tcW w:type="dxa" w:w="7654"/>
            <w:shd w:fill="FFFFFF"/>
            <w:tcMar>
              <w:top w:w="85" w:type="dxa"/>
              <w:left w:w="85" w:type="dxa"/>
              <w:bottom w:w="85" w:type="dxa"/>
              <w:right w:w="85" w:type="dxa"/>
            </w:tcMar>
          </w:tcPr>
          <w:p>
            <w:pPr>
              <w:spacing w:after="40" w:line="252" w:lineRule="auto"/>
            </w:pPr>
            <w:r>
              <w:rPr>
                <w:b w:val="0"/>
                <w:color w:val="172B39"/>
                <w:sz w:val="18"/>
              </w:rPr>
              <w:t>기존 코드·버전·사용권·로컬 데모 확인 전 수행 가능 확정 금지. 모듈 신규 개발로 바뀌면 재산정.</w:t>
            </w:r>
          </w:p>
        </w:tc>
      </w:tr>
      <w:tr>
        <w:trPr>
          <w:cantSplit/>
        </w:trPr>
        <w:tc>
          <w:tcPr>
            <w:tcW w:type="dxa" w:w="794"/>
            <w:shd w:fill="F1F5F7"/>
            <w:tcMar>
              <w:top w:w="85" w:type="dxa"/>
              <w:left w:w="85" w:type="dxa"/>
              <w:bottom w:w="85" w:type="dxa"/>
              <w:right w:w="85" w:type="dxa"/>
            </w:tcMar>
          </w:tcPr>
          <w:p>
            <w:pPr>
              <w:spacing w:after="40" w:line="252" w:lineRule="auto"/>
            </w:pPr>
            <w:r>
              <w:rPr>
                <w:b w:val="0"/>
                <w:color w:val="172B39"/>
                <w:sz w:val="18"/>
              </w:rPr>
              <w:t>A08</w:t>
            </w:r>
          </w:p>
        </w:tc>
        <w:tc>
          <w:tcPr>
            <w:tcW w:type="dxa" w:w="1417"/>
            <w:shd w:fill="F1F5F7"/>
            <w:tcMar>
              <w:top w:w="85" w:type="dxa"/>
              <w:left w:w="85" w:type="dxa"/>
              <w:bottom w:w="85" w:type="dxa"/>
              <w:right w:w="85" w:type="dxa"/>
            </w:tcMar>
          </w:tcPr>
          <w:p>
            <w:pPr>
              <w:spacing w:after="40" w:line="252" w:lineRule="auto"/>
            </w:pPr>
            <w:r>
              <w:rPr>
                <w:b w:val="0"/>
                <w:color w:val="172B39"/>
                <w:sz w:val="18"/>
              </w:rPr>
              <w:t>산정</w:t>
            </w:r>
          </w:p>
        </w:tc>
        <w:tc>
          <w:tcPr>
            <w:tcW w:type="dxa" w:w="7654"/>
            <w:shd w:fill="F1F5F7"/>
            <w:tcMar>
              <w:top w:w="85" w:type="dxa"/>
              <w:left w:w="85" w:type="dxa"/>
              <w:bottom w:w="85" w:type="dxa"/>
              <w:right w:w="85" w:type="dxa"/>
            </w:tcMar>
          </w:tcPr>
          <w:p>
            <w:pPr>
              <w:spacing w:after="40" w:line="252" w:lineRule="auto"/>
            </w:pPr>
            <w:r>
              <w:rPr>
                <w:b w:val="0"/>
                <w:color w:val="172B39"/>
                <w:sz w:val="18"/>
              </w:rPr>
              <w:t>공수 기반 예산 설계 시안. 2026 공식 평균임금과 기존 가산 가정을 유지한다. 공급사 확정견적·FP 측정·예정가격 아님.</w:t>
            </w:r>
          </w:p>
        </w:tc>
      </w:tr>
      <w:tr>
        <w:trPr>
          <w:cantSplit/>
        </w:trPr>
        <w:tc>
          <w:tcPr>
            <w:tcW w:type="dxa" w:w="794"/>
            <w:shd w:fill="FFFFFF"/>
            <w:tcMar>
              <w:top w:w="85" w:type="dxa"/>
              <w:left w:w="85" w:type="dxa"/>
              <w:bottom w:w="85" w:type="dxa"/>
              <w:right w:w="85" w:type="dxa"/>
            </w:tcMar>
          </w:tcPr>
          <w:p>
            <w:pPr>
              <w:spacing w:after="40" w:line="252" w:lineRule="auto"/>
            </w:pPr>
            <w:r>
              <w:rPr>
                <w:b w:val="0"/>
                <w:color w:val="172B39"/>
                <w:sz w:val="18"/>
              </w:rPr>
              <w:t>A09</w:t>
            </w:r>
          </w:p>
        </w:tc>
        <w:tc>
          <w:tcPr>
            <w:tcW w:type="dxa" w:w="1417"/>
            <w:shd w:fill="FFFFFF"/>
            <w:tcMar>
              <w:top w:w="85" w:type="dxa"/>
              <w:left w:w="85" w:type="dxa"/>
              <w:bottom w:w="85" w:type="dxa"/>
              <w:right w:w="85" w:type="dxa"/>
            </w:tcMar>
          </w:tcPr>
          <w:p>
            <w:pPr>
              <w:spacing w:after="40" w:line="252" w:lineRule="auto"/>
            </w:pPr>
            <w:r>
              <w:rPr>
                <w:b w:val="0"/>
                <w:color w:val="172B39"/>
                <w:sz w:val="18"/>
              </w:rPr>
              <w:t>가격화 가정</w:t>
            </w:r>
          </w:p>
        </w:tc>
        <w:tc>
          <w:tcPr>
            <w:tcW w:type="dxa" w:w="7654"/>
            <w:shd w:fill="FFFFFF"/>
            <w:tcMar>
              <w:top w:w="85" w:type="dxa"/>
              <w:left w:w="85" w:type="dxa"/>
              <w:bottom w:w="85" w:type="dxa"/>
              <w:right w:w="85" w:type="dxa"/>
            </w:tcMar>
          </w:tcPr>
          <w:p>
            <w:pPr>
              <w:spacing w:after="40" w:line="252" w:lineRule="auto"/>
            </w:pPr>
            <w:r>
              <w:rPr>
                <w:b w:val="0"/>
                <w:color w:val="172B39"/>
                <w:sz w:val="18"/>
              </w:rPr>
              <w:t>제경비 144%·기술료 20%는 비교를 위해 유지한 임시 가정. 모든 개발 사업의 법정요율이라는 뜻은 아니다.</w:t>
            </w:r>
          </w:p>
        </w:tc>
      </w:tr>
      <w:tr>
        <w:trPr>
          <w:cantSplit/>
        </w:trPr>
        <w:tc>
          <w:tcPr>
            <w:tcW w:type="dxa" w:w="794"/>
            <w:shd w:fill="F1F5F7"/>
            <w:tcMar>
              <w:top w:w="85" w:type="dxa"/>
              <w:left w:w="85" w:type="dxa"/>
              <w:bottom w:w="85" w:type="dxa"/>
              <w:right w:w="85" w:type="dxa"/>
            </w:tcMar>
          </w:tcPr>
          <w:p>
            <w:pPr>
              <w:spacing w:after="40" w:line="252" w:lineRule="auto"/>
            </w:pPr>
            <w:r>
              <w:rPr>
                <w:b w:val="0"/>
                <w:color w:val="172B39"/>
                <w:sz w:val="18"/>
              </w:rPr>
              <w:t>A10</w:t>
            </w:r>
          </w:p>
        </w:tc>
        <w:tc>
          <w:tcPr>
            <w:tcW w:type="dxa" w:w="1417"/>
            <w:shd w:fill="F1F5F7"/>
            <w:tcMar>
              <w:top w:w="85" w:type="dxa"/>
              <w:left w:w="85" w:type="dxa"/>
              <w:bottom w:w="85" w:type="dxa"/>
              <w:right w:w="85" w:type="dxa"/>
            </w:tcMar>
          </w:tcPr>
          <w:p>
            <w:pPr>
              <w:spacing w:after="40" w:line="252" w:lineRule="auto"/>
            </w:pPr>
            <w:r>
              <w:rPr>
                <w:b w:val="0"/>
                <w:color w:val="172B39"/>
                <w:sz w:val="18"/>
              </w:rPr>
              <w:t>예산 여유</w:t>
            </w:r>
          </w:p>
        </w:tc>
        <w:tc>
          <w:tcPr>
            <w:tcW w:type="dxa" w:w="7654"/>
            <w:shd w:fill="F1F5F7"/>
            <w:tcMar>
              <w:top w:w="85" w:type="dxa"/>
              <w:left w:w="85" w:type="dxa"/>
              <w:bottom w:w="85" w:type="dxa"/>
              <w:right w:w="85" w:type="dxa"/>
            </w:tcMar>
          </w:tcPr>
          <w:p>
            <w:pPr>
              <w:spacing w:after="40" w:line="252" w:lineRule="auto"/>
            </w:pPr>
            <w:r>
              <w:rPr>
                <w:b w:val="0"/>
                <w:color w:val="172B39"/>
                <w:sz w:val="18"/>
              </w:rPr>
              <w:t>목표 상한에서 산정 총액을 뺀 차액. 15%를 다시 가산하지 않는다. 미견적 비용의 충분한 대비액이 확보됐다는 뜻은 아니다.</w:t>
            </w:r>
          </w:p>
        </w:tc>
      </w:tr>
      <w:tr>
        <w:trPr>
          <w:cantSplit/>
        </w:trPr>
        <w:tc>
          <w:tcPr>
            <w:tcW w:type="dxa" w:w="794"/>
            <w:shd w:fill="FFFFFF"/>
            <w:tcMar>
              <w:top w:w="85" w:type="dxa"/>
              <w:left w:w="85" w:type="dxa"/>
              <w:bottom w:w="85" w:type="dxa"/>
              <w:right w:w="85" w:type="dxa"/>
            </w:tcMar>
          </w:tcPr>
          <w:p>
            <w:pPr>
              <w:spacing w:after="40" w:line="252" w:lineRule="auto"/>
            </w:pPr>
            <w:r>
              <w:rPr>
                <w:b w:val="0"/>
                <w:color w:val="172B39"/>
                <w:sz w:val="18"/>
              </w:rPr>
              <w:t>A11</w:t>
            </w:r>
          </w:p>
        </w:tc>
        <w:tc>
          <w:tcPr>
            <w:tcW w:type="dxa" w:w="1417"/>
            <w:shd w:fill="FFFFFF"/>
            <w:tcMar>
              <w:top w:w="85" w:type="dxa"/>
              <w:left w:w="85" w:type="dxa"/>
              <w:bottom w:w="85" w:type="dxa"/>
              <w:right w:w="85" w:type="dxa"/>
            </w:tcMar>
          </w:tcPr>
          <w:p>
            <w:pPr>
              <w:spacing w:after="40" w:line="252" w:lineRule="auto"/>
            </w:pPr>
            <w:r>
              <w:rPr>
                <w:b w:val="0"/>
                <w:color w:val="172B39"/>
                <w:sz w:val="18"/>
              </w:rPr>
              <w:t>운영</w:t>
            </w:r>
          </w:p>
        </w:tc>
        <w:tc>
          <w:tcPr>
            <w:tcW w:type="dxa" w:w="7654"/>
            <w:shd w:fill="FFFFFF"/>
            <w:tcMar>
              <w:top w:w="85" w:type="dxa"/>
              <w:left w:w="85" w:type="dxa"/>
              <w:bottom w:w="85" w:type="dxa"/>
              <w:right w:w="85" w:type="dxa"/>
            </w:tcMar>
          </w:tcPr>
          <w:p>
            <w:pPr>
              <w:spacing w:after="40" w:line="252" w:lineRule="auto"/>
            </w:pPr>
            <w:r>
              <w:rPr>
                <w:b w:val="0"/>
                <w:color w:val="172B39"/>
                <w:sz w:val="18"/>
              </w:rPr>
              <w:t>2차 W10에 1차 서비스 6개월 제한 운영 포함. 전체 인수 후 정상 운영 12개월은 별도. 기존 TS 기반 운영·24시간 상주 제외.</w:t>
            </w:r>
          </w:p>
        </w:tc>
      </w:tr>
      <w:tr>
        <w:trPr>
          <w:cantSplit/>
        </w:trPr>
        <w:tc>
          <w:tcPr>
            <w:tcW w:type="dxa" w:w="794"/>
            <w:shd w:fill="F1F5F7"/>
            <w:tcMar>
              <w:top w:w="85" w:type="dxa"/>
              <w:left w:w="85" w:type="dxa"/>
              <w:bottom w:w="85" w:type="dxa"/>
              <w:right w:w="85" w:type="dxa"/>
            </w:tcMar>
          </w:tcPr>
          <w:p>
            <w:pPr>
              <w:spacing w:after="40" w:line="252" w:lineRule="auto"/>
            </w:pPr>
            <w:r>
              <w:rPr>
                <w:b w:val="0"/>
                <w:color w:val="172B39"/>
                <w:sz w:val="18"/>
              </w:rPr>
              <w:t>A12</w:t>
            </w:r>
          </w:p>
        </w:tc>
        <w:tc>
          <w:tcPr>
            <w:tcW w:type="dxa" w:w="1417"/>
            <w:shd w:fill="F1F5F7"/>
            <w:tcMar>
              <w:top w:w="85" w:type="dxa"/>
              <w:left w:w="85" w:type="dxa"/>
              <w:bottom w:w="85" w:type="dxa"/>
              <w:right w:w="85" w:type="dxa"/>
            </w:tcMar>
          </w:tcPr>
          <w:p>
            <w:pPr>
              <w:spacing w:after="40" w:line="252" w:lineRule="auto"/>
            </w:pPr>
            <w:r>
              <w:rPr>
                <w:b w:val="0"/>
                <w:color w:val="172B39"/>
                <w:sz w:val="18"/>
              </w:rPr>
              <w:t>기관 비용</w:t>
            </w:r>
          </w:p>
        </w:tc>
        <w:tc>
          <w:tcPr>
            <w:tcW w:type="dxa" w:w="7654"/>
            <w:shd w:fill="F1F5F7"/>
            <w:tcMar>
              <w:top w:w="85" w:type="dxa"/>
              <w:left w:w="85" w:type="dxa"/>
              <w:bottom w:w="85" w:type="dxa"/>
              <w:right w:w="85" w:type="dxa"/>
            </w:tcMar>
          </w:tcPr>
          <w:p>
            <w:pPr>
              <w:spacing w:after="40" w:line="252" w:lineRule="auto"/>
            </w:pPr>
            <w:r>
              <w:rPr>
                <w:b w:val="0"/>
                <w:color w:val="172B39"/>
                <w:sz w:val="18"/>
              </w:rPr>
              <w:t>법정 감리·개인정보 영향평가 등 적용·분리발주 비용은 미확정·미포함. 12억이 이 비용까지 포함한 총사업비 상한이면 사업비 안에서 우선 확보하고 구축 범위를 더 줄인다.</w:t>
            </w:r>
          </w:p>
        </w:tc>
      </w:tr>
    </w:tbl>
    <w:p>
      <w:r>
        <w:br w:type="page"/>
      </w:r>
    </w:p>
    <w:p>
      <w:pPr>
        <w:pStyle w:val="Heading1"/>
      </w:pPr>
      <w:r>
        <w:t>범위 변경과 예산 처리</w:t>
      </w:r>
    </w:p>
    <w:p>
      <w:r>
        <w:t>추가 서비스·공식 쓰기 연계·신규 GPU·전국 공개·자료량 확대는 변경 요청이다. 변경 사유 → 요구 ID → WBS → 월별 투입 → 품목 견적 → 단계 상한을 함께 검토한다. 상한을 넘는 기능을 2차 예산에서 임의 선집행하지 않는다. 1차의 이용권과 완료 개발을 2차에서 중복 청구하지 않는다.</w:t>
      </w:r>
    </w:p>
    <w:p>
      <w:r>
        <w:t>예산이 부족해지면 X02 결과 종류·X04 지적 유형·2차 선택 연계 순으로 업무 범위를 조정한다. 권한검사·개인정보 보호·원문 보존·사람 검토·허위 완료 차단·검수는 유지한다. X01 공식 가용성 계약을 확보하지 못하면 예약 가능 검색을 납품했다고 표시하지 않고 W07·D07을 보류한다.</w:t>
      </w:r>
    </w:p>
    <w:p>
      <w:pPr>
        <w:pStyle w:val="Heading1"/>
      </w:pPr>
      <w:r>
        <w:t>착수와 단계 전환 조건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5102"/>
        <w:gridCol w:w="3231"/>
      </w:tblGrid>
      <w:tr>
        <w:trPr>
          <w:cantSplit/>
          <w:tblHeader/>
        </w:trPr>
        <w:tc>
          <w:tcPr>
            <w:tcW w:type="dxa" w:w="1531"/>
            <w:shd w:fill="223E52"/>
            <w:tcMar>
              <w:top w:w="85" w:type="dxa"/>
              <w:left w:w="85" w:type="dxa"/>
              <w:bottom w:w="85" w:type="dxa"/>
              <w:right w:w="85" w:type="dxa"/>
            </w:tcMar>
          </w:tcPr>
          <w:p>
            <w:pPr>
              <w:spacing w:after="40" w:line="252" w:lineRule="auto"/>
            </w:pPr>
            <w:r>
              <w:rPr>
                <w:b/>
                <w:color w:val="FFFFFF"/>
                <w:sz w:val="18"/>
              </w:rPr>
              <w:t>게이트</w:t>
            </w:r>
          </w:p>
        </w:tc>
        <w:tc>
          <w:tcPr>
            <w:tcW w:type="dxa" w:w="5102"/>
            <w:shd w:fill="223E52"/>
            <w:tcMar>
              <w:top w:w="85" w:type="dxa"/>
              <w:left w:w="85" w:type="dxa"/>
              <w:bottom w:w="85" w:type="dxa"/>
              <w:right w:w="85" w:type="dxa"/>
            </w:tcMar>
          </w:tcPr>
          <w:p>
            <w:pPr>
              <w:spacing w:after="40" w:line="252" w:lineRule="auto"/>
            </w:pPr>
            <w:r>
              <w:rPr>
                <w:b/>
                <w:color w:val="FFFFFF"/>
                <w:sz w:val="18"/>
              </w:rPr>
              <w:t>확인 증거</w:t>
            </w:r>
          </w:p>
        </w:tc>
        <w:tc>
          <w:tcPr>
            <w:tcW w:type="dxa" w:w="3231"/>
            <w:shd w:fill="223E52"/>
            <w:tcMar>
              <w:top w:w="85" w:type="dxa"/>
              <w:left w:w="85" w:type="dxa"/>
              <w:bottom w:w="85" w:type="dxa"/>
              <w:right w:w="85" w:type="dxa"/>
            </w:tcMar>
          </w:tcPr>
          <w:p>
            <w:pPr>
              <w:spacing w:after="40" w:line="252" w:lineRule="auto"/>
            </w:pPr>
            <w:r>
              <w:rPr>
                <w:b/>
                <w:color w:val="FFFFFF"/>
                <w:sz w:val="18"/>
              </w:rPr>
              <w:t>미충족 시</w:t>
            </w:r>
          </w:p>
        </w:tc>
      </w:tr>
      <w:tr>
        <w:trPr>
          <w:cantSplit/>
        </w:trPr>
        <w:tc>
          <w:tcPr>
            <w:tcW w:type="dxa" w:w="1531"/>
            <w:shd w:fill="FFFFFF"/>
            <w:tcMar>
              <w:top w:w="85" w:type="dxa"/>
              <w:left w:w="85" w:type="dxa"/>
              <w:bottom w:w="85" w:type="dxa"/>
              <w:right w:w="85" w:type="dxa"/>
            </w:tcMar>
          </w:tcPr>
          <w:p>
            <w:pPr>
              <w:spacing w:after="40" w:line="252" w:lineRule="auto"/>
            </w:pPr>
            <w:r>
              <w:rPr>
                <w:b w:val="0"/>
                <w:color w:val="172B39"/>
                <w:sz w:val="18"/>
              </w:rPr>
              <w:t>G1 착수</w:t>
            </w:r>
          </w:p>
        </w:tc>
        <w:tc>
          <w:tcPr>
            <w:tcW w:type="dxa" w:w="5102"/>
            <w:shd w:fill="FFFFFF"/>
            <w:tcMar>
              <w:top w:w="85" w:type="dxa"/>
              <w:left w:w="85" w:type="dxa"/>
              <w:bottom w:w="85" w:type="dxa"/>
              <w:right w:w="85" w:type="dxa"/>
            </w:tcMar>
          </w:tcPr>
          <w:p>
            <w:pPr>
              <w:spacing w:after="40" w:line="252" w:lineRule="auto"/>
            </w:pPr>
            <w:r>
              <w:rPr>
                <w:b w:val="0"/>
                <w:color w:val="172B39"/>
                <w:sz w:val="18"/>
              </w:rPr>
              <w:t>CCK 버전·재사용 권리·기존 GPU 부하·데이터 샘플·비중복·책임</w:t>
            </w:r>
          </w:p>
        </w:tc>
        <w:tc>
          <w:tcPr>
            <w:tcW w:type="dxa" w:w="3231"/>
            <w:shd w:fill="FFFFFF"/>
            <w:tcMar>
              <w:top w:w="85" w:type="dxa"/>
              <w:left w:w="85" w:type="dxa"/>
              <w:bottom w:w="85" w:type="dxa"/>
              <w:right w:w="85" w:type="dxa"/>
            </w:tcMar>
          </w:tcPr>
          <w:p>
            <w:pPr>
              <w:spacing w:after="40" w:line="252" w:lineRule="auto"/>
            </w:pPr>
            <w:r>
              <w:rPr>
                <w:b w:val="0"/>
                <w:color w:val="172B39"/>
                <w:sz w:val="18"/>
              </w:rPr>
              <w:t>해당 업무 착수 보류와 범위 재산정</w:t>
            </w:r>
          </w:p>
        </w:tc>
      </w:tr>
      <w:tr>
        <w:trPr>
          <w:cantSplit/>
        </w:trPr>
        <w:tc>
          <w:tcPr>
            <w:tcW w:type="dxa" w:w="1531"/>
            <w:shd w:fill="F1F5F7"/>
            <w:tcMar>
              <w:top w:w="85" w:type="dxa"/>
              <w:left w:w="85" w:type="dxa"/>
              <w:bottom w:w="85" w:type="dxa"/>
              <w:right w:w="85" w:type="dxa"/>
            </w:tcMar>
          </w:tcPr>
          <w:p>
            <w:pPr>
              <w:spacing w:after="40" w:line="252" w:lineRule="auto"/>
            </w:pPr>
            <w:r>
              <w:rPr>
                <w:b w:val="0"/>
                <w:color w:val="172B39"/>
                <w:sz w:val="18"/>
              </w:rPr>
              <w:t>G2 1차 인수</w:t>
            </w:r>
          </w:p>
        </w:tc>
        <w:tc>
          <w:tcPr>
            <w:tcW w:type="dxa" w:w="5102"/>
            <w:shd w:fill="F1F5F7"/>
            <w:tcMar>
              <w:top w:w="85" w:type="dxa"/>
              <w:left w:w="85" w:type="dxa"/>
              <w:bottom w:w="85" w:type="dxa"/>
              <w:right w:w="85" w:type="dxa"/>
            </w:tcMar>
          </w:tcPr>
          <w:p>
            <w:pPr>
              <w:spacing w:after="40" w:line="252" w:lineRule="auto"/>
            </w:pPr>
            <w:r>
              <w:rPr>
                <w:b w:val="0"/>
                <w:color w:val="172B39"/>
                <w:sz w:val="18"/>
              </w:rPr>
              <w:t>검토·원문·권한·복원·품질 시험과 운영 담당자</w:t>
            </w:r>
          </w:p>
        </w:tc>
        <w:tc>
          <w:tcPr>
            <w:tcW w:type="dxa" w:w="3231"/>
            <w:shd w:fill="F1F5F7"/>
            <w:tcMar>
              <w:top w:w="85" w:type="dxa"/>
              <w:left w:w="85" w:type="dxa"/>
              <w:bottom w:w="85" w:type="dxa"/>
              <w:right w:w="85" w:type="dxa"/>
            </w:tcMar>
          </w:tcPr>
          <w:p>
            <w:pPr>
              <w:spacing w:after="40" w:line="252" w:lineRule="auto"/>
            </w:pPr>
            <w:r>
              <w:rPr>
                <w:b w:val="0"/>
                <w:color w:val="172B39"/>
                <w:sz w:val="18"/>
              </w:rPr>
              <w:t>결함 보완 후 재검수</w:t>
            </w:r>
          </w:p>
        </w:tc>
      </w:tr>
      <w:tr>
        <w:trPr>
          <w:cantSplit/>
        </w:trPr>
        <w:tc>
          <w:tcPr>
            <w:tcW w:type="dxa" w:w="1531"/>
            <w:shd w:fill="FFFFFF"/>
            <w:tcMar>
              <w:top w:w="85" w:type="dxa"/>
              <w:left w:w="85" w:type="dxa"/>
              <w:bottom w:w="85" w:type="dxa"/>
              <w:right w:w="85" w:type="dxa"/>
            </w:tcMar>
          </w:tcPr>
          <w:p>
            <w:pPr>
              <w:spacing w:after="40" w:line="252" w:lineRule="auto"/>
            </w:pPr>
            <w:r>
              <w:rPr>
                <w:b w:val="0"/>
                <w:color w:val="172B39"/>
                <w:sz w:val="18"/>
              </w:rPr>
              <w:t>G3 2차 착수</w:t>
            </w:r>
          </w:p>
        </w:tc>
        <w:tc>
          <w:tcPr>
            <w:tcW w:type="dxa" w:w="5102"/>
            <w:shd w:fill="FFFFFF"/>
            <w:tcMar>
              <w:top w:w="85" w:type="dxa"/>
              <w:left w:w="85" w:type="dxa"/>
              <w:bottom w:w="85" w:type="dxa"/>
              <w:right w:w="85" w:type="dxa"/>
            </w:tcMar>
          </w:tcPr>
          <w:p>
            <w:pPr>
              <w:spacing w:after="40" w:line="252" w:lineRule="auto"/>
            </w:pPr>
            <w:r>
              <w:rPr>
                <w:b w:val="0"/>
                <w:color w:val="172B39"/>
                <w:sz w:val="18"/>
              </w:rPr>
              <w:t>1차 사용 결과·읽기 API 명세·운영사 견적·남은 예산</w:t>
            </w:r>
          </w:p>
        </w:tc>
        <w:tc>
          <w:tcPr>
            <w:tcW w:type="dxa" w:w="3231"/>
            <w:shd w:fill="FFFFFF"/>
            <w:tcMar>
              <w:top w:w="85" w:type="dxa"/>
              <w:left w:w="85" w:type="dxa"/>
              <w:bottom w:w="85" w:type="dxa"/>
              <w:right w:w="85" w:type="dxa"/>
            </w:tcMar>
          </w:tcPr>
          <w:p>
            <w:pPr>
              <w:spacing w:after="40" w:line="252" w:lineRule="auto"/>
            </w:pPr>
            <w:r>
              <w:rPr>
                <w:b w:val="0"/>
                <w:color w:val="172B39"/>
                <w:sz w:val="18"/>
              </w:rPr>
              <w:t>기능별 보류 또는 범위 변경</w:t>
            </w:r>
          </w:p>
        </w:tc>
      </w:tr>
      <w:tr>
        <w:trPr>
          <w:cantSplit/>
        </w:trPr>
        <w:tc>
          <w:tcPr>
            <w:tcW w:type="dxa" w:w="1531"/>
            <w:shd w:fill="F1F5F7"/>
            <w:tcMar>
              <w:top w:w="85" w:type="dxa"/>
              <w:left w:w="85" w:type="dxa"/>
              <w:bottom w:w="85" w:type="dxa"/>
              <w:right w:w="85" w:type="dxa"/>
            </w:tcMar>
          </w:tcPr>
          <w:p>
            <w:pPr>
              <w:spacing w:after="40" w:line="252" w:lineRule="auto"/>
            </w:pPr>
            <w:r>
              <w:rPr>
                <w:b w:val="0"/>
                <w:color w:val="172B39"/>
                <w:sz w:val="18"/>
              </w:rPr>
              <w:t>G4 최종 인수</w:t>
            </w:r>
          </w:p>
        </w:tc>
        <w:tc>
          <w:tcPr>
            <w:tcW w:type="dxa" w:w="5102"/>
            <w:shd w:fill="F1F5F7"/>
            <w:tcMar>
              <w:top w:w="85" w:type="dxa"/>
              <w:left w:w="85" w:type="dxa"/>
              <w:bottom w:w="85" w:type="dxa"/>
              <w:right w:w="85" w:type="dxa"/>
            </w:tcMar>
          </w:tcPr>
          <w:p>
            <w:pPr>
              <w:spacing w:after="40" w:line="252" w:lineRule="auto"/>
            </w:pPr>
            <w:r>
              <w:rPr>
                <w:b w:val="0"/>
                <w:color w:val="172B39"/>
                <w:sz w:val="18"/>
              </w:rPr>
              <w:t>확장 흐름·비AI 비교·운영 인수·실제 수량 대조</w:t>
            </w:r>
          </w:p>
        </w:tc>
        <w:tc>
          <w:tcPr>
            <w:tcW w:type="dxa" w:w="3231"/>
            <w:shd w:fill="F1F5F7"/>
            <w:tcMar>
              <w:top w:w="85" w:type="dxa"/>
              <w:left w:w="85" w:type="dxa"/>
              <w:bottom w:w="85" w:type="dxa"/>
              <w:right w:w="85" w:type="dxa"/>
            </w:tcMar>
          </w:tcPr>
          <w:p>
            <w:pPr>
              <w:spacing w:after="40" w:line="252" w:lineRule="auto"/>
            </w:pPr>
            <w:r>
              <w:rPr>
                <w:b w:val="0"/>
                <w:color w:val="172B39"/>
                <w:sz w:val="18"/>
              </w:rPr>
              <w:t>검수 미충족을 완료로 처리하지 않음</w:t>
            </w:r>
          </w:p>
        </w:tc>
      </w:tr>
    </w:tbl>
    <w:sectPr w:rsidR="00FC693F" w:rsidRPr="0006063C" w:rsidSect="00034616">
      <w:footerReference w:type="default" r:id="rId9"/>
      <w:pgSz w:w="11906" w:h="16838"/>
      <w:pgMar w:top="1020"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맑은 고딕" w:hAnsi="맑은 고딕" w:eastAsia="맑은 고딕"/>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6" w:lineRule="auto"/>
    </w:pPr>
    <w:rPr>
      <w:rFonts w:asciiTheme="majorHAnsi" w:eastAsiaTheme="majorEastAsia" w:hAnsiTheme="majorHAnsi" w:cstheme="majorBidi" w:ascii="맑은 고딕" w:hAnsi="맑은 고딕" w:eastAsia="맑은 고딕"/>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 AX 예산 조정 요구사항 정의서</dc:title>
  <dc:subject>CCK TS AX 사업 구체화</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