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TS 검사 후속 행동과 조치 검토 AX 제안요청서 초안</w:t>
      </w:r>
    </w:p>
    <w:p>
      <w:pPr>
        <w:pStyle w:val="Subtitle"/>
      </w:pPr>
      <w:r>
        <w:t>버전 0.3   2026-09-10   발주 전 검토안</w:t>
      </w:r>
    </w:p>
    <w:p>
      <w:r>
        <w:t>본 문서는 발주기관 검토용 초안이다. 내부 기획은 CCK 주관 수행을 전제로 검토하되, 공고 요구는 기능과 검수 기준으로 제시한다. 특정 상표만을 충족 수단으로 제한하지 않는다. 참가자격·계약 방식·평가 배점·법정 절차는 발주기관이 확인한다.</w:t>
      </w:r>
    </w:p>
    <w:p>
      <w:r>
        <w:t>1차 7억 원과 2차 추가 5억 원을 부가세 포함 목표 상한으로 두고, CCK 기존 기술과 로컬 LLM을 활용할 수 있도록 서비스·연계를 축소한 검토안이다. 기존 로컬 서버를 사용하며 신규 인프라 투자는 0원이다. 응용 SW 개발·배포 설정·연계·검수는 포함한다. TS의 예산 확보나 CCK의 납품 가능성을 확정한 문서가 아니다.</w:t>
      </w:r>
    </w:p>
    <w:p>
      <w:pPr>
        <w:pStyle w:val="Heading1"/>
      </w:pPr>
      <w:r>
        <w:t>사업 목적과 단계</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07"/>
        <w:gridCol w:w="1928"/>
        <w:gridCol w:w="4535"/>
        <w:gridCol w:w="2494"/>
      </w:tblGrid>
      <w:tr>
        <w:trPr>
          <w:cantSplit/>
          <w:tblHeader/>
        </w:trPr>
        <w:tc>
          <w:tcPr>
            <w:tcW w:type="dxa" w:w="907"/>
            <w:shd w:fill="223E52"/>
            <w:tcMar>
              <w:top w:w="85" w:type="dxa"/>
              <w:left w:w="85" w:type="dxa"/>
              <w:bottom w:w="85" w:type="dxa"/>
              <w:right w:w="85" w:type="dxa"/>
            </w:tcMar>
          </w:tcPr>
          <w:p>
            <w:pPr>
              <w:spacing w:after="40" w:line="252" w:lineRule="auto"/>
            </w:pPr>
            <w:r>
              <w:rPr>
                <w:b/>
                <w:color w:val="FFFFFF"/>
                <w:sz w:val="18"/>
              </w:rPr>
              <w:t>단계</w:t>
            </w:r>
          </w:p>
        </w:tc>
        <w:tc>
          <w:tcPr>
            <w:tcW w:type="dxa" w:w="1928"/>
            <w:shd w:fill="223E52"/>
            <w:tcMar>
              <w:top w:w="85" w:type="dxa"/>
              <w:left w:w="85" w:type="dxa"/>
              <w:bottom w:w="85" w:type="dxa"/>
              <w:right w:w="85" w:type="dxa"/>
            </w:tcMar>
          </w:tcPr>
          <w:p>
            <w:pPr>
              <w:spacing w:after="40" w:line="252" w:lineRule="auto"/>
            </w:pPr>
            <w:r>
              <w:rPr>
                <w:b/>
                <w:color w:val="FFFFFF"/>
                <w:sz w:val="18"/>
              </w:rPr>
              <w:t>기간 가정</w:t>
            </w:r>
          </w:p>
        </w:tc>
        <w:tc>
          <w:tcPr>
            <w:tcW w:type="dxa" w:w="4535"/>
            <w:shd w:fill="223E52"/>
            <w:tcMar>
              <w:top w:w="85" w:type="dxa"/>
              <w:left w:w="85" w:type="dxa"/>
              <w:bottom w:w="85" w:type="dxa"/>
              <w:right w:w="85" w:type="dxa"/>
            </w:tcMar>
          </w:tcPr>
          <w:p>
            <w:pPr>
              <w:spacing w:after="40" w:line="252" w:lineRule="auto"/>
            </w:pPr>
            <w:r>
              <w:rPr>
                <w:b/>
                <w:color w:val="FFFFFF"/>
                <w:sz w:val="18"/>
              </w:rPr>
              <w:t>납품 범위</w:t>
            </w:r>
          </w:p>
        </w:tc>
        <w:tc>
          <w:tcPr>
            <w:tcW w:type="dxa" w:w="2494"/>
            <w:shd w:fill="223E52"/>
            <w:tcMar>
              <w:top w:w="85" w:type="dxa"/>
              <w:left w:w="85" w:type="dxa"/>
              <w:bottom w:w="85" w:type="dxa"/>
              <w:right w:w="85" w:type="dxa"/>
            </w:tcMar>
          </w:tcPr>
          <w:p>
            <w:pPr>
              <w:spacing w:after="40" w:line="252" w:lineRule="auto"/>
            </w:pPr>
            <w:r>
              <w:rPr>
                <w:b/>
                <w:color w:val="FFFFFF"/>
                <w:sz w:val="18"/>
              </w:rPr>
              <w:t>목표 사업비</w:t>
            </w:r>
          </w:p>
        </w:tc>
      </w:tr>
      <w:tr>
        <w:trPr>
          <w:cantSplit/>
        </w:trPr>
        <w:tc>
          <w:tcPr>
            <w:tcW w:type="dxa" w:w="907"/>
            <w:shd w:fill="FFFFFF"/>
            <w:tcMar>
              <w:top w:w="85" w:type="dxa"/>
              <w:left w:w="85" w:type="dxa"/>
              <w:bottom w:w="85" w:type="dxa"/>
              <w:right w:w="85" w:type="dxa"/>
            </w:tcMar>
          </w:tcPr>
          <w:p>
            <w:pPr>
              <w:spacing w:after="40" w:line="252" w:lineRule="auto"/>
            </w:pPr>
            <w:r>
              <w:rPr>
                <w:b w:val="0"/>
                <w:color w:val="172B39"/>
                <w:sz w:val="18"/>
              </w:rPr>
              <w:t>1차</w:t>
            </w:r>
          </w:p>
        </w:tc>
        <w:tc>
          <w:tcPr>
            <w:tcW w:type="dxa" w:w="1928"/>
            <w:shd w:fill="FFFFFF"/>
            <w:tcMar>
              <w:top w:w="85" w:type="dxa"/>
              <w:left w:w="85" w:type="dxa"/>
              <w:bottom w:w="85" w:type="dxa"/>
              <w:right w:w="85" w:type="dxa"/>
            </w:tcMar>
          </w:tcPr>
          <w:p>
            <w:pPr>
              <w:spacing w:after="40" w:line="252" w:lineRule="auto"/>
            </w:pPr>
            <w:r>
              <w:rPr>
                <w:b w:val="0"/>
                <w:color w:val="172B39"/>
                <w:sz w:val="18"/>
              </w:rPr>
              <w:t>계약 후 6개월</w:t>
            </w:r>
          </w:p>
        </w:tc>
        <w:tc>
          <w:tcPr>
            <w:tcW w:type="dxa" w:w="4535"/>
            <w:shd w:fill="FFFFFF"/>
            <w:tcMar>
              <w:top w:w="85" w:type="dxa"/>
              <w:left w:w="85" w:type="dxa"/>
              <w:bottom w:w="85" w:type="dxa"/>
              <w:right w:w="85" w:type="dxa"/>
            </w:tcMar>
          </w:tcPr>
          <w:p>
            <w:pPr>
              <w:spacing w:after="40" w:line="252" w:lineRule="auto"/>
            </w:pPr>
            <w:r>
              <w:rPr>
                <w:b w:val="0"/>
                <w:color w:val="172B39"/>
                <w:sz w:val="18"/>
              </w:rPr>
              <w:t>X02 결과 5종·X04 조치 1업무·파일 입력·검토·인수</w:t>
            </w:r>
          </w:p>
        </w:tc>
        <w:tc>
          <w:tcPr>
            <w:tcW w:type="dxa" w:w="2494"/>
            <w:shd w:fill="FFFFFF"/>
            <w:tcMar>
              <w:top w:w="85" w:type="dxa"/>
              <w:left w:w="85" w:type="dxa"/>
              <w:bottom w:w="85" w:type="dxa"/>
              <w:right w:w="85" w:type="dxa"/>
            </w:tcMar>
          </w:tcPr>
          <w:p>
            <w:pPr>
              <w:spacing w:after="40" w:line="252" w:lineRule="auto"/>
            </w:pPr>
            <w:r>
              <w:rPr>
                <w:b w:val="0"/>
                <w:color w:val="172B39"/>
                <w:sz w:val="18"/>
              </w:rPr>
              <w:t>VAT 포함 7억 원 이내</w:t>
            </w:r>
          </w:p>
        </w:tc>
      </w:tr>
      <w:tr>
        <w:trPr>
          <w:cantSplit/>
        </w:trPr>
        <w:tc>
          <w:tcPr>
            <w:tcW w:type="dxa" w:w="907"/>
            <w:shd w:fill="F1F5F7"/>
            <w:tcMar>
              <w:top w:w="85" w:type="dxa"/>
              <w:left w:w="85" w:type="dxa"/>
              <w:bottom w:w="85" w:type="dxa"/>
              <w:right w:w="85" w:type="dxa"/>
            </w:tcMar>
          </w:tcPr>
          <w:p>
            <w:pPr>
              <w:spacing w:after="40" w:line="252" w:lineRule="auto"/>
            </w:pPr>
            <w:r>
              <w:rPr>
                <w:b w:val="0"/>
                <w:color w:val="172B39"/>
                <w:sz w:val="18"/>
              </w:rPr>
              <w:t>2차</w:t>
            </w:r>
          </w:p>
        </w:tc>
        <w:tc>
          <w:tcPr>
            <w:tcW w:type="dxa" w:w="1928"/>
            <w:shd w:fill="F1F5F7"/>
            <w:tcMar>
              <w:top w:w="85" w:type="dxa"/>
              <w:left w:w="85" w:type="dxa"/>
              <w:bottom w:w="85" w:type="dxa"/>
              <w:right w:w="85" w:type="dxa"/>
            </w:tcMar>
          </w:tcPr>
          <w:p>
            <w:pPr>
              <w:spacing w:after="40" w:line="252" w:lineRule="auto"/>
            </w:pPr>
            <w:r>
              <w:rPr>
                <w:b w:val="0"/>
                <w:color w:val="172B39"/>
                <w:sz w:val="18"/>
              </w:rPr>
              <w:t>후속 계약 후 6개월</w:t>
            </w:r>
          </w:p>
        </w:tc>
        <w:tc>
          <w:tcPr>
            <w:tcW w:type="dxa" w:w="4535"/>
            <w:shd w:fill="F1F5F7"/>
            <w:tcMar>
              <w:top w:w="85" w:type="dxa"/>
              <w:left w:w="85" w:type="dxa"/>
              <w:bottom w:w="85" w:type="dxa"/>
              <w:right w:w="85" w:type="dxa"/>
            </w:tcMar>
          </w:tcPr>
          <w:p>
            <w:pPr>
              <w:spacing w:after="40" w:line="252" w:lineRule="auto"/>
            </w:pPr>
            <w:r>
              <w:rPr>
                <w:b w:val="0"/>
                <w:color w:val="172B39"/>
                <w:sz w:val="18"/>
              </w:rPr>
              <w:t>X01 일정 탐색·읽기 3계약·기존 업무 확대·1차 제한 운영</w:t>
            </w:r>
          </w:p>
        </w:tc>
        <w:tc>
          <w:tcPr>
            <w:tcW w:type="dxa" w:w="2494"/>
            <w:shd w:fill="F1F5F7"/>
            <w:tcMar>
              <w:top w:w="85" w:type="dxa"/>
              <w:left w:w="85" w:type="dxa"/>
              <w:bottom w:w="85" w:type="dxa"/>
              <w:right w:w="85" w:type="dxa"/>
            </w:tcMar>
          </w:tcPr>
          <w:p>
            <w:pPr>
              <w:spacing w:after="40" w:line="252" w:lineRule="auto"/>
            </w:pPr>
            <w:r>
              <w:rPr>
                <w:b w:val="0"/>
                <w:color w:val="172B39"/>
                <w:sz w:val="18"/>
              </w:rPr>
              <w:t>VAT 포함 추가 5억 원 이내</w:t>
            </w:r>
          </w:p>
        </w:tc>
      </w:tr>
    </w:tbl>
    <w:p>
      <w:r>
        <w:t>2차는 1차 사업비에 포함된 확정 계약이 아니다. 1차 인수·추가 재원·읽기 계약 확보 후 별도 발주 범위를 확정한다. 현재 내부 산정액을 공고 예정가격으로 그대로 사용하지 않는다.</w:t>
      </w:r>
    </w:p>
    <w:p>
      <w:pPr>
        <w:pStyle w:val="Heading1"/>
      </w:pPr>
      <w:r>
        <w:t>과업과 포함 경계</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07"/>
        <w:gridCol w:w="1134"/>
        <w:gridCol w:w="6236"/>
        <w:gridCol w:w="1587"/>
      </w:tblGrid>
      <w:tr>
        <w:trPr>
          <w:cantSplit/>
          <w:tblHeader/>
        </w:trPr>
        <w:tc>
          <w:tcPr>
            <w:tcW w:type="dxa" w:w="907"/>
            <w:shd w:fill="223E52"/>
            <w:tcMar>
              <w:top w:w="85" w:type="dxa"/>
              <w:left w:w="85" w:type="dxa"/>
              <w:bottom w:w="85" w:type="dxa"/>
              <w:right w:w="85" w:type="dxa"/>
            </w:tcMar>
          </w:tcPr>
          <w:p>
            <w:pPr>
              <w:spacing w:after="40" w:line="252" w:lineRule="auto"/>
            </w:pPr>
            <w:r>
              <w:rPr>
                <w:b/>
                <w:color w:val="FFFFFF"/>
                <w:sz w:val="18"/>
              </w:rPr>
              <w:t>WBS</w:t>
            </w:r>
          </w:p>
        </w:tc>
        <w:tc>
          <w:tcPr>
            <w:tcW w:type="dxa" w:w="1134"/>
            <w:shd w:fill="223E52"/>
            <w:tcMar>
              <w:top w:w="85" w:type="dxa"/>
              <w:left w:w="85" w:type="dxa"/>
              <w:bottom w:w="85" w:type="dxa"/>
              <w:right w:w="85" w:type="dxa"/>
            </w:tcMar>
          </w:tcPr>
          <w:p>
            <w:pPr>
              <w:spacing w:after="40" w:line="252" w:lineRule="auto"/>
            </w:pPr>
            <w:r>
              <w:rPr>
                <w:b/>
                <w:color w:val="FFFFFF"/>
                <w:sz w:val="18"/>
              </w:rPr>
              <w:t>단계</w:t>
            </w:r>
          </w:p>
        </w:tc>
        <w:tc>
          <w:tcPr>
            <w:tcW w:type="dxa" w:w="6236"/>
            <w:shd w:fill="223E52"/>
            <w:tcMar>
              <w:top w:w="85" w:type="dxa"/>
              <w:left w:w="85" w:type="dxa"/>
              <w:bottom w:w="85" w:type="dxa"/>
              <w:right w:w="85" w:type="dxa"/>
            </w:tcMar>
          </w:tcPr>
          <w:p>
            <w:pPr>
              <w:spacing w:after="40" w:line="252" w:lineRule="auto"/>
            </w:pPr>
            <w:r>
              <w:rPr>
                <w:b/>
                <w:color w:val="FFFFFF"/>
                <w:sz w:val="18"/>
              </w:rPr>
              <w:t>과업</w:t>
            </w:r>
          </w:p>
        </w:tc>
        <w:tc>
          <w:tcPr>
            <w:tcW w:type="dxa" w:w="1587"/>
            <w:shd w:fill="223E52"/>
            <w:tcMar>
              <w:top w:w="85" w:type="dxa"/>
              <w:left w:w="85" w:type="dxa"/>
              <w:bottom w:w="85" w:type="dxa"/>
              <w:right w:w="85" w:type="dxa"/>
            </w:tcMar>
          </w:tcPr>
          <w:p>
            <w:pPr>
              <w:spacing w:after="40" w:line="252" w:lineRule="auto"/>
            </w:pPr>
            <w:r>
              <w:rPr>
                <w:b/>
                <w:color w:val="FFFFFF"/>
                <w:sz w:val="18"/>
              </w:rPr>
              <w:t>공수 가정 MM</w:t>
            </w:r>
          </w:p>
        </w:tc>
      </w:tr>
      <w:tr>
        <w:trPr>
          <w:cantSplit/>
        </w:trPr>
        <w:tc>
          <w:tcPr>
            <w:tcW w:type="dxa" w:w="907"/>
            <w:shd w:fill="FFFFFF"/>
            <w:tcMar>
              <w:top w:w="85" w:type="dxa"/>
              <w:left w:w="85" w:type="dxa"/>
              <w:bottom w:w="85" w:type="dxa"/>
              <w:right w:w="85" w:type="dxa"/>
            </w:tcMar>
          </w:tcPr>
          <w:p>
            <w:pPr>
              <w:spacing w:after="40" w:line="252" w:lineRule="auto"/>
            </w:pPr>
            <w:r>
              <w:rPr>
                <w:b w:val="0"/>
                <w:color w:val="172B39"/>
                <w:sz w:val="18"/>
              </w:rPr>
              <w:t>W01</w:t>
            </w:r>
          </w:p>
        </w:tc>
        <w:tc>
          <w:tcPr>
            <w:tcW w:type="dxa" w:w="1134"/>
            <w:shd w:fill="FFFFFF"/>
            <w:tcMar>
              <w:top w:w="85" w:type="dxa"/>
              <w:left w:w="85" w:type="dxa"/>
              <w:bottom w:w="85" w:type="dxa"/>
              <w:right w:w="85" w:type="dxa"/>
            </w:tcMar>
          </w:tcPr>
          <w:p>
            <w:pPr>
              <w:spacing w:after="40" w:line="252" w:lineRule="auto"/>
            </w:pPr>
            <w:r>
              <w:rPr>
                <w:b w:val="0"/>
                <w:color w:val="172B39"/>
                <w:sz w:val="18"/>
              </w:rPr>
              <w:t>1단계</w:t>
            </w:r>
          </w:p>
        </w:tc>
        <w:tc>
          <w:tcPr>
            <w:tcW w:type="dxa" w:w="6236"/>
            <w:shd w:fill="FFFFFF"/>
            <w:tcMar>
              <w:top w:w="85" w:type="dxa"/>
              <w:left w:w="85" w:type="dxa"/>
              <w:bottom w:w="85" w:type="dxa"/>
              <w:right w:w="85" w:type="dxa"/>
            </w:tcMar>
          </w:tcPr>
          <w:p>
            <w:pPr>
              <w:spacing w:after="40" w:line="252" w:lineRule="auto"/>
            </w:pPr>
            <w:r>
              <w:rPr>
                <w:b w:val="0"/>
                <w:color w:val="172B39"/>
                <w:sz w:val="18"/>
              </w:rPr>
              <w:t>범위 분석과 재사용 확인</w:t>
            </w:r>
          </w:p>
        </w:tc>
        <w:tc>
          <w:tcPr>
            <w:tcW w:type="dxa" w:w="1587"/>
            <w:shd w:fill="FFFFFF"/>
            <w:tcMar>
              <w:top w:w="85" w:type="dxa"/>
              <w:left w:w="85" w:type="dxa"/>
              <w:bottom w:w="85" w:type="dxa"/>
              <w:right w:w="85" w:type="dxa"/>
            </w:tcMar>
          </w:tcPr>
          <w:p>
            <w:pPr>
              <w:spacing w:after="40" w:line="252" w:lineRule="auto"/>
            </w:pPr>
            <w:r>
              <w:rPr>
                <w:b w:val="0"/>
                <w:color w:val="172B39"/>
                <w:sz w:val="18"/>
              </w:rPr>
              <w:t>3.2</w:t>
            </w:r>
          </w:p>
        </w:tc>
      </w:tr>
      <w:tr>
        <w:trPr>
          <w:cantSplit/>
        </w:trPr>
        <w:tc>
          <w:tcPr>
            <w:tcW w:type="dxa" w:w="907"/>
            <w:shd w:fill="F1F5F7"/>
            <w:tcMar>
              <w:top w:w="85" w:type="dxa"/>
              <w:left w:w="85" w:type="dxa"/>
              <w:bottom w:w="85" w:type="dxa"/>
              <w:right w:w="85" w:type="dxa"/>
            </w:tcMar>
          </w:tcPr>
          <w:p>
            <w:pPr>
              <w:spacing w:after="40" w:line="252" w:lineRule="auto"/>
            </w:pPr>
            <w:r>
              <w:rPr>
                <w:b w:val="0"/>
                <w:color w:val="172B39"/>
                <w:sz w:val="18"/>
              </w:rPr>
              <w:t>W02</w:t>
            </w:r>
          </w:p>
        </w:tc>
        <w:tc>
          <w:tcPr>
            <w:tcW w:type="dxa" w:w="1134"/>
            <w:shd w:fill="F1F5F7"/>
            <w:tcMar>
              <w:top w:w="85" w:type="dxa"/>
              <w:left w:w="85" w:type="dxa"/>
              <w:bottom w:w="85" w:type="dxa"/>
              <w:right w:w="85" w:type="dxa"/>
            </w:tcMar>
          </w:tcPr>
          <w:p>
            <w:pPr>
              <w:spacing w:after="40" w:line="252" w:lineRule="auto"/>
            </w:pPr>
            <w:r>
              <w:rPr>
                <w:b w:val="0"/>
                <w:color w:val="172B39"/>
                <w:sz w:val="18"/>
              </w:rPr>
              <w:t>1단계</w:t>
            </w:r>
          </w:p>
        </w:tc>
        <w:tc>
          <w:tcPr>
            <w:tcW w:type="dxa" w:w="6236"/>
            <w:shd w:fill="F1F5F7"/>
            <w:tcMar>
              <w:top w:w="85" w:type="dxa"/>
              <w:left w:w="85" w:type="dxa"/>
              <w:bottom w:w="85" w:type="dxa"/>
              <w:right w:w="85" w:type="dxa"/>
            </w:tcMar>
          </w:tcPr>
          <w:p>
            <w:pPr>
              <w:spacing w:after="40" w:line="252" w:lineRule="auto"/>
            </w:pPr>
            <w:r>
              <w:rPr>
                <w:b w:val="0"/>
                <w:color w:val="172B39"/>
                <w:sz w:val="18"/>
              </w:rPr>
              <w:t>로컬 호출과 근거 처리 적응</w:t>
            </w:r>
          </w:p>
        </w:tc>
        <w:tc>
          <w:tcPr>
            <w:tcW w:type="dxa" w:w="1587"/>
            <w:shd w:fill="F1F5F7"/>
            <w:tcMar>
              <w:top w:w="85" w:type="dxa"/>
              <w:left w:w="85" w:type="dxa"/>
              <w:bottom w:w="85" w:type="dxa"/>
              <w:right w:w="85" w:type="dxa"/>
            </w:tcMar>
          </w:tcPr>
          <w:p>
            <w:pPr>
              <w:spacing w:after="40" w:line="252" w:lineRule="auto"/>
            </w:pPr>
            <w:r>
              <w:rPr>
                <w:b w:val="0"/>
                <w:color w:val="172B39"/>
                <w:sz w:val="18"/>
              </w:rPr>
              <w:t>4.3</w:t>
            </w:r>
          </w:p>
        </w:tc>
      </w:tr>
      <w:tr>
        <w:trPr>
          <w:cantSplit/>
        </w:trPr>
        <w:tc>
          <w:tcPr>
            <w:tcW w:type="dxa" w:w="907"/>
            <w:shd w:fill="FFFFFF"/>
            <w:tcMar>
              <w:top w:w="85" w:type="dxa"/>
              <w:left w:w="85" w:type="dxa"/>
              <w:bottom w:w="85" w:type="dxa"/>
              <w:right w:w="85" w:type="dxa"/>
            </w:tcMar>
          </w:tcPr>
          <w:p>
            <w:pPr>
              <w:spacing w:after="40" w:line="252" w:lineRule="auto"/>
            </w:pPr>
            <w:r>
              <w:rPr>
                <w:b w:val="0"/>
                <w:color w:val="172B39"/>
                <w:sz w:val="18"/>
              </w:rPr>
              <w:t>W03</w:t>
            </w:r>
          </w:p>
        </w:tc>
        <w:tc>
          <w:tcPr>
            <w:tcW w:type="dxa" w:w="1134"/>
            <w:shd w:fill="FFFFFF"/>
            <w:tcMar>
              <w:top w:w="85" w:type="dxa"/>
              <w:left w:w="85" w:type="dxa"/>
              <w:bottom w:w="85" w:type="dxa"/>
              <w:right w:w="85" w:type="dxa"/>
            </w:tcMar>
          </w:tcPr>
          <w:p>
            <w:pPr>
              <w:spacing w:after="40" w:line="252" w:lineRule="auto"/>
            </w:pPr>
            <w:r>
              <w:rPr>
                <w:b w:val="0"/>
                <w:color w:val="172B39"/>
                <w:sz w:val="18"/>
              </w:rPr>
              <w:t>1단계</w:t>
            </w:r>
          </w:p>
        </w:tc>
        <w:tc>
          <w:tcPr>
            <w:tcW w:type="dxa" w:w="6236"/>
            <w:shd w:fill="FFFFFF"/>
            <w:tcMar>
              <w:top w:w="85" w:type="dxa"/>
              <w:left w:w="85" w:type="dxa"/>
              <w:bottom w:w="85" w:type="dxa"/>
              <w:right w:w="85" w:type="dxa"/>
            </w:tcMar>
          </w:tcPr>
          <w:p>
            <w:pPr>
              <w:spacing w:after="40" w:line="252" w:lineRule="auto"/>
            </w:pPr>
            <w:r>
              <w:rPr>
                <w:b w:val="0"/>
                <w:color w:val="172B39"/>
                <w:sz w:val="18"/>
              </w:rPr>
              <w:t>업무 상태와 권한 적용</w:t>
            </w:r>
          </w:p>
        </w:tc>
        <w:tc>
          <w:tcPr>
            <w:tcW w:type="dxa" w:w="1587"/>
            <w:shd w:fill="FFFFFF"/>
            <w:tcMar>
              <w:top w:w="85" w:type="dxa"/>
              <w:left w:w="85" w:type="dxa"/>
              <w:bottom w:w="85" w:type="dxa"/>
              <w:right w:w="85" w:type="dxa"/>
            </w:tcMar>
          </w:tcPr>
          <w:p>
            <w:pPr>
              <w:spacing w:after="40" w:line="252" w:lineRule="auto"/>
            </w:pPr>
            <w:r>
              <w:rPr>
                <w:b w:val="0"/>
                <w:color w:val="172B39"/>
                <w:sz w:val="18"/>
              </w:rPr>
              <w:t>2.3</w:t>
            </w:r>
          </w:p>
        </w:tc>
      </w:tr>
      <w:tr>
        <w:trPr>
          <w:cantSplit/>
        </w:trPr>
        <w:tc>
          <w:tcPr>
            <w:tcW w:type="dxa" w:w="907"/>
            <w:shd w:fill="F1F5F7"/>
            <w:tcMar>
              <w:top w:w="85" w:type="dxa"/>
              <w:left w:w="85" w:type="dxa"/>
              <w:bottom w:w="85" w:type="dxa"/>
              <w:right w:w="85" w:type="dxa"/>
            </w:tcMar>
          </w:tcPr>
          <w:p>
            <w:pPr>
              <w:spacing w:after="40" w:line="252" w:lineRule="auto"/>
            </w:pPr>
            <w:r>
              <w:rPr>
                <w:b w:val="0"/>
                <w:color w:val="172B39"/>
                <w:sz w:val="18"/>
              </w:rPr>
              <w:t>W04</w:t>
            </w:r>
          </w:p>
        </w:tc>
        <w:tc>
          <w:tcPr>
            <w:tcW w:type="dxa" w:w="1134"/>
            <w:shd w:fill="F1F5F7"/>
            <w:tcMar>
              <w:top w:w="85" w:type="dxa"/>
              <w:left w:w="85" w:type="dxa"/>
              <w:bottom w:w="85" w:type="dxa"/>
              <w:right w:w="85" w:type="dxa"/>
            </w:tcMar>
          </w:tcPr>
          <w:p>
            <w:pPr>
              <w:spacing w:after="40" w:line="252" w:lineRule="auto"/>
            </w:pPr>
            <w:r>
              <w:rPr>
                <w:b w:val="0"/>
                <w:color w:val="172B39"/>
                <w:sz w:val="18"/>
              </w:rPr>
              <w:t>1단계</w:t>
            </w:r>
          </w:p>
        </w:tc>
        <w:tc>
          <w:tcPr>
            <w:tcW w:type="dxa" w:w="6236"/>
            <w:shd w:fill="F1F5F7"/>
            <w:tcMar>
              <w:top w:w="85" w:type="dxa"/>
              <w:left w:w="85" w:type="dxa"/>
              <w:bottom w:w="85" w:type="dxa"/>
              <w:right w:w="85" w:type="dxa"/>
            </w:tcMar>
          </w:tcPr>
          <w:p>
            <w:pPr>
              <w:spacing w:after="40" w:line="252" w:lineRule="auto"/>
            </w:pPr>
            <w:r>
              <w:rPr>
                <w:b w:val="0"/>
                <w:color w:val="172B39"/>
                <w:sz w:val="18"/>
              </w:rPr>
              <w:t>X02 후속 행동 안내</w:t>
            </w:r>
          </w:p>
        </w:tc>
        <w:tc>
          <w:tcPr>
            <w:tcW w:type="dxa" w:w="1587"/>
            <w:shd w:fill="F1F5F7"/>
            <w:tcMar>
              <w:top w:w="85" w:type="dxa"/>
              <w:left w:w="85" w:type="dxa"/>
              <w:bottom w:w="85" w:type="dxa"/>
              <w:right w:w="85" w:type="dxa"/>
            </w:tcMar>
          </w:tcPr>
          <w:p>
            <w:pPr>
              <w:spacing w:after="40" w:line="252" w:lineRule="auto"/>
            </w:pPr>
            <w:r>
              <w:rPr>
                <w:b w:val="0"/>
                <w:color w:val="172B39"/>
                <w:sz w:val="18"/>
              </w:rPr>
              <w:t>3.7</w:t>
            </w:r>
          </w:p>
        </w:tc>
      </w:tr>
      <w:tr>
        <w:trPr>
          <w:cantSplit/>
        </w:trPr>
        <w:tc>
          <w:tcPr>
            <w:tcW w:type="dxa" w:w="907"/>
            <w:shd w:fill="FFFFFF"/>
            <w:tcMar>
              <w:top w:w="85" w:type="dxa"/>
              <w:left w:w="85" w:type="dxa"/>
              <w:bottom w:w="85" w:type="dxa"/>
              <w:right w:w="85" w:type="dxa"/>
            </w:tcMar>
          </w:tcPr>
          <w:p>
            <w:pPr>
              <w:spacing w:after="40" w:line="252" w:lineRule="auto"/>
            </w:pPr>
            <w:r>
              <w:rPr>
                <w:b w:val="0"/>
                <w:color w:val="172B39"/>
                <w:sz w:val="18"/>
              </w:rPr>
              <w:t>W05</w:t>
            </w:r>
          </w:p>
        </w:tc>
        <w:tc>
          <w:tcPr>
            <w:tcW w:type="dxa" w:w="1134"/>
            <w:shd w:fill="FFFFFF"/>
            <w:tcMar>
              <w:top w:w="85" w:type="dxa"/>
              <w:left w:w="85" w:type="dxa"/>
              <w:bottom w:w="85" w:type="dxa"/>
              <w:right w:w="85" w:type="dxa"/>
            </w:tcMar>
          </w:tcPr>
          <w:p>
            <w:pPr>
              <w:spacing w:after="40" w:line="252" w:lineRule="auto"/>
            </w:pPr>
            <w:r>
              <w:rPr>
                <w:b w:val="0"/>
                <w:color w:val="172B39"/>
                <w:sz w:val="18"/>
              </w:rPr>
              <w:t>1단계</w:t>
            </w:r>
          </w:p>
        </w:tc>
        <w:tc>
          <w:tcPr>
            <w:tcW w:type="dxa" w:w="6236"/>
            <w:shd w:fill="FFFFFF"/>
            <w:tcMar>
              <w:top w:w="85" w:type="dxa"/>
              <w:left w:w="85" w:type="dxa"/>
              <w:bottom w:w="85" w:type="dxa"/>
              <w:right w:w="85" w:type="dxa"/>
            </w:tcMar>
          </w:tcPr>
          <w:p>
            <w:pPr>
              <w:spacing w:after="40" w:line="252" w:lineRule="auto"/>
            </w:pPr>
            <w:r>
              <w:rPr>
                <w:b w:val="0"/>
                <w:color w:val="172B39"/>
                <w:sz w:val="18"/>
              </w:rPr>
              <w:t>X04 지적과 증빙 검토</w:t>
            </w:r>
          </w:p>
        </w:tc>
        <w:tc>
          <w:tcPr>
            <w:tcW w:type="dxa" w:w="1587"/>
            <w:shd w:fill="FFFFFF"/>
            <w:tcMar>
              <w:top w:w="85" w:type="dxa"/>
              <w:left w:w="85" w:type="dxa"/>
              <w:bottom w:w="85" w:type="dxa"/>
              <w:right w:w="85" w:type="dxa"/>
            </w:tcMar>
          </w:tcPr>
          <w:p>
            <w:pPr>
              <w:spacing w:after="40" w:line="252" w:lineRule="auto"/>
            </w:pPr>
            <w:r>
              <w:rPr>
                <w:b w:val="0"/>
                <w:color w:val="172B39"/>
                <w:sz w:val="18"/>
              </w:rPr>
              <w:t>4.8</w:t>
            </w:r>
          </w:p>
        </w:tc>
      </w:tr>
      <w:tr>
        <w:trPr>
          <w:cantSplit/>
        </w:trPr>
        <w:tc>
          <w:tcPr>
            <w:tcW w:type="dxa" w:w="907"/>
            <w:shd w:fill="F1F5F7"/>
            <w:tcMar>
              <w:top w:w="85" w:type="dxa"/>
              <w:left w:w="85" w:type="dxa"/>
              <w:bottom w:w="85" w:type="dxa"/>
              <w:right w:w="85" w:type="dxa"/>
            </w:tcMar>
          </w:tcPr>
          <w:p>
            <w:pPr>
              <w:spacing w:after="40" w:line="252" w:lineRule="auto"/>
            </w:pPr>
            <w:r>
              <w:rPr>
                <w:b w:val="0"/>
                <w:color w:val="172B39"/>
                <w:sz w:val="18"/>
              </w:rPr>
              <w:t>W06</w:t>
            </w:r>
          </w:p>
        </w:tc>
        <w:tc>
          <w:tcPr>
            <w:tcW w:type="dxa" w:w="1134"/>
            <w:shd w:fill="F1F5F7"/>
            <w:tcMar>
              <w:top w:w="85" w:type="dxa"/>
              <w:left w:w="85" w:type="dxa"/>
              <w:bottom w:w="85" w:type="dxa"/>
              <w:right w:w="85" w:type="dxa"/>
            </w:tcMar>
          </w:tcPr>
          <w:p>
            <w:pPr>
              <w:spacing w:after="40" w:line="252" w:lineRule="auto"/>
            </w:pPr>
            <w:r>
              <w:rPr>
                <w:b w:val="0"/>
                <w:color w:val="172B39"/>
                <w:sz w:val="18"/>
              </w:rPr>
              <w:t>1단계</w:t>
            </w:r>
          </w:p>
        </w:tc>
        <w:tc>
          <w:tcPr>
            <w:tcW w:type="dxa" w:w="6236"/>
            <w:shd w:fill="F1F5F7"/>
            <w:tcMar>
              <w:top w:w="85" w:type="dxa"/>
              <w:left w:w="85" w:type="dxa"/>
              <w:bottom w:w="85" w:type="dxa"/>
              <w:right w:w="85" w:type="dxa"/>
            </w:tcMar>
          </w:tcPr>
          <w:p>
            <w:pPr>
              <w:spacing w:after="40" w:line="252" w:lineRule="auto"/>
            </w:pPr>
            <w:r>
              <w:rPr>
                <w:b w:val="0"/>
                <w:color w:val="172B39"/>
                <w:sz w:val="18"/>
              </w:rPr>
              <w:t>1차 검수와 운영 인수</w:t>
            </w:r>
          </w:p>
        </w:tc>
        <w:tc>
          <w:tcPr>
            <w:tcW w:type="dxa" w:w="1587"/>
            <w:shd w:fill="F1F5F7"/>
            <w:tcMar>
              <w:top w:w="85" w:type="dxa"/>
              <w:left w:w="85" w:type="dxa"/>
              <w:bottom w:w="85" w:type="dxa"/>
              <w:right w:w="85" w:type="dxa"/>
            </w:tcMar>
          </w:tcPr>
          <w:p>
            <w:pPr>
              <w:spacing w:after="40" w:line="252" w:lineRule="auto"/>
            </w:pPr>
            <w:r>
              <w:rPr>
                <w:b w:val="0"/>
                <w:color w:val="172B39"/>
                <w:sz w:val="18"/>
              </w:rPr>
              <w:t>3.2</w:t>
            </w:r>
          </w:p>
        </w:tc>
      </w:tr>
      <w:tr>
        <w:trPr>
          <w:cantSplit/>
        </w:trPr>
        <w:tc>
          <w:tcPr>
            <w:tcW w:type="dxa" w:w="907"/>
            <w:shd w:fill="FFFFFF"/>
            <w:tcMar>
              <w:top w:w="85" w:type="dxa"/>
              <w:left w:w="85" w:type="dxa"/>
              <w:bottom w:w="85" w:type="dxa"/>
              <w:right w:w="85" w:type="dxa"/>
            </w:tcMar>
          </w:tcPr>
          <w:p>
            <w:pPr>
              <w:spacing w:after="40" w:line="252" w:lineRule="auto"/>
            </w:pPr>
            <w:r>
              <w:rPr>
                <w:b w:val="0"/>
                <w:color w:val="172B39"/>
                <w:sz w:val="18"/>
              </w:rPr>
              <w:t>W07</w:t>
            </w:r>
          </w:p>
        </w:tc>
        <w:tc>
          <w:tcPr>
            <w:tcW w:type="dxa" w:w="1134"/>
            <w:shd w:fill="FFFFFF"/>
            <w:tcMar>
              <w:top w:w="85" w:type="dxa"/>
              <w:left w:w="85" w:type="dxa"/>
              <w:bottom w:w="85" w:type="dxa"/>
              <w:right w:w="85" w:type="dxa"/>
            </w:tcMar>
          </w:tcPr>
          <w:p>
            <w:pPr>
              <w:spacing w:after="40" w:line="252" w:lineRule="auto"/>
            </w:pPr>
            <w:r>
              <w:rPr>
                <w:b w:val="0"/>
                <w:color w:val="172B39"/>
                <w:sz w:val="18"/>
              </w:rPr>
              <w:t>2단계</w:t>
            </w:r>
          </w:p>
        </w:tc>
        <w:tc>
          <w:tcPr>
            <w:tcW w:type="dxa" w:w="6236"/>
            <w:shd w:fill="FFFFFF"/>
            <w:tcMar>
              <w:top w:w="85" w:type="dxa"/>
              <w:left w:w="85" w:type="dxa"/>
              <w:bottom w:w="85" w:type="dxa"/>
              <w:right w:w="85" w:type="dxa"/>
            </w:tcMar>
          </w:tcPr>
          <w:p>
            <w:pPr>
              <w:spacing w:after="40" w:line="252" w:lineRule="auto"/>
            </w:pPr>
            <w:r>
              <w:rPr>
                <w:b w:val="0"/>
                <w:color w:val="172B39"/>
                <w:sz w:val="18"/>
              </w:rPr>
              <w:t>X01 예약 일정 탐색</w:t>
            </w:r>
          </w:p>
        </w:tc>
        <w:tc>
          <w:tcPr>
            <w:tcW w:type="dxa" w:w="1587"/>
            <w:shd w:fill="FFFFFF"/>
            <w:tcMar>
              <w:top w:w="85" w:type="dxa"/>
              <w:left w:w="85" w:type="dxa"/>
              <w:bottom w:w="85" w:type="dxa"/>
              <w:right w:w="85" w:type="dxa"/>
            </w:tcMar>
          </w:tcPr>
          <w:p>
            <w:pPr>
              <w:spacing w:after="40" w:line="252" w:lineRule="auto"/>
            </w:pPr>
            <w:r>
              <w:rPr>
                <w:b w:val="0"/>
                <w:color w:val="172B39"/>
                <w:sz w:val="18"/>
              </w:rPr>
              <w:t>4.7</w:t>
            </w:r>
          </w:p>
        </w:tc>
      </w:tr>
      <w:tr>
        <w:trPr>
          <w:cantSplit/>
        </w:trPr>
        <w:tc>
          <w:tcPr>
            <w:tcW w:type="dxa" w:w="907"/>
            <w:shd w:fill="F1F5F7"/>
            <w:tcMar>
              <w:top w:w="85" w:type="dxa"/>
              <w:left w:w="85" w:type="dxa"/>
              <w:bottom w:w="85" w:type="dxa"/>
              <w:right w:w="85" w:type="dxa"/>
            </w:tcMar>
          </w:tcPr>
          <w:p>
            <w:pPr>
              <w:spacing w:after="40" w:line="252" w:lineRule="auto"/>
            </w:pPr>
            <w:r>
              <w:rPr>
                <w:b w:val="0"/>
                <w:color w:val="172B39"/>
                <w:sz w:val="18"/>
              </w:rPr>
              <w:t>W08</w:t>
            </w:r>
          </w:p>
        </w:tc>
        <w:tc>
          <w:tcPr>
            <w:tcW w:type="dxa" w:w="1134"/>
            <w:shd w:fill="F1F5F7"/>
            <w:tcMar>
              <w:top w:w="85" w:type="dxa"/>
              <w:left w:w="85" w:type="dxa"/>
              <w:bottom w:w="85" w:type="dxa"/>
              <w:right w:w="85" w:type="dxa"/>
            </w:tcMar>
          </w:tcPr>
          <w:p>
            <w:pPr>
              <w:spacing w:after="40" w:line="252" w:lineRule="auto"/>
            </w:pPr>
            <w:r>
              <w:rPr>
                <w:b w:val="0"/>
                <w:color w:val="172B39"/>
                <w:sz w:val="18"/>
              </w:rPr>
              <w:t>2단계</w:t>
            </w:r>
          </w:p>
        </w:tc>
        <w:tc>
          <w:tcPr>
            <w:tcW w:type="dxa" w:w="6236"/>
            <w:shd w:fill="F1F5F7"/>
            <w:tcMar>
              <w:top w:w="85" w:type="dxa"/>
              <w:left w:w="85" w:type="dxa"/>
              <w:bottom w:w="85" w:type="dxa"/>
              <w:right w:w="85" w:type="dxa"/>
            </w:tcMar>
          </w:tcPr>
          <w:p>
            <w:pPr>
              <w:spacing w:after="40" w:line="252" w:lineRule="auto"/>
            </w:pPr>
            <w:r>
              <w:rPr>
                <w:b w:val="0"/>
                <w:color w:val="172B39"/>
                <w:sz w:val="18"/>
              </w:rPr>
              <w:t>X02 X04 읽기 연계</w:t>
            </w:r>
          </w:p>
        </w:tc>
        <w:tc>
          <w:tcPr>
            <w:tcW w:type="dxa" w:w="1587"/>
            <w:shd w:fill="F1F5F7"/>
            <w:tcMar>
              <w:top w:w="85" w:type="dxa"/>
              <w:left w:w="85" w:type="dxa"/>
              <w:bottom w:w="85" w:type="dxa"/>
              <w:right w:w="85" w:type="dxa"/>
            </w:tcMar>
          </w:tcPr>
          <w:p>
            <w:pPr>
              <w:spacing w:after="40" w:line="252" w:lineRule="auto"/>
            </w:pPr>
            <w:r>
              <w:rPr>
                <w:b w:val="0"/>
                <w:color w:val="172B39"/>
                <w:sz w:val="18"/>
              </w:rPr>
              <w:t>3.6</w:t>
            </w:r>
          </w:p>
        </w:tc>
      </w:tr>
      <w:tr>
        <w:trPr>
          <w:cantSplit/>
        </w:trPr>
        <w:tc>
          <w:tcPr>
            <w:tcW w:type="dxa" w:w="907"/>
            <w:shd w:fill="FFFFFF"/>
            <w:tcMar>
              <w:top w:w="85" w:type="dxa"/>
              <w:left w:w="85" w:type="dxa"/>
              <w:bottom w:w="85" w:type="dxa"/>
              <w:right w:w="85" w:type="dxa"/>
            </w:tcMar>
          </w:tcPr>
          <w:p>
            <w:pPr>
              <w:spacing w:after="40" w:line="252" w:lineRule="auto"/>
            </w:pPr>
            <w:r>
              <w:rPr>
                <w:b w:val="0"/>
                <w:color w:val="172B39"/>
                <w:sz w:val="18"/>
              </w:rPr>
              <w:t>W09</w:t>
            </w:r>
          </w:p>
        </w:tc>
        <w:tc>
          <w:tcPr>
            <w:tcW w:type="dxa" w:w="1134"/>
            <w:shd w:fill="FFFFFF"/>
            <w:tcMar>
              <w:top w:w="85" w:type="dxa"/>
              <w:left w:w="85" w:type="dxa"/>
              <w:bottom w:w="85" w:type="dxa"/>
              <w:right w:w="85" w:type="dxa"/>
            </w:tcMar>
          </w:tcPr>
          <w:p>
            <w:pPr>
              <w:spacing w:after="40" w:line="252" w:lineRule="auto"/>
            </w:pPr>
            <w:r>
              <w:rPr>
                <w:b w:val="0"/>
                <w:color w:val="172B39"/>
                <w:sz w:val="18"/>
              </w:rPr>
              <w:t>2단계</w:t>
            </w:r>
          </w:p>
        </w:tc>
        <w:tc>
          <w:tcPr>
            <w:tcW w:type="dxa" w:w="6236"/>
            <w:shd w:fill="FFFFFF"/>
            <w:tcMar>
              <w:top w:w="85" w:type="dxa"/>
              <w:left w:w="85" w:type="dxa"/>
              <w:bottom w:w="85" w:type="dxa"/>
              <w:right w:w="85" w:type="dxa"/>
            </w:tcMar>
          </w:tcPr>
          <w:p>
            <w:pPr>
              <w:spacing w:after="40" w:line="252" w:lineRule="auto"/>
            </w:pPr>
            <w:r>
              <w:rPr>
                <w:b w:val="0"/>
                <w:color w:val="172B39"/>
                <w:sz w:val="18"/>
              </w:rPr>
              <w:t>검증된 업무 범위 확대</w:t>
            </w:r>
          </w:p>
        </w:tc>
        <w:tc>
          <w:tcPr>
            <w:tcW w:type="dxa" w:w="1587"/>
            <w:shd w:fill="FFFFFF"/>
            <w:tcMar>
              <w:top w:w="85" w:type="dxa"/>
              <w:left w:w="85" w:type="dxa"/>
              <w:bottom w:w="85" w:type="dxa"/>
              <w:right w:w="85" w:type="dxa"/>
            </w:tcMar>
          </w:tcPr>
          <w:p>
            <w:pPr>
              <w:spacing w:after="40" w:line="252" w:lineRule="auto"/>
            </w:pPr>
            <w:r>
              <w:rPr>
                <w:b w:val="0"/>
                <w:color w:val="172B39"/>
                <w:sz w:val="18"/>
              </w:rPr>
              <w:t>3.0</w:t>
            </w:r>
          </w:p>
        </w:tc>
      </w:tr>
      <w:tr>
        <w:trPr>
          <w:cantSplit/>
        </w:trPr>
        <w:tc>
          <w:tcPr>
            <w:tcW w:type="dxa" w:w="907"/>
            <w:shd w:fill="F1F5F7"/>
            <w:tcMar>
              <w:top w:w="85" w:type="dxa"/>
              <w:left w:w="85" w:type="dxa"/>
              <w:bottom w:w="85" w:type="dxa"/>
              <w:right w:w="85" w:type="dxa"/>
            </w:tcMar>
          </w:tcPr>
          <w:p>
            <w:pPr>
              <w:spacing w:after="40" w:line="252" w:lineRule="auto"/>
            </w:pPr>
            <w:r>
              <w:rPr>
                <w:b w:val="0"/>
                <w:color w:val="172B39"/>
                <w:sz w:val="18"/>
              </w:rPr>
              <w:t>W10</w:t>
            </w:r>
          </w:p>
        </w:tc>
        <w:tc>
          <w:tcPr>
            <w:tcW w:type="dxa" w:w="1134"/>
            <w:shd w:fill="F1F5F7"/>
            <w:tcMar>
              <w:top w:w="85" w:type="dxa"/>
              <w:left w:w="85" w:type="dxa"/>
              <w:bottom w:w="85" w:type="dxa"/>
              <w:right w:w="85" w:type="dxa"/>
            </w:tcMar>
          </w:tcPr>
          <w:p>
            <w:pPr>
              <w:spacing w:after="40" w:line="252" w:lineRule="auto"/>
            </w:pPr>
            <w:r>
              <w:rPr>
                <w:b w:val="0"/>
                <w:color w:val="172B39"/>
                <w:sz w:val="18"/>
              </w:rPr>
              <w:t>2단계</w:t>
            </w:r>
          </w:p>
        </w:tc>
        <w:tc>
          <w:tcPr>
            <w:tcW w:type="dxa" w:w="6236"/>
            <w:shd w:fill="F1F5F7"/>
            <w:tcMar>
              <w:top w:w="85" w:type="dxa"/>
              <w:left w:w="85" w:type="dxa"/>
              <w:bottom w:w="85" w:type="dxa"/>
              <w:right w:w="85" w:type="dxa"/>
            </w:tcMar>
          </w:tcPr>
          <w:p>
            <w:pPr>
              <w:spacing w:after="40" w:line="252" w:lineRule="auto"/>
            </w:pPr>
            <w:r>
              <w:rPr>
                <w:b w:val="0"/>
                <w:color w:val="172B39"/>
                <w:sz w:val="18"/>
              </w:rPr>
              <w:t>2차 검수와 1차 서비스 운영</w:t>
            </w:r>
          </w:p>
        </w:tc>
        <w:tc>
          <w:tcPr>
            <w:tcW w:type="dxa" w:w="1587"/>
            <w:shd w:fill="F1F5F7"/>
            <w:tcMar>
              <w:top w:w="85" w:type="dxa"/>
              <w:left w:w="85" w:type="dxa"/>
              <w:bottom w:w="85" w:type="dxa"/>
              <w:right w:w="85" w:type="dxa"/>
            </w:tcMar>
          </w:tcPr>
          <w:p>
            <w:pPr>
              <w:spacing w:after="40" w:line="252" w:lineRule="auto"/>
            </w:pPr>
            <w:r>
              <w:rPr>
                <w:b w:val="0"/>
                <w:color w:val="172B39"/>
                <w:sz w:val="18"/>
              </w:rPr>
              <w:t>3.8</w:t>
            </w:r>
          </w:p>
        </w:tc>
      </w:tr>
    </w:tbl>
    <w:p>
      <w:r>
        <w:t>요구사항 정의서와 명세서 v0.3, 추적표를 붙임으로 사용한다. v0.1 요구를 자동 합산하지 않는다. 범위는 텍스트·로컬 모델·공식 결과와 사람 검토이며 비전·센서·신규 OCR·모델 학습·외부 예약 확정·X03·X05는 제외한다.</w:t>
      </w:r>
    </w:p>
    <w:p>
      <w:pPr>
        <w:pStyle w:val="Heading1"/>
      </w:pPr>
      <w:r>
        <w:t>필수 제출물</w:t>
      </w:r>
    </w:p>
    <w:p>
      <w:r>
        <w:t>제안사는 업무별 제공량·제외·원천 의존성, 재사용 모듈의 기능·버전·권리·로컬 검증 결과, 추가 개발 산출물, 직접·협력 인력과 월별 배치, 품목별 견적과 포함 지원, 요구별 시험 계획, 보안·개인정보·접근성·복원·인수 계획을 제출한다. 평균 MM을 상주 인원으로 표현하지 않는다.</w:t>
      </w:r>
    </w:p>
    <w:p>
      <w:r>
        <w:t>납품물은 소프트웨어와 설치 설정, 적용 가능한 소스·사용권·라이선스 목록, 규칙과 용어표, 데이터 사전, 외부 읽기 계약서, 화면 및 API 명세, 시험 결과, 운영·정정·복구 매뉴얼과 교육 기록이다. 기존 상용 구성요소는 권리 범위와 제공 제외물을 명시한다.</w:t>
      </w:r>
    </w:p>
    <w:p>
      <w:pPr>
        <w:pStyle w:val="Heading1"/>
      </w:pPr>
      <w:r>
        <w:t>일정과 운영</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57"/>
        <w:gridCol w:w="4082"/>
        <w:gridCol w:w="4025"/>
      </w:tblGrid>
      <w:tr>
        <w:trPr>
          <w:cantSplit/>
          <w:tblHeader/>
        </w:trPr>
        <w:tc>
          <w:tcPr>
            <w:tcW w:type="dxa" w:w="1757"/>
            <w:shd w:fill="223E52"/>
            <w:tcMar>
              <w:top w:w="85" w:type="dxa"/>
              <w:left w:w="85" w:type="dxa"/>
              <w:bottom w:w="85" w:type="dxa"/>
              <w:right w:w="85" w:type="dxa"/>
            </w:tcMar>
          </w:tcPr>
          <w:p>
            <w:pPr>
              <w:spacing w:after="40" w:line="252" w:lineRule="auto"/>
            </w:pPr>
            <w:r>
              <w:rPr>
                <w:b/>
                <w:color w:val="FFFFFF"/>
                <w:sz w:val="18"/>
              </w:rPr>
              <w:t>시기</w:t>
            </w:r>
          </w:p>
        </w:tc>
        <w:tc>
          <w:tcPr>
            <w:tcW w:type="dxa" w:w="4082"/>
            <w:shd w:fill="223E52"/>
            <w:tcMar>
              <w:top w:w="85" w:type="dxa"/>
              <w:left w:w="85" w:type="dxa"/>
              <w:bottom w:w="85" w:type="dxa"/>
              <w:right w:w="85" w:type="dxa"/>
            </w:tcMar>
          </w:tcPr>
          <w:p>
            <w:pPr>
              <w:spacing w:after="40" w:line="252" w:lineRule="auto"/>
            </w:pPr>
            <w:r>
              <w:rPr>
                <w:b/>
                <w:color w:val="FFFFFF"/>
                <w:sz w:val="18"/>
              </w:rPr>
              <w:t>활동</w:t>
            </w:r>
          </w:p>
        </w:tc>
        <w:tc>
          <w:tcPr>
            <w:tcW w:type="dxa" w:w="4025"/>
            <w:shd w:fill="223E52"/>
            <w:tcMar>
              <w:top w:w="85" w:type="dxa"/>
              <w:left w:w="85" w:type="dxa"/>
              <w:bottom w:w="85" w:type="dxa"/>
              <w:right w:w="85" w:type="dxa"/>
            </w:tcMar>
          </w:tcPr>
          <w:p>
            <w:pPr>
              <w:spacing w:after="40" w:line="252" w:lineRule="auto"/>
            </w:pPr>
            <w:r>
              <w:rPr>
                <w:b/>
                <w:color w:val="FFFFFF"/>
                <w:sz w:val="18"/>
              </w:rPr>
              <w:t>확인</w:t>
            </w:r>
          </w:p>
        </w:tc>
      </w:tr>
      <w:tr>
        <w:trPr>
          <w:cantSplit/>
        </w:trPr>
        <w:tc>
          <w:tcPr>
            <w:tcW w:type="dxa" w:w="1757"/>
            <w:shd w:fill="FFFFFF"/>
            <w:tcMar>
              <w:top w:w="85" w:type="dxa"/>
              <w:left w:w="85" w:type="dxa"/>
              <w:bottom w:w="85" w:type="dxa"/>
              <w:right w:w="85" w:type="dxa"/>
            </w:tcMar>
          </w:tcPr>
          <w:p>
            <w:pPr>
              <w:spacing w:after="40" w:line="252" w:lineRule="auto"/>
            </w:pPr>
            <w:r>
              <w:rPr>
                <w:b w:val="0"/>
                <w:color w:val="172B39"/>
                <w:sz w:val="18"/>
              </w:rPr>
              <w:t>1차 1개월</w:t>
            </w:r>
          </w:p>
        </w:tc>
        <w:tc>
          <w:tcPr>
            <w:tcW w:type="dxa" w:w="4082"/>
            <w:shd w:fill="FFFFFF"/>
            <w:tcMar>
              <w:top w:w="85" w:type="dxa"/>
              <w:left w:w="85" w:type="dxa"/>
              <w:bottom w:w="85" w:type="dxa"/>
              <w:right w:w="85" w:type="dxa"/>
            </w:tcMar>
          </w:tcPr>
          <w:p>
            <w:pPr>
              <w:spacing w:after="40" w:line="252" w:lineRule="auto"/>
            </w:pPr>
            <w:r>
              <w:rPr>
                <w:b w:val="0"/>
                <w:color w:val="172B39"/>
                <w:sz w:val="18"/>
              </w:rPr>
              <w:t>비중복·자산·자료·부하·범위 확정</w:t>
            </w:r>
          </w:p>
        </w:tc>
        <w:tc>
          <w:tcPr>
            <w:tcW w:type="dxa" w:w="4025"/>
            <w:shd w:fill="FFFFFF"/>
            <w:tcMar>
              <w:top w:w="85" w:type="dxa"/>
              <w:left w:w="85" w:type="dxa"/>
              <w:bottom w:w="85" w:type="dxa"/>
              <w:right w:w="85" w:type="dxa"/>
            </w:tcMar>
          </w:tcPr>
          <w:p>
            <w:pPr>
              <w:spacing w:after="40" w:line="252" w:lineRule="auto"/>
            </w:pPr>
            <w:r>
              <w:rPr>
                <w:b w:val="0"/>
                <w:color w:val="172B39"/>
                <w:sz w:val="18"/>
              </w:rPr>
              <w:t>선행조건 미충족 시 변경</w:t>
            </w:r>
          </w:p>
        </w:tc>
      </w:tr>
      <w:tr>
        <w:trPr>
          <w:cantSplit/>
        </w:trPr>
        <w:tc>
          <w:tcPr>
            <w:tcW w:type="dxa" w:w="1757"/>
            <w:shd w:fill="F1F5F7"/>
            <w:tcMar>
              <w:top w:w="85" w:type="dxa"/>
              <w:left w:w="85" w:type="dxa"/>
              <w:bottom w:w="85" w:type="dxa"/>
              <w:right w:w="85" w:type="dxa"/>
            </w:tcMar>
          </w:tcPr>
          <w:p>
            <w:pPr>
              <w:spacing w:after="40" w:line="252" w:lineRule="auto"/>
            </w:pPr>
            <w:r>
              <w:rPr>
                <w:b w:val="0"/>
                <w:color w:val="172B39"/>
                <w:sz w:val="18"/>
              </w:rPr>
              <w:t>1차 2~4개월</w:t>
            </w:r>
          </w:p>
        </w:tc>
        <w:tc>
          <w:tcPr>
            <w:tcW w:type="dxa" w:w="4082"/>
            <w:shd w:fill="F1F5F7"/>
            <w:tcMar>
              <w:top w:w="85" w:type="dxa"/>
              <w:left w:w="85" w:type="dxa"/>
              <w:bottom w:w="85" w:type="dxa"/>
              <w:right w:w="85" w:type="dxa"/>
            </w:tcMar>
          </w:tcPr>
          <w:p>
            <w:pPr>
              <w:spacing w:after="40" w:line="252" w:lineRule="auto"/>
            </w:pPr>
            <w:r>
              <w:rPr>
                <w:b w:val="0"/>
                <w:color w:val="172B39"/>
                <w:sz w:val="18"/>
              </w:rPr>
              <w:t>설정·업무 기능·내부 검토 구현</w:t>
            </w:r>
          </w:p>
        </w:tc>
        <w:tc>
          <w:tcPr>
            <w:tcW w:type="dxa" w:w="4025"/>
            <w:shd w:fill="F1F5F7"/>
            <w:tcMar>
              <w:top w:w="85" w:type="dxa"/>
              <w:left w:w="85" w:type="dxa"/>
              <w:bottom w:w="85" w:type="dxa"/>
              <w:right w:w="85" w:type="dxa"/>
            </w:tcMar>
          </w:tcPr>
          <w:p>
            <w:pPr>
              <w:spacing w:after="40" w:line="252" w:lineRule="auto"/>
            </w:pPr>
            <w:r>
              <w:rPr>
                <w:b w:val="0"/>
                <w:color w:val="172B39"/>
                <w:sz w:val="18"/>
              </w:rPr>
              <w:t>X02·X04 정상과 예외 흐름</w:t>
            </w:r>
          </w:p>
        </w:tc>
      </w:tr>
      <w:tr>
        <w:trPr>
          <w:cantSplit/>
        </w:trPr>
        <w:tc>
          <w:tcPr>
            <w:tcW w:type="dxa" w:w="1757"/>
            <w:shd w:fill="FFFFFF"/>
            <w:tcMar>
              <w:top w:w="85" w:type="dxa"/>
              <w:left w:w="85" w:type="dxa"/>
              <w:bottom w:w="85" w:type="dxa"/>
              <w:right w:w="85" w:type="dxa"/>
            </w:tcMar>
          </w:tcPr>
          <w:p>
            <w:pPr>
              <w:spacing w:after="40" w:line="252" w:lineRule="auto"/>
            </w:pPr>
            <w:r>
              <w:rPr>
                <w:b w:val="0"/>
                <w:color w:val="172B39"/>
                <w:sz w:val="18"/>
              </w:rPr>
              <w:t>1차 5~6개월</w:t>
            </w:r>
          </w:p>
        </w:tc>
        <w:tc>
          <w:tcPr>
            <w:tcW w:type="dxa" w:w="4082"/>
            <w:shd w:fill="FFFFFF"/>
            <w:tcMar>
              <w:top w:w="85" w:type="dxa"/>
              <w:left w:w="85" w:type="dxa"/>
              <w:bottom w:w="85" w:type="dxa"/>
              <w:right w:w="85" w:type="dxa"/>
            </w:tcMar>
          </w:tcPr>
          <w:p>
            <w:pPr>
              <w:spacing w:after="40" w:line="252" w:lineRule="auto"/>
            </w:pPr>
            <w:r>
              <w:rPr>
                <w:b w:val="0"/>
                <w:color w:val="172B39"/>
                <w:sz w:val="18"/>
              </w:rPr>
              <w:t>자료 적용·시험·제한 운영·인수</w:t>
            </w:r>
          </w:p>
        </w:tc>
        <w:tc>
          <w:tcPr>
            <w:tcW w:type="dxa" w:w="4025"/>
            <w:shd w:fill="FFFFFF"/>
            <w:tcMar>
              <w:top w:w="85" w:type="dxa"/>
              <w:left w:w="85" w:type="dxa"/>
              <w:bottom w:w="85" w:type="dxa"/>
              <w:right w:w="85" w:type="dxa"/>
            </w:tcMar>
          </w:tcPr>
          <w:p>
            <w:pPr>
              <w:spacing w:after="40" w:line="252" w:lineRule="auto"/>
            </w:pPr>
            <w:r>
              <w:rPr>
                <w:b w:val="0"/>
                <w:color w:val="172B39"/>
                <w:sz w:val="18"/>
              </w:rPr>
              <w:t>원문·권한·복원·안내문</w:t>
            </w:r>
          </w:p>
        </w:tc>
      </w:tr>
      <w:tr>
        <w:trPr>
          <w:cantSplit/>
        </w:trPr>
        <w:tc>
          <w:tcPr>
            <w:tcW w:type="dxa" w:w="1757"/>
            <w:shd w:fill="F1F5F7"/>
            <w:tcMar>
              <w:top w:w="85" w:type="dxa"/>
              <w:left w:w="85" w:type="dxa"/>
              <w:bottom w:w="85" w:type="dxa"/>
              <w:right w:w="85" w:type="dxa"/>
            </w:tcMar>
          </w:tcPr>
          <w:p>
            <w:pPr>
              <w:spacing w:after="40" w:line="252" w:lineRule="auto"/>
            </w:pPr>
            <w:r>
              <w:rPr>
                <w:b w:val="0"/>
                <w:color w:val="172B39"/>
                <w:sz w:val="18"/>
              </w:rPr>
              <w:t>2차 1~4개월</w:t>
            </w:r>
          </w:p>
        </w:tc>
        <w:tc>
          <w:tcPr>
            <w:tcW w:type="dxa" w:w="4082"/>
            <w:shd w:fill="F1F5F7"/>
            <w:tcMar>
              <w:top w:w="85" w:type="dxa"/>
              <w:left w:w="85" w:type="dxa"/>
              <w:bottom w:w="85" w:type="dxa"/>
              <w:right w:w="85" w:type="dxa"/>
            </w:tcMar>
          </w:tcPr>
          <w:p>
            <w:pPr>
              <w:spacing w:after="40" w:line="252" w:lineRule="auto"/>
            </w:pPr>
            <w:r>
              <w:rPr>
                <w:b w:val="0"/>
                <w:color w:val="172B39"/>
                <w:sz w:val="18"/>
              </w:rPr>
              <w:t>공식 읽기·예약 일정·범위 확대</w:t>
            </w:r>
          </w:p>
        </w:tc>
        <w:tc>
          <w:tcPr>
            <w:tcW w:type="dxa" w:w="4025"/>
            <w:shd w:fill="F1F5F7"/>
            <w:tcMar>
              <w:top w:w="85" w:type="dxa"/>
              <w:left w:w="85" w:type="dxa"/>
              <w:bottom w:w="85" w:type="dxa"/>
              <w:right w:w="85" w:type="dxa"/>
            </w:tcMar>
          </w:tcPr>
          <w:p>
            <w:pPr>
              <w:spacing w:after="40" w:line="252" w:lineRule="auto"/>
            </w:pPr>
            <w:r>
              <w:rPr>
                <w:b w:val="0"/>
                <w:color w:val="172B39"/>
                <w:sz w:val="18"/>
              </w:rPr>
              <w:t>실제 API와 기존 기능 재사용</w:t>
            </w:r>
          </w:p>
        </w:tc>
      </w:tr>
      <w:tr>
        <w:trPr>
          <w:cantSplit/>
        </w:trPr>
        <w:tc>
          <w:tcPr>
            <w:tcW w:type="dxa" w:w="1757"/>
            <w:shd w:fill="FFFFFF"/>
            <w:tcMar>
              <w:top w:w="85" w:type="dxa"/>
              <w:left w:w="85" w:type="dxa"/>
              <w:bottom w:w="85" w:type="dxa"/>
              <w:right w:w="85" w:type="dxa"/>
            </w:tcMar>
          </w:tcPr>
          <w:p>
            <w:pPr>
              <w:spacing w:after="40" w:line="252" w:lineRule="auto"/>
            </w:pPr>
            <w:r>
              <w:rPr>
                <w:b w:val="0"/>
                <w:color w:val="172B39"/>
                <w:sz w:val="18"/>
              </w:rPr>
              <w:t>2차 5~6개월</w:t>
            </w:r>
          </w:p>
        </w:tc>
        <w:tc>
          <w:tcPr>
            <w:tcW w:type="dxa" w:w="4082"/>
            <w:shd w:fill="FFFFFF"/>
            <w:tcMar>
              <w:top w:w="85" w:type="dxa"/>
              <w:left w:w="85" w:type="dxa"/>
              <w:bottom w:w="85" w:type="dxa"/>
              <w:right w:w="85" w:type="dxa"/>
            </w:tcMar>
          </w:tcPr>
          <w:p>
            <w:pPr>
              <w:spacing w:after="40" w:line="252" w:lineRule="auto"/>
            </w:pPr>
            <w:r>
              <w:rPr>
                <w:b w:val="0"/>
                <w:color w:val="172B39"/>
                <w:sz w:val="18"/>
              </w:rPr>
              <w:t>공개 경계·확장 검수·인수</w:t>
            </w:r>
          </w:p>
        </w:tc>
        <w:tc>
          <w:tcPr>
            <w:tcW w:type="dxa" w:w="4025"/>
            <w:shd w:fill="FFFFFF"/>
            <w:tcMar>
              <w:top w:w="85" w:type="dxa"/>
              <w:left w:w="85" w:type="dxa"/>
              <w:bottom w:w="85" w:type="dxa"/>
              <w:right w:w="85" w:type="dxa"/>
            </w:tcMar>
          </w:tcPr>
          <w:p>
            <w:pPr>
              <w:spacing w:after="40" w:line="252" w:lineRule="auto"/>
            </w:pPr>
            <w:r>
              <w:rPr>
                <w:b w:val="0"/>
                <w:color w:val="172B39"/>
                <w:sz w:val="18"/>
              </w:rPr>
              <w:t>최종 보존 사례·운영 전환</w:t>
            </w:r>
          </w:p>
        </w:tc>
      </w:tr>
    </w:tbl>
    <w:p>
      <w:r>
        <w:t>2차 W10에는 그 기간 중 1차 서비스의 제한 운영을 포함한다. 기존 TS 인프라 운영은 기존 체계를 사용하고 이번 용역에 장비 유지보수·자원 증분을 청구하지 않는다. 응용 SW 운영·설정·복원 시험 공수는 포함한다. 최종 인수 이후 유상 정상 운영은 별도 계약이며 무상 하자보수와 같은 일을 중복 청구하지 않는다. 무상 하자 책임의 기간·범위는 적용 계약 조건으로 확정한다.</w:t>
      </w:r>
    </w:p>
    <w:p>
      <w:pPr>
        <w:pStyle w:val="Heading1"/>
      </w:pPr>
      <w:r>
        <w:t>검수와 제안 평가</w:t>
      </w:r>
    </w:p>
    <w:p>
      <w:r>
        <w:t>36개 요구에 대한 단계별 해당 시험, 수량 상한, 원문·권한·근거·내부 상태·실패 복구를 확인한다. 치명적·높음 보안 결함 미해결, 무권한 노출, 허위 공식완료가 남으면 인수하지 않는다. AI 시험의 표본·목표·제외·유보를 공개한다. 실증 수치가 없는 공급사는 이미 달성한 성능으로 제시하지 않는다.</w:t>
      </w:r>
    </w:p>
    <w:p>
      <w:r>
        <w:t>평가는 업무 이해와 국민 편익, 기존 계약 비중복, 자산 재사용의 증거, 로컬 실행 품질, 현실적인 인력·일정·견적, 연계 의존성, 보안·운영·검수의 완결성을 중심으로 설계한다. 법정 기술·가격 배점 및 조달 기준의 적용은 공고 전에 별도 확인하며 이번 문서에서 임의 확정하지 않는다.</w:t>
      </w:r>
    </w:p>
    <w:p>
      <w:pPr>
        <w:pStyle w:val="Heading1"/>
      </w:pPr>
      <w:r>
        <w:t>가격과 변경 통제</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34"/>
        <w:gridCol w:w="2835"/>
        <w:gridCol w:w="2948"/>
        <w:gridCol w:w="2948"/>
      </w:tblGrid>
      <w:tr>
        <w:trPr>
          <w:cantSplit/>
          <w:tblHeader/>
        </w:trPr>
        <w:tc>
          <w:tcPr>
            <w:tcW w:type="dxa" w:w="1134"/>
            <w:shd w:fill="223E52"/>
            <w:tcMar>
              <w:top w:w="85" w:type="dxa"/>
              <w:left w:w="85" w:type="dxa"/>
              <w:bottom w:w="85" w:type="dxa"/>
              <w:right w:w="85" w:type="dxa"/>
            </w:tcMar>
          </w:tcPr>
          <w:p>
            <w:pPr>
              <w:spacing w:after="40" w:line="252" w:lineRule="auto"/>
            </w:pPr>
            <w:r>
              <w:rPr>
                <w:b/>
                <w:color w:val="FFFFFF"/>
                <w:sz w:val="18"/>
              </w:rPr>
              <w:t>구분</w:t>
            </w:r>
          </w:p>
        </w:tc>
        <w:tc>
          <w:tcPr>
            <w:tcW w:type="dxa" w:w="2835"/>
            <w:shd w:fill="223E52"/>
            <w:tcMar>
              <w:top w:w="85" w:type="dxa"/>
              <w:left w:w="85" w:type="dxa"/>
              <w:bottom w:w="85" w:type="dxa"/>
              <w:right w:w="85" w:type="dxa"/>
            </w:tcMar>
          </w:tcPr>
          <w:p>
            <w:pPr>
              <w:spacing w:after="40" w:line="252" w:lineRule="auto"/>
            </w:pPr>
            <w:r>
              <w:rPr>
                <w:b/>
                <w:color w:val="FFFFFF"/>
                <w:sz w:val="18"/>
              </w:rPr>
              <w:t>목표 상한 VAT 포함</w:t>
            </w:r>
          </w:p>
        </w:tc>
        <w:tc>
          <w:tcPr>
            <w:tcW w:type="dxa" w:w="2948"/>
            <w:shd w:fill="223E52"/>
            <w:tcMar>
              <w:top w:w="85" w:type="dxa"/>
              <w:left w:w="85" w:type="dxa"/>
              <w:bottom w:w="85" w:type="dxa"/>
              <w:right w:w="85" w:type="dxa"/>
            </w:tcMar>
          </w:tcPr>
          <w:p>
            <w:pPr>
              <w:spacing w:after="40" w:line="252" w:lineRule="auto"/>
            </w:pPr>
            <w:r>
              <w:rPr>
                <w:b/>
                <w:color w:val="FFFFFF"/>
                <w:sz w:val="18"/>
              </w:rPr>
              <w:t>산정액 VAT 포함</w:t>
            </w:r>
          </w:p>
        </w:tc>
        <w:tc>
          <w:tcPr>
            <w:tcW w:type="dxa" w:w="2948"/>
            <w:shd w:fill="223E52"/>
            <w:tcMar>
              <w:top w:w="85" w:type="dxa"/>
              <w:left w:w="85" w:type="dxa"/>
              <w:bottom w:w="85" w:type="dxa"/>
              <w:right w:w="85" w:type="dxa"/>
            </w:tcMar>
          </w:tcPr>
          <w:p>
            <w:pPr>
              <w:spacing w:after="40" w:line="252" w:lineRule="auto"/>
            </w:pPr>
            <w:r>
              <w:rPr>
                <w:b/>
                <w:color w:val="FFFFFF"/>
                <w:sz w:val="18"/>
              </w:rPr>
              <w:t>상한과 차액</w:t>
            </w:r>
          </w:p>
        </w:tc>
      </w:tr>
      <w:tr>
        <w:trPr>
          <w:cantSplit/>
        </w:trPr>
        <w:tc>
          <w:tcPr>
            <w:tcW w:type="dxa" w:w="1134"/>
            <w:shd w:fill="FFFFFF"/>
            <w:tcMar>
              <w:top w:w="85" w:type="dxa"/>
              <w:left w:w="85" w:type="dxa"/>
              <w:bottom w:w="85" w:type="dxa"/>
              <w:right w:w="85" w:type="dxa"/>
            </w:tcMar>
          </w:tcPr>
          <w:p>
            <w:pPr>
              <w:spacing w:after="40" w:line="252" w:lineRule="auto"/>
            </w:pPr>
            <w:r>
              <w:rPr>
                <w:b w:val="0"/>
                <w:color w:val="172B39"/>
                <w:sz w:val="18"/>
              </w:rPr>
              <w:t>1단계</w:t>
            </w:r>
          </w:p>
        </w:tc>
        <w:tc>
          <w:tcPr>
            <w:tcW w:type="dxa" w:w="2835"/>
            <w:shd w:fill="FFFFFF"/>
            <w:tcMar>
              <w:top w:w="85" w:type="dxa"/>
              <w:left w:w="85" w:type="dxa"/>
              <w:bottom w:w="85" w:type="dxa"/>
              <w:right w:w="85" w:type="dxa"/>
            </w:tcMar>
          </w:tcPr>
          <w:p>
            <w:pPr>
              <w:spacing w:after="40" w:line="252" w:lineRule="auto"/>
            </w:pPr>
            <w:r>
              <w:rPr>
                <w:b w:val="0"/>
                <w:color w:val="172B39"/>
                <w:sz w:val="18"/>
              </w:rPr>
              <w:t>700,000,000원</w:t>
            </w:r>
          </w:p>
        </w:tc>
        <w:tc>
          <w:tcPr>
            <w:tcW w:type="dxa" w:w="2948"/>
            <w:shd w:fill="FFFFFF"/>
            <w:tcMar>
              <w:top w:w="85" w:type="dxa"/>
              <w:left w:w="85" w:type="dxa"/>
              <w:bottom w:w="85" w:type="dxa"/>
              <w:right w:w="85" w:type="dxa"/>
            </w:tcMar>
          </w:tcPr>
          <w:p>
            <w:pPr>
              <w:spacing w:after="40" w:line="252" w:lineRule="auto"/>
            </w:pPr>
            <w:r>
              <w:rPr>
                <w:b w:val="0"/>
                <w:color w:val="172B39"/>
                <w:sz w:val="18"/>
              </w:rPr>
              <w:t>642,386,048원</w:t>
            </w:r>
          </w:p>
        </w:tc>
        <w:tc>
          <w:tcPr>
            <w:tcW w:type="dxa" w:w="2948"/>
            <w:shd w:fill="FFFFFF"/>
            <w:tcMar>
              <w:top w:w="85" w:type="dxa"/>
              <w:left w:w="85" w:type="dxa"/>
              <w:bottom w:w="85" w:type="dxa"/>
              <w:right w:w="85" w:type="dxa"/>
            </w:tcMar>
          </w:tcPr>
          <w:p>
            <w:pPr>
              <w:spacing w:after="40" w:line="252" w:lineRule="auto"/>
            </w:pPr>
            <w:r>
              <w:rPr>
                <w:b w:val="0"/>
                <w:color w:val="172B39"/>
                <w:sz w:val="18"/>
              </w:rPr>
              <w:t>57,613,952원</w:t>
            </w:r>
          </w:p>
        </w:tc>
      </w:tr>
      <w:tr>
        <w:trPr>
          <w:cantSplit/>
        </w:trPr>
        <w:tc>
          <w:tcPr>
            <w:tcW w:type="dxa" w:w="1134"/>
            <w:shd w:fill="F1F5F7"/>
            <w:tcMar>
              <w:top w:w="85" w:type="dxa"/>
              <w:left w:w="85" w:type="dxa"/>
              <w:bottom w:w="85" w:type="dxa"/>
              <w:right w:w="85" w:type="dxa"/>
            </w:tcMar>
          </w:tcPr>
          <w:p>
            <w:pPr>
              <w:spacing w:after="40" w:line="252" w:lineRule="auto"/>
            </w:pPr>
            <w:r>
              <w:rPr>
                <w:b w:val="0"/>
                <w:color w:val="172B39"/>
                <w:sz w:val="18"/>
              </w:rPr>
              <w:t>2단계</w:t>
            </w:r>
          </w:p>
        </w:tc>
        <w:tc>
          <w:tcPr>
            <w:tcW w:type="dxa" w:w="2835"/>
            <w:shd w:fill="F1F5F7"/>
            <w:tcMar>
              <w:top w:w="85" w:type="dxa"/>
              <w:left w:w="85" w:type="dxa"/>
              <w:bottom w:w="85" w:type="dxa"/>
              <w:right w:w="85" w:type="dxa"/>
            </w:tcMar>
          </w:tcPr>
          <w:p>
            <w:pPr>
              <w:spacing w:after="40" w:line="252" w:lineRule="auto"/>
            </w:pPr>
            <w:r>
              <w:rPr>
                <w:b w:val="0"/>
                <w:color w:val="172B39"/>
                <w:sz w:val="18"/>
              </w:rPr>
              <w:t>500,000,000원</w:t>
            </w:r>
          </w:p>
        </w:tc>
        <w:tc>
          <w:tcPr>
            <w:tcW w:type="dxa" w:w="2948"/>
            <w:shd w:fill="F1F5F7"/>
            <w:tcMar>
              <w:top w:w="85" w:type="dxa"/>
              <w:left w:w="85" w:type="dxa"/>
              <w:bottom w:w="85" w:type="dxa"/>
              <w:right w:w="85" w:type="dxa"/>
            </w:tcMar>
          </w:tcPr>
          <w:p>
            <w:pPr>
              <w:spacing w:after="40" w:line="252" w:lineRule="auto"/>
            </w:pPr>
            <w:r>
              <w:rPr>
                <w:b w:val="0"/>
                <w:color w:val="172B39"/>
                <w:sz w:val="18"/>
              </w:rPr>
              <w:t>476,001,056원</w:t>
            </w:r>
          </w:p>
        </w:tc>
        <w:tc>
          <w:tcPr>
            <w:tcW w:type="dxa" w:w="2948"/>
            <w:shd w:fill="F1F5F7"/>
            <w:tcMar>
              <w:top w:w="85" w:type="dxa"/>
              <w:left w:w="85" w:type="dxa"/>
              <w:bottom w:w="85" w:type="dxa"/>
              <w:right w:w="85" w:type="dxa"/>
            </w:tcMar>
          </w:tcPr>
          <w:p>
            <w:pPr>
              <w:spacing w:after="40" w:line="252" w:lineRule="auto"/>
            </w:pPr>
            <w:r>
              <w:rPr>
                <w:b w:val="0"/>
                <w:color w:val="172B39"/>
                <w:sz w:val="18"/>
              </w:rPr>
              <w:t>23,998,944원</w:t>
            </w:r>
          </w:p>
        </w:tc>
      </w:tr>
    </w:tbl>
    <w:p>
      <w:r>
        <w:t>산정 총액은 1,118,387,104원이다. 상한과의 차액을 계약금액에 자동 반영하지 않는다. 기존 15% 예비액은 더하지 않는다. 미견적 품목과 기관 별도 비용을 확인하면 차액이 줄거나 범위 축소가 더 필요할 수 있다.</w:t>
      </w:r>
    </w:p>
    <w:p>
      <w:r>
        <w:t>CCK 내부 원가·이윤과 발주기관 예정가격을 구별한다. 가격 제안은 신규 인프라 투자 0원을 명시한다. 서버·GPU·저장·백업·망 장비 구매·증설·임차 및 클라우드 자원비는 계상하지 않는다. 기존 용량 부족 시 대기열·처리량·업무 범위를 조정한다. 재사용 SW 이용료·맞춤 개발·연계·직접경비·응용 운영을 분리하고 같은 설정·지원·시험을 중복 산정하지 않는다. 필요한 감리·영향평가·기관 측 비용을 먼저 확인한다. 총사업비 12억에 포함해야 하는 비용이면 동일 상한 안에서 기능 범위를 다시 조정한다.</w:t>
      </w:r>
    </w:p>
    <w:sectPr w:rsidR="00FC693F" w:rsidRPr="0006063C" w:rsidSect="00034616">
      <w:footerReference w:type="default" r:id="rId9"/>
      <w:pgSz w:w="11906" w:h="16838"/>
      <w:pgMar w:top="1020" w:right="1020" w:bottom="935"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맑은 고딕" w:hAnsi="맑은 고딕" w:eastAsia="맑은 고딕"/>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76" w:lineRule="auto"/>
      <w:outlineLvl w:val="0"/>
    </w:pPr>
    <w:rPr>
      <w:rFonts w:asciiTheme="majorHAnsi" w:eastAsiaTheme="majorEastAsia" w:hAnsiTheme="majorHAnsi" w:cstheme="majorBidi" w:ascii="맑은 고딕" w:hAnsi="맑은 고딕" w:eastAsia="맑은 고딕"/>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20" w:line="276" w:lineRule="auto"/>
      <w:outlineLvl w:val="1"/>
    </w:pPr>
    <w:rPr>
      <w:rFonts w:asciiTheme="majorHAnsi" w:eastAsiaTheme="majorEastAsia" w:hAnsiTheme="majorHAnsi" w:cstheme="majorBidi" w:ascii="맑은 고딕" w:hAnsi="맑은 고딕" w:eastAsia="맑은 고딕"/>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line="276" w:lineRule="auto"/>
      <w:outlineLvl w:val="2"/>
    </w:pPr>
    <w:rPr>
      <w:rFonts w:asciiTheme="majorHAnsi" w:eastAsiaTheme="majorEastAsia" w:hAnsiTheme="majorHAnsi" w:cstheme="majorBidi" w:ascii="맑은 고딕" w:hAnsi="맑은 고딕" w:eastAsia="맑은 고딕"/>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76" w:lineRule="auto"/>
      <w:contextualSpacing/>
    </w:pPr>
    <w:rPr>
      <w:rFonts w:asciiTheme="majorHAnsi" w:eastAsiaTheme="majorEastAsia" w:hAnsiTheme="majorHAnsi" w:cstheme="majorBidi" w:ascii="맑은 고딕" w:hAnsi="맑은 고딕" w:eastAsia="맑은 고딕"/>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76" w:lineRule="auto"/>
    </w:pPr>
    <w:rPr>
      <w:rFonts w:asciiTheme="majorHAnsi" w:eastAsiaTheme="majorEastAsia" w:hAnsiTheme="majorHAnsi" w:cstheme="majorBidi" w:ascii="맑은 고딕" w:hAnsi="맑은 고딕" w:eastAsia="맑은 고딕"/>
      <w:i w:val="0"/>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TS 검사 후속 행동과 조치 검토 AX 제안요청서 초안</dc:title>
  <dc:subject>CCK TS AX 사업 구체화</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