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Noto Sans CJK SC" w:hAnsi="Noto Sans CJK SC" w:eastAsia="黑体"/>
          <w:b/>
          <w:color w:val="20313B"/>
          <w:sz w:val="44"/>
        </w:rPr>
        <w:t>灾害影响等级预测：阶段结果汇报</w:t>
      </w:r>
    </w:p>
    <w:p>
      <w:pPr>
        <w:spacing w:after="280"/>
      </w:pPr>
      <w:r>
        <w:rPr>
          <w:rFonts w:ascii="Noto Sans CJK SC" w:hAnsi="Noto Sans CJK SC" w:eastAsia="宋体"/>
          <w:b w:val="0"/>
          <w:color w:val="5F6B73"/>
          <w:sz w:val="21"/>
        </w:rPr>
        <w:t>Crisis Data Terminal 毕业设计 · 2026年8月27日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Noto Sans CJK SC" w:hAnsi="Noto Sans CJK SC" w:eastAsia="黑体"/>
                <w:b/>
                <w:color w:val="2E5D7B"/>
                <w:sz w:val="21"/>
              </w:rPr>
              <w:t>阶段结论：</w:t>
            </w:r>
            <w:r>
              <w:rPr>
                <w:rFonts w:ascii="Noto Sans CJK SC" w:hAnsi="Noto Sans CJK SC" w:eastAsia="宋体"/>
                <w:b w:val="0"/>
                <w:color w:val="20313B"/>
                <w:sz w:val="21"/>
              </w:rPr>
              <w:t>最终三级 Random Forest 已完成方案锁定和2022—2023年时间外测试。模型具有一定的分类能力，但 Severe 类仍存在明显低估风险，因此目前定位为辅助分析工具。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一、这次实验解决了什么问题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本阶段的目标，是利用灾害发生时或发生前能够获得的信息，预测事件最终对应的死亡影响等级。预测对象分为三个等级：Low（0—9人死亡）、Moderate（10—99人死亡）和 Severe（100人及以上死亡）。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为避免把结果信息提前交给模型，输入中没有使用死亡人数、受影响人数、经济损失、事件结束时间等事后变量。模型使用国家和地区、灾害类型、发生时间、历史灾害频次、HDI，以及经过同量纲分组处理的 Magnitude 等15项特征。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二、数据划分与评价方式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灾害数据具有时间顺序，因此没有随机打乱数据，而是按照年份划分训练、验证和测试集合。这样做虽然比随机划分更严格，但更接近“用过去预测未来”的实际场景。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800"/>
        <w:gridCol w:w="4260"/>
        <w:gridCol w:w="180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数据集合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时间范围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用途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有效样本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Train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2000—2019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训练模型和预处理器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10,786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Validation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2020—2021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比较特征方案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804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Test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2022—2023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锁定方案后的正式评价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948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Maturity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2024—2026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继续封存，未生成预测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1,044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由于三类样本不均衡，方案选择不只看 Accuracy，而是优先比较 Macro F1，同时参考 Balanced Accuracy、Severe Recall、Severe F1以及严重事件被直接判成 Low 的数量。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三、为什么保留消融实验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消融实验需要保留，但目的不是展示做了多少组实验，而是说明最终模型为什么选择 T2。四组实验使用完全相同的 Random Forest 参数，只改变新增特征，因此可以直接比较特征带来的变化。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580"/>
        <w:gridCol w:w="1470"/>
        <w:gridCol w:w="1470"/>
        <w:gridCol w:w="1470"/>
        <w:gridCol w:w="147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方案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新增信息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Macro F1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Balanced Acc.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Severe Recall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Severe F1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T0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基础特征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0.6041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0.6231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0.3265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0.3077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T1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T0 + 人口/GDP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0.6023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0.6256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0.3469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0.3148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T2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T0 + Magnitude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0.6165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0.6362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0.3673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0.3529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T3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T0 + 两类增强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0.6161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0.6315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0.3469</w:t>
            </w:r>
          </w:p>
        </w:tc>
        <w:tc>
          <w:tcPr>
            <w:tcW w:type="dxa" w:w="1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0.3434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T2 在 Validation 上的 Macro F1、Balanced Accuracy、Severe Recall 和 Severe F1均为四组最高，因此在查看 Test 结果前锁定 T2。T3 的 Accuracy 略高，但加入人口和GDP后，针对少数类的主要指标没有继续提高，而且模型依赖更复杂。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这里不能写成“Magnitude 带来了显著提升”。当前没有进行置信区间或显著性检验，只能说明它在这次固定验证集上提供了方向较一致的增量。人口和GDP没有带来稳定增益，也不等于它们与灾害影响无关。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四、最终时间外测试结果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锁定 T2 后，将2000—2021年的 Train 和 Validation 合并为 Development，在其上重新拟合最终模型，再对此前未参与选型的2022—2023年 Test进行一次正式评价。测试后没有返回调整特征、阈值或参数。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Accuracy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Balanced Accuracy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Macro F1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Weighted F1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QWK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0.7152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0.7137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0.6811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0.7179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0.5434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65"/>
        <w:gridCol w:w="1865"/>
        <w:gridCol w:w="1865"/>
        <w:gridCol w:w="1865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类别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Precision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Recall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F1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样本数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Low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0.6088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0.9082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0.7289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305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Moderate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0.9164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0.6279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0.7452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524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Severe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0.5373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0.6050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0.5692</w:t>
            </w:r>
          </w:p>
        </w:tc>
        <w:tc>
          <w:tcPr>
            <w:tcW w:type="dxa" w:w="18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119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从整体指标看，模型在该测试时间窗口具备一定的时间外分类能力。Low 的召回率较高；Moderate 的精确率较高，但仍遗漏了部分真实 Moderate；Severe 的 F1 为0.5692，是目前最需要继续关注的类别。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五、错误分析与目前的主要风险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1920"/>
        <w:gridCol w:w="1920"/>
        <w:gridCol w:w="192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真实类别 / 预测类别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Low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Moderate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黑体"/>
                <w:b/>
                <w:color w:val="2E5D7B"/>
                <w:sz w:val="19"/>
              </w:rPr>
              <w:t>Severe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Low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277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14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14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Moderate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147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329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48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Severe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31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16</w:t>
            </w:r>
          </w:p>
        </w:tc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宋体"/>
                <w:b w:val="0"/>
                <w:color w:val="20313B"/>
                <w:sz w:val="18"/>
              </w:rPr>
              <w:t>72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9B1C1C"/>
          <w:sz w:val="21"/>
        </w:rPr>
        <w:t>最值得注意的是，119条真实 Severe 事件中有72条识别正确，但有31条被直接判断为 Low，严重低估比例为26.05%。这说明模型还不能单独承担风险判断，更适合作为系统中的辅助参考，并与人工判断和其他灾害信息结合使用。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六、结果可以说明什么，不能说明什么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可以说明：在严格时间划分和当前数据条件下，最终模型表现出一定的时间外三级分类能力。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可以说明：T2 是按照预先确定的评价顺序，在 Test 开封前从四个固定方案中选出的。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不能说明：71.52%的 Accuracy 等于模型能够可靠预测所有未来灾害。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不能说明：人口、GDP不重要，或 Magnitude 对所有灾害类型都有效。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不能说明：模型可以替代专业机构研判、实时预警或自动决策。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七、目前仍存在的局限</w:t>
      </w:r>
    </w:p>
    <w:p>
      <w:pPr>
        <w:spacing w:before="0" w:after="120" w:line="276" w:lineRule="auto"/>
      </w:pPr>
      <w:r>
        <w:rPr>
          <w:rFonts w:ascii="Noto Sans CJK SC" w:hAnsi="Noto Sans CJK SC" w:eastAsia="宋体"/>
          <w:b w:val="0"/>
          <w:color w:val="20313B"/>
          <w:sz w:val="21"/>
        </w:rPr>
        <w:t>第一，影响等级只按照死亡人数构造，没有同时描述受影响人数、经济损失、基础设施破坏和长期社会影响。第二，Validation 中只有49条 Severe，Test 中也只有119条，少数类指标仍可能产生较大波动。第三，正式 Test 只覆盖2022—2023年，还不能证明模型在更长时间或重大分布变化下仍然稳定。第四，部分灾害记录存在日期、Magnitude和HDI缺失，数据质量会影响模型判断。</w:t>
      </w:r>
    </w:p>
    <w:p>
      <w:pPr>
        <w:pStyle w:val="Heading1"/>
        <w:keepNext/>
      </w:pPr>
      <w:r>
        <w:rPr>
          <w:rFonts w:ascii="Noto Sans CJK SC" w:hAnsi="Noto Sans CJK SC" w:eastAsia="黑体"/>
          <w:b/>
          <w:color w:val="2E5D7B"/>
          <w:sz w:val="30"/>
        </w:rPr>
        <w:t>八、希望请老师重点指导的问题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将 High 和 Extreme 合并为 Severe 的三级标签设计，是否适合作为论文最终任务定义？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论文中是否需要进一步加入置信区间、Bootstrap或滚动时间窗口实验？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对于 Severe 被低估为 Low 的问题，论文应重点讨论模型改进，还是强调辅助分析的使用边界？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Noto Sans CJK SC" w:hAnsi="Noto Sans CJK SC" w:eastAsia="宋体"/>
          <w:b w:val="0"/>
          <w:color w:val="20313B"/>
          <w:sz w:val="21"/>
        </w:rPr>
        <w:t>现有消融实验和时间外测试是否已经足以支撑毕业论文的模型章节？</w:t>
      </w:r>
    </w:p>
    <w:p>
      <w:pPr>
        <w:spacing w:before="0" w:after="0" w:line="276" w:lineRule="auto"/>
      </w:pPr>
      <w:r>
        <w:rPr>
          <w:rFonts w:ascii="Noto Sans CJK SC" w:hAnsi="Noto Sans CJK SC" w:eastAsia="宋体"/>
          <w:b w:val="0"/>
          <w:color w:val="5F6B73"/>
          <w:sz w:val="21"/>
        </w:rPr>
        <w:t>补充说明：最终模型已经完成保存后重新加载核验，Test预测类别和评价指标保持一致，最大概率差异为3.33×10⁻¹⁶。2024—2026年 Maturity 数据未生成模型特征、预测或指标。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宋体"/>
        <w:b w:val="0"/>
        <w:color w:val="5F6B73"/>
        <w:sz w:val="17"/>
      </w:rPr>
      <w:t>灾害影响等级预测 · 2026年8月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黑体"/>
        <w:b w:val="0"/>
        <w:color w:val="5F6B73"/>
        <w:sz w:val="17"/>
      </w:rPr>
      <w:t>CRISIS DATA TERMINAL  |  阶段结果汇报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黑体"/>
      <w:b/>
      <w:bCs/>
      <w:color w:val="2E5D7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黑体"/>
      <w:b/>
      <w:bCs/>
      <w:color w:val="2031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黑体"/>
      <w:b/>
      <w:bCs/>
      <w:color w:val="2031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