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450"/>
          <w:sz w:val="40"/>
        </w:rPr>
        <w:t>RESONATE CLUB INC.</w:t>
        <w:br/>
        <w:t>리조네이트 클럽 주식회사</w:t>
      </w:r>
    </w:p>
    <w:p>
      <w:pPr>
        <w:jc w:val="center"/>
      </w:pPr>
      <w:r>
        <w:rPr>
          <w:color w:val="D4AF37"/>
          <w:sz w:val="24"/>
        </w:rPr>
        <w:t>Premium Korea↔USA Travel | Business Proposal</w:t>
      </w:r>
    </w:p>
    <w:p/>
    <w:p>
      <w:pPr>
        <w:jc w:val="center"/>
      </w:pPr>
      <w:r>
        <w:rPr>
          <w:sz w:val="20"/>
        </w:rPr>
        <w:t>Date: June 11, 2026</w:t>
        <w:br/>
        <w:t>Investor: U.S. Citizen/Entity (100% Equity)</w:t>
        <w:br/>
        <w:t>CEO: Hee Sung Lee (F-4 Visa)</w:t>
        <w:br/>
        <w:t>Brand: Resonate Tour (결 투어)</w:t>
      </w:r>
    </w:p>
    <w:p>
      <w:r>
        <w:br w:type="page"/>
      </w:r>
    </w:p>
    <w:p>
      <w:pPr>
        <w:pStyle w:val="Heading1"/>
      </w:pPr>
      <w:r>
        <w:rPr>
          <w:color w:val="1A3450"/>
        </w:rPr>
        <w:t>1. Executive Summary</w:t>
      </w:r>
    </w:p>
    <w:p>
      <w:r>
        <w:t>Resonate Club Inc. is a premium travel planning corporation to be established in Haeundae-gu, Busan, Republic of Korea, under the Foreign Investment Promotion Act (FIPA). Operating under the brand 'Resonate Tour (결 투어),' the company specializes in all-inclusive, small-group premium golf tours from Korea to California.</w:t>
        <w:br/>
        <w:br/>
        <w:t>The company will be registered as a Domestic &amp; International Travel Agency with Planned Travel Operator status (국내외여행업 / 기획여행사), with a total paid-in capital of KRW 100,000,000 (~USD $74,100), fully funded by a U.S. investor holding 100% equity. Hee Sung Lee, an F-4 Overseas Korean Visa holder, will serve as non-shareholder Representative Director (CEO).</w:t>
        <w:br/>
        <w:br/>
        <w:t>Key financials: Monthly fixed costs of KRW 1,727,000, guarantee insurance of KRW 230,000,000 (Base KRW 30,000,000 + Planned Travel KRW 200,000,000), and a cost-plus-40% markup model targeting 12–18 premium golf tour groups in Year 1.</w:t>
      </w:r>
    </w:p>
    <w:p>
      <w:pPr>
        <w:pStyle w:val="Heading1"/>
      </w:pPr>
      <w:r>
        <w:rPr>
          <w:color w:val="1A3450"/>
        </w:rPr>
        <w:t>2. Company Overview</w:t>
      </w:r>
    </w:p>
    <w:tbl>
      <w:tblPr>
        <w:tblStyle w:val="TableGrid"/>
        <w:tblW w:type="auto" w:w="0"/>
        <w:jc w:val="center"/>
        <w:tblLook w:firstColumn="1" w:firstRow="1" w:lastColumn="0" w:lastRow="0" w:noHBand="0" w:noVBand="1" w:val="04A0"/>
      </w:tblPr>
      <w:tblGrid>
        <w:gridCol w:w="4986"/>
        <w:gridCol w:w="4986"/>
      </w:tblGrid>
      <w:tr>
        <w:tc>
          <w:tcPr>
            <w:tcW w:type="dxa" w:w="4986"/>
            <w:shd w:fill="1a3450" w:val="clear"/>
          </w:tcPr>
          <w:p>
            <w:pPr>
              <w:jc w:val="center"/>
            </w:pPr>
            <w:r>
              <w:rPr>
                <w:b/>
                <w:color w:val="FFFFFF"/>
                <w:sz w:val="18"/>
              </w:rPr>
              <w:t>Item</w:t>
            </w:r>
          </w:p>
        </w:tc>
        <w:tc>
          <w:tcPr>
            <w:tcW w:type="dxa" w:w="4986"/>
            <w:shd w:fill="1a3450" w:val="clear"/>
          </w:tcPr>
          <w:p>
            <w:pPr>
              <w:jc w:val="center"/>
            </w:pPr>
            <w:r>
              <w:rPr>
                <w:b/>
                <w:color w:val="FFFFFF"/>
                <w:sz w:val="18"/>
              </w:rPr>
              <w:t>Detail</w:t>
            </w:r>
          </w:p>
        </w:tc>
      </w:tr>
      <w:tr>
        <w:tc>
          <w:tcPr>
            <w:tcW w:type="dxa" w:w="4986"/>
            <w:shd w:fill="f0f4f8" w:val="clear"/>
          </w:tcPr>
          <w:p>
            <w:r>
              <w:rPr>
                <w:sz w:val="18"/>
              </w:rPr>
              <w:t>Legal Entity</w:t>
            </w:r>
          </w:p>
        </w:tc>
        <w:tc>
          <w:tcPr>
            <w:tcW w:type="dxa" w:w="4986"/>
            <w:shd w:fill="f0f4f8" w:val="clear"/>
          </w:tcPr>
          <w:p>
            <w:r>
              <w:rPr>
                <w:sz w:val="18"/>
              </w:rPr>
              <w:t>Resonate Club Inc. — Foreign-Invested Joint-Stock Company (주식회사)</w:t>
            </w:r>
          </w:p>
        </w:tc>
      </w:tr>
      <w:tr>
        <w:tc>
          <w:tcPr>
            <w:tcW w:type="dxa" w:w="4986"/>
          </w:tcPr>
          <w:p>
            <w:r>
              <w:rPr>
                <w:sz w:val="18"/>
              </w:rPr>
              <w:t>Brand</w:t>
            </w:r>
          </w:p>
        </w:tc>
        <w:tc>
          <w:tcPr>
            <w:tcW w:type="dxa" w:w="4986"/>
          </w:tcPr>
          <w:p>
            <w:r>
              <w:rPr>
                <w:sz w:val="18"/>
              </w:rPr>
              <w:t>Resonate Tour (결 투어)</w:t>
            </w:r>
          </w:p>
        </w:tc>
      </w:tr>
      <w:tr>
        <w:tc>
          <w:tcPr>
            <w:tcW w:type="dxa" w:w="4986"/>
            <w:shd w:fill="f0f4f8" w:val="clear"/>
          </w:tcPr>
          <w:p>
            <w:r>
              <w:rPr>
                <w:sz w:val="18"/>
              </w:rPr>
              <w:t>Business Type</w:t>
            </w:r>
          </w:p>
        </w:tc>
        <w:tc>
          <w:tcPr>
            <w:tcW w:type="dxa" w:w="4986"/>
            <w:shd w:fill="f0f4f8" w:val="clear"/>
          </w:tcPr>
          <w:p>
            <w:r>
              <w:rPr>
                <w:sz w:val="18"/>
              </w:rPr>
              <w:t>Domestic &amp; International Travel Agency — Planned Travel Operator</w:t>
            </w:r>
          </w:p>
        </w:tc>
      </w:tr>
      <w:tr>
        <w:tc>
          <w:tcPr>
            <w:tcW w:type="dxa" w:w="4986"/>
          </w:tcPr>
          <w:p>
            <w:r>
              <w:rPr>
                <w:sz w:val="18"/>
              </w:rPr>
              <w:t>Registered Office</w:t>
            </w:r>
          </w:p>
        </w:tc>
        <w:tc>
          <w:tcPr>
            <w:tcW w:type="dxa" w:w="4986"/>
          </w:tcPr>
          <w:p>
            <w:r>
              <w:rPr>
                <w:sz w:val="18"/>
              </w:rPr>
              <w:t>Haeundae-gu, Busan, Republic of Korea</w:t>
            </w:r>
          </w:p>
        </w:tc>
      </w:tr>
      <w:tr>
        <w:tc>
          <w:tcPr>
            <w:tcW w:type="dxa" w:w="4986"/>
            <w:shd w:fill="f0f4f8" w:val="clear"/>
          </w:tcPr>
          <w:p>
            <w:r>
              <w:rPr>
                <w:sz w:val="18"/>
              </w:rPr>
              <w:t>Paid-in Capital</w:t>
            </w:r>
          </w:p>
        </w:tc>
        <w:tc>
          <w:tcPr>
            <w:tcW w:type="dxa" w:w="4986"/>
            <w:shd w:fill="f0f4f8" w:val="clear"/>
          </w:tcPr>
          <w:p>
            <w:r>
              <w:rPr>
                <w:sz w:val="18"/>
              </w:rPr>
              <w:t>KRW 100,000,000 (statutory minimum KRW 50,000,000)</w:t>
            </w:r>
          </w:p>
        </w:tc>
      </w:tr>
      <w:tr>
        <w:tc>
          <w:tcPr>
            <w:tcW w:type="dxa" w:w="4986"/>
          </w:tcPr>
          <w:p>
            <w:r>
              <w:rPr>
                <w:sz w:val="18"/>
              </w:rPr>
              <w:t>Shares</w:t>
            </w:r>
          </w:p>
        </w:tc>
        <w:tc>
          <w:tcPr>
            <w:tcW w:type="dxa" w:w="4986"/>
          </w:tcPr>
          <w:p>
            <w:r>
              <w:rPr>
                <w:sz w:val="18"/>
              </w:rPr>
              <w:t>2,000 common shares at KRW 50,000/share</w:t>
            </w:r>
          </w:p>
        </w:tc>
      </w:tr>
      <w:tr>
        <w:tc>
          <w:tcPr>
            <w:tcW w:type="dxa" w:w="4986"/>
            <w:shd w:fill="f0f4f8" w:val="clear"/>
          </w:tcPr>
          <w:p>
            <w:r>
              <w:rPr>
                <w:sz w:val="18"/>
              </w:rPr>
              <w:t>Ownership</w:t>
            </w:r>
          </w:p>
        </w:tc>
        <w:tc>
          <w:tcPr>
            <w:tcW w:type="dxa" w:w="4986"/>
            <w:shd w:fill="f0f4f8" w:val="clear"/>
          </w:tcPr>
          <w:p>
            <w:r>
              <w:rPr>
                <w:sz w:val="18"/>
              </w:rPr>
              <w:t>U.S. Investor: 100% (sole shareholder)</w:t>
            </w:r>
          </w:p>
        </w:tc>
      </w:tr>
      <w:tr>
        <w:tc>
          <w:tcPr>
            <w:tcW w:type="dxa" w:w="4986"/>
          </w:tcPr>
          <w:p>
            <w:r>
              <w:rPr>
                <w:sz w:val="18"/>
              </w:rPr>
              <w:t>CEO</w:t>
            </w:r>
          </w:p>
        </w:tc>
        <w:tc>
          <w:tcPr>
            <w:tcW w:type="dxa" w:w="4986"/>
          </w:tcPr>
          <w:p>
            <w:r>
              <w:rPr>
                <w:sz w:val="18"/>
              </w:rPr>
              <w:t>Hee Sung Lee — F-4 Visa, non-shareholder Representative Director (salaried)</w:t>
            </w:r>
          </w:p>
        </w:tc>
      </w:tr>
      <w:tr>
        <w:tc>
          <w:tcPr>
            <w:tcW w:type="dxa" w:w="4986"/>
            <w:shd w:fill="f0f4f8" w:val="clear"/>
          </w:tcPr>
          <w:p>
            <w:r>
              <w:rPr>
                <w:sz w:val="18"/>
              </w:rPr>
              <w:t>Planned Establishment</w:t>
            </w:r>
          </w:p>
        </w:tc>
        <w:tc>
          <w:tcPr>
            <w:tcW w:type="dxa" w:w="4986"/>
            <w:shd w:fill="f0f4f8" w:val="clear"/>
          </w:tcPr>
          <w:p>
            <w:r>
              <w:rPr>
                <w:sz w:val="18"/>
              </w:rPr>
              <w:t>August 2026 — Operations from late September 2026</w:t>
            </w:r>
          </w:p>
        </w:tc>
      </w:tr>
      <w:tr>
        <w:tc>
          <w:tcPr>
            <w:tcW w:type="dxa" w:w="4986"/>
          </w:tcPr>
          <w:p>
            <w:r>
              <w:rPr>
                <w:sz w:val="18"/>
              </w:rPr>
              <w:t>Web</w:t>
            </w:r>
          </w:p>
        </w:tc>
        <w:tc>
          <w:tcPr>
            <w:tcW w:type="dxa" w:w="4986"/>
          </w:tcPr>
          <w:p>
            <w:r>
              <w:rPr>
                <w:sz w:val="18"/>
              </w:rPr>
              <w:t>resonatetour.com / resonateclub.com</w:t>
            </w:r>
          </w:p>
        </w:tc>
      </w:tr>
    </w:tbl>
    <w:p/>
    <w:p>
      <w:pPr>
        <w:pStyle w:val="Heading1"/>
      </w:pPr>
      <w:r>
        <w:rPr>
          <w:color w:val="1A3450"/>
        </w:rPr>
        <w:t>3. Business Model &amp; Services</w:t>
      </w:r>
    </w:p>
    <w:p>
      <w:pPr>
        <w:pStyle w:val="Heading2"/>
      </w:pPr>
      <w:r>
        <w:rPr>
          <w:color w:val="1A3450"/>
        </w:rPr>
        <w:t>3.1 Primary Service: Korea→USA Premium Golf Tours</w:t>
      </w:r>
    </w:p>
    <w:p>
      <w:r>
        <w:t>Target: High-net-worth Korean golfers (annual income KRW 100M+, ages 35–60)</w:t>
        <w:br/>
        <w:t>Operating model: Small private groups (2–8 persons), all-inclusive, fully customized</w:t>
        <w:br/>
        <w:t>Pricing: Cost + 40% transparent markup (cost never disclosed to clients)</w:t>
        <w:br/>
        <w:t>Included: Round-trip flights, 5-star hotels, premium golf courses, private van + driver, Korean-speaking guide, all meals, cinematic trip reel</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1a3450" w:val="clear"/>
          </w:tcPr>
          <w:p>
            <w:pPr>
              <w:jc w:val="center"/>
            </w:pPr>
            <w:r>
              <w:rPr>
                <w:b/>
                <w:color w:val="FFFFFF"/>
                <w:sz w:val="18"/>
              </w:rPr>
              <w:t>Package</w:t>
            </w:r>
          </w:p>
        </w:tc>
        <w:tc>
          <w:tcPr>
            <w:tcW w:type="dxa" w:w="1994"/>
            <w:shd w:fill="1a3450" w:val="clear"/>
          </w:tcPr>
          <w:p>
            <w:pPr>
              <w:jc w:val="center"/>
            </w:pPr>
            <w:r>
              <w:rPr>
                <w:b/>
                <w:color w:val="FFFFFF"/>
                <w:sz w:val="18"/>
              </w:rPr>
              <w:t>Duration</w:t>
            </w:r>
          </w:p>
        </w:tc>
        <w:tc>
          <w:tcPr>
            <w:tcW w:type="dxa" w:w="1994"/>
            <w:shd w:fill="1a3450" w:val="clear"/>
          </w:tcPr>
          <w:p>
            <w:pPr>
              <w:jc w:val="center"/>
            </w:pPr>
            <w:r>
              <w:rPr>
                <w:b/>
                <w:color w:val="FFFFFF"/>
                <w:sz w:val="18"/>
              </w:rPr>
              <w:t>Rounds</w:t>
            </w:r>
          </w:p>
        </w:tc>
        <w:tc>
          <w:tcPr>
            <w:tcW w:type="dxa" w:w="1994"/>
            <w:shd w:fill="1a3450" w:val="clear"/>
          </w:tcPr>
          <w:p>
            <w:pPr>
              <w:jc w:val="center"/>
            </w:pPr>
            <w:r>
              <w:rPr>
                <w:b/>
                <w:color w:val="FFFFFF"/>
                <w:sz w:val="18"/>
              </w:rPr>
              <w:t>Price (USD/person)</w:t>
            </w:r>
          </w:p>
        </w:tc>
        <w:tc>
          <w:tcPr>
            <w:tcW w:type="dxa" w:w="1994"/>
            <w:shd w:fill="1a3450" w:val="clear"/>
          </w:tcPr>
          <w:p>
            <w:pPr>
              <w:jc w:val="center"/>
            </w:pPr>
            <w:r>
              <w:rPr>
                <w:b/>
                <w:color w:val="FFFFFF"/>
                <w:sz w:val="18"/>
              </w:rPr>
              <w:t>Key Courses</w:t>
            </w:r>
          </w:p>
        </w:tc>
      </w:tr>
      <w:tr>
        <w:tc>
          <w:tcPr>
            <w:tcW w:type="dxa" w:w="1994"/>
            <w:shd w:fill="f0f4f8" w:val="clear"/>
          </w:tcPr>
          <w:p>
            <w:r>
              <w:rPr>
                <w:sz w:val="18"/>
              </w:rPr>
              <w:t>Trump Premier</w:t>
            </w:r>
          </w:p>
        </w:tc>
        <w:tc>
          <w:tcPr>
            <w:tcW w:type="dxa" w:w="1994"/>
            <w:shd w:fill="f0f4f8" w:val="clear"/>
          </w:tcPr>
          <w:p>
            <w:r>
              <w:rPr>
                <w:sz w:val="18"/>
              </w:rPr>
              <w:t>6N/7D</w:t>
            </w:r>
          </w:p>
        </w:tc>
        <w:tc>
          <w:tcPr>
            <w:tcW w:type="dxa" w:w="1994"/>
            <w:shd w:fill="f0f4f8" w:val="clear"/>
          </w:tcPr>
          <w:p>
            <w:r>
              <w:rPr>
                <w:sz w:val="18"/>
              </w:rPr>
              <w:t>4 rounds</w:t>
            </w:r>
          </w:p>
        </w:tc>
        <w:tc>
          <w:tcPr>
            <w:tcW w:type="dxa" w:w="1994"/>
            <w:shd w:fill="f0f4f8" w:val="clear"/>
          </w:tcPr>
          <w:p>
            <w:r>
              <w:rPr>
                <w:sz w:val="18"/>
              </w:rPr>
              <w:t>$9,752</w:t>
            </w:r>
          </w:p>
        </w:tc>
        <w:tc>
          <w:tcPr>
            <w:tcW w:type="dxa" w:w="1994"/>
            <w:shd w:fill="f0f4f8" w:val="clear"/>
          </w:tcPr>
          <w:p>
            <w:r>
              <w:rPr>
                <w:sz w:val="18"/>
              </w:rPr>
              <w:t>Trump National LA, Sandpiper GC, Hidden Valley GC, The Crossings</w:t>
            </w:r>
          </w:p>
        </w:tc>
      </w:tr>
      <w:tr>
        <w:tc>
          <w:tcPr>
            <w:tcW w:type="dxa" w:w="1994"/>
          </w:tcPr>
          <w:p>
            <w:r>
              <w:rPr>
                <w:sz w:val="18"/>
              </w:rPr>
              <w:t>Trump Elite</w:t>
            </w:r>
          </w:p>
        </w:tc>
        <w:tc>
          <w:tcPr>
            <w:tcW w:type="dxa" w:w="1994"/>
          </w:tcPr>
          <w:p>
            <w:r>
              <w:rPr>
                <w:sz w:val="18"/>
              </w:rPr>
              <w:t>5N/6D</w:t>
            </w:r>
          </w:p>
        </w:tc>
        <w:tc>
          <w:tcPr>
            <w:tcW w:type="dxa" w:w="1994"/>
          </w:tcPr>
          <w:p>
            <w:r>
              <w:rPr>
                <w:sz w:val="18"/>
              </w:rPr>
              <w:t>3 rounds</w:t>
            </w:r>
          </w:p>
        </w:tc>
        <w:tc>
          <w:tcPr>
            <w:tcW w:type="dxa" w:w="1994"/>
          </w:tcPr>
          <w:p>
            <w:r>
              <w:rPr>
                <w:sz w:val="18"/>
              </w:rPr>
              <w:t>$7,741</w:t>
            </w:r>
          </w:p>
        </w:tc>
        <w:tc>
          <w:tcPr>
            <w:tcW w:type="dxa" w:w="1994"/>
          </w:tcPr>
          <w:p>
            <w:r>
              <w:rPr>
                <w:sz w:val="18"/>
              </w:rPr>
              <w:t>Trump National LA, Sandpiper GC, Hidden Valley GC</w:t>
            </w:r>
          </w:p>
        </w:tc>
      </w:tr>
    </w:tbl>
    <w:p/>
    <w:p>
      <w:pPr>
        <w:pStyle w:val="Heading2"/>
      </w:pPr>
      <w:r>
        <w:rPr>
          <w:color w:val="1A3450"/>
        </w:rPr>
        <w:t>3.2 Future Expansion: USA→Korea Inbound Luxury Tours</w:t>
      </w:r>
    </w:p>
    <w:p>
      <w:r>
        <w:t>After upgrading to a Comprehensive Travel Agency (종합여행업) license, the company will expand to serve American luxury travelers visiting Korea for K-culture, premium golf, and Michelin dining experiences.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a3450" w:val="clear"/>
          </w:tcPr>
          <w:p>
            <w:pPr>
              <w:jc w:val="center"/>
            </w:pPr>
            <w:r>
              <w:rPr>
                <w:b/>
                <w:color w:val="FFFFFF"/>
                <w:sz w:val="18"/>
              </w:rPr>
              <w:t>Package</w:t>
            </w:r>
          </w:p>
        </w:tc>
        <w:tc>
          <w:tcPr>
            <w:tcW w:type="dxa" w:w="2493"/>
            <w:shd w:fill="1a3450" w:val="clear"/>
          </w:tcPr>
          <w:p>
            <w:pPr>
              <w:jc w:val="center"/>
            </w:pPr>
            <w:r>
              <w:rPr>
                <w:b/>
                <w:color w:val="FFFFFF"/>
                <w:sz w:val="18"/>
              </w:rPr>
              <w:t>Duration</w:t>
            </w:r>
          </w:p>
        </w:tc>
        <w:tc>
          <w:tcPr>
            <w:tcW w:type="dxa" w:w="2493"/>
            <w:shd w:fill="1a3450" w:val="clear"/>
          </w:tcPr>
          <w:p>
            <w:pPr>
              <w:jc w:val="center"/>
            </w:pPr>
            <w:r>
              <w:rPr>
                <w:b/>
                <w:color w:val="FFFFFF"/>
                <w:sz w:val="18"/>
              </w:rPr>
              <w:t>Price (USD/person)</w:t>
            </w:r>
          </w:p>
        </w:tc>
        <w:tc>
          <w:tcPr>
            <w:tcW w:type="dxa" w:w="2493"/>
            <w:shd w:fill="1a3450" w:val="clear"/>
          </w:tcPr>
          <w:p>
            <w:pPr>
              <w:jc w:val="center"/>
            </w:pPr>
            <w:r>
              <w:rPr>
                <w:b/>
                <w:color w:val="FFFFFF"/>
                <w:sz w:val="18"/>
              </w:rPr>
              <w:t>Highlights</w:t>
            </w:r>
          </w:p>
        </w:tc>
      </w:tr>
      <w:tr>
        <w:tc>
          <w:tcPr>
            <w:tcW w:type="dxa" w:w="2493"/>
            <w:shd w:fill="f0f4f8" w:val="clear"/>
          </w:tcPr>
          <w:p>
            <w:r>
              <w:rPr>
                <w:sz w:val="18"/>
              </w:rPr>
              <w:t>Korea Golf Premier</w:t>
            </w:r>
          </w:p>
        </w:tc>
        <w:tc>
          <w:tcPr>
            <w:tcW w:type="dxa" w:w="2493"/>
            <w:shd w:fill="f0f4f8" w:val="clear"/>
          </w:tcPr>
          <w:p>
            <w:r>
              <w:rPr>
                <w:sz w:val="18"/>
              </w:rPr>
              <w:t>11N/12D</w:t>
            </w:r>
          </w:p>
        </w:tc>
        <w:tc>
          <w:tcPr>
            <w:tcW w:type="dxa" w:w="2493"/>
            <w:shd w:fill="f0f4f8" w:val="clear"/>
          </w:tcPr>
          <w:p>
            <w:r>
              <w:rPr>
                <w:sz w:val="18"/>
              </w:rPr>
              <w:t>$27,300</w:t>
            </w:r>
          </w:p>
        </w:tc>
        <w:tc>
          <w:tcPr>
            <w:tcW w:type="dxa" w:w="2493"/>
            <w:shd w:fill="f0f4f8" w:val="clear"/>
          </w:tcPr>
          <w:p>
            <w:r>
              <w:rPr>
                <w:sz w:val="18"/>
              </w:rPr>
              <w:t>Nine Bridges, South Cape, Jack Nicklaus GC</w:t>
            </w:r>
          </w:p>
        </w:tc>
      </w:tr>
      <w:tr>
        <w:tc>
          <w:tcPr>
            <w:tcW w:type="dxa" w:w="2493"/>
          </w:tcPr>
          <w:p>
            <w:r>
              <w:rPr>
                <w:sz w:val="18"/>
              </w:rPr>
              <w:t>Korea Discovery</w:t>
            </w:r>
          </w:p>
        </w:tc>
        <w:tc>
          <w:tcPr>
            <w:tcW w:type="dxa" w:w="2493"/>
          </w:tcPr>
          <w:p>
            <w:r>
              <w:rPr>
                <w:sz w:val="18"/>
              </w:rPr>
              <w:t>12N/13D</w:t>
            </w:r>
          </w:p>
        </w:tc>
        <w:tc>
          <w:tcPr>
            <w:tcW w:type="dxa" w:w="2493"/>
          </w:tcPr>
          <w:p>
            <w:r>
              <w:rPr>
                <w:sz w:val="18"/>
              </w:rPr>
              <w:t>$27,580</w:t>
            </w:r>
          </w:p>
        </w:tc>
        <w:tc>
          <w:tcPr>
            <w:tcW w:type="dxa" w:w="2493"/>
          </w:tcPr>
          <w:p>
            <w:r>
              <w:rPr>
                <w:sz w:val="18"/>
              </w:rPr>
              <w:t>K-Culture + Golf + Michelin Dining</w:t>
            </w:r>
          </w:p>
        </w:tc>
      </w:tr>
    </w:tbl>
    <w:p/>
    <w:p>
      <w:pPr>
        <w:pStyle w:val="Heading2"/>
      </w:pPr>
      <w:r>
        <w:rPr>
          <w:color w:val="1A3450"/>
        </w:rPr>
        <w:t>3.3 VIP Events</w:t>
      </w:r>
    </w:p>
    <w:p>
      <w:r>
        <w:t>Curated, ultra-exclusive events such as the Moving Day VVIP Invitational (8 guests only, $14,400/person) hosted by Aimee Cho, offering access and experiences unavailable through mass-market channels.</w:t>
      </w:r>
    </w:p>
    <w:p>
      <w:pPr>
        <w:pStyle w:val="Heading1"/>
      </w:pPr>
      <w:r>
        <w:rPr>
          <w:color w:val="1A3450"/>
        </w:rPr>
        <w:t>4. Corporate Structure &amp; Governance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a3450" w:val="clear"/>
          </w:tcPr>
          <w:p>
            <w:pPr>
              <w:jc w:val="center"/>
            </w:pPr>
            <w:r>
              <w:rPr>
                <w:b/>
                <w:color w:val="FFFFFF"/>
                <w:sz w:val="18"/>
              </w:rPr>
              <w:t>Role</w:t>
            </w:r>
          </w:p>
        </w:tc>
        <w:tc>
          <w:tcPr>
            <w:tcW w:type="dxa" w:w="2493"/>
            <w:shd w:fill="1a3450" w:val="clear"/>
          </w:tcPr>
          <w:p>
            <w:pPr>
              <w:jc w:val="center"/>
            </w:pPr>
            <w:r>
              <w:rPr>
                <w:b/>
                <w:color w:val="FFFFFF"/>
                <w:sz w:val="18"/>
              </w:rPr>
              <w:t>Person</w:t>
            </w:r>
          </w:p>
        </w:tc>
        <w:tc>
          <w:tcPr>
            <w:tcW w:type="dxa" w:w="2493"/>
            <w:shd w:fill="1a3450" w:val="clear"/>
          </w:tcPr>
          <w:p>
            <w:pPr>
              <w:jc w:val="center"/>
            </w:pPr>
            <w:r>
              <w:rPr>
                <w:b/>
                <w:color w:val="FFFFFF"/>
                <w:sz w:val="18"/>
              </w:rPr>
              <w:t>Status</w:t>
            </w:r>
          </w:p>
        </w:tc>
        <w:tc>
          <w:tcPr>
            <w:tcW w:type="dxa" w:w="2493"/>
            <w:shd w:fill="1a3450" w:val="clear"/>
          </w:tcPr>
          <w:p>
            <w:pPr>
              <w:jc w:val="center"/>
            </w:pPr>
            <w:r>
              <w:rPr>
                <w:b/>
                <w:color w:val="FFFFFF"/>
                <w:sz w:val="18"/>
              </w:rPr>
              <w:t>Key Responsibilities</w:t>
            </w:r>
          </w:p>
        </w:tc>
      </w:tr>
      <w:tr>
        <w:tc>
          <w:tcPr>
            <w:tcW w:type="dxa" w:w="2493"/>
            <w:shd w:fill="f0f4f8" w:val="clear"/>
          </w:tcPr>
          <w:p>
            <w:r>
              <w:rPr>
                <w:sz w:val="18"/>
              </w:rPr>
              <w:t>Sole Shareholder (100%)</w:t>
            </w:r>
          </w:p>
        </w:tc>
        <w:tc>
          <w:tcPr>
            <w:tcW w:type="dxa" w:w="2493"/>
            <w:shd w:fill="f0f4f8" w:val="clear"/>
          </w:tcPr>
          <w:p>
            <w:r>
              <w:rPr>
                <w:sz w:val="18"/>
              </w:rPr>
              <w:t>U.S. Investor</w:t>
            </w:r>
          </w:p>
        </w:tc>
        <w:tc>
          <w:tcPr>
            <w:tcW w:type="dxa" w:w="2493"/>
            <w:shd w:fill="f0f4f8" w:val="clear"/>
          </w:tcPr>
          <w:p>
            <w:r>
              <w:rPr>
                <w:sz w:val="18"/>
              </w:rPr>
              <w:t>D-8-1 Corporate Investment Visa</w:t>
            </w:r>
          </w:p>
        </w:tc>
        <w:tc>
          <w:tcPr>
            <w:tcW w:type="dxa" w:w="2493"/>
            <w:shd w:fill="f0f4f8" w:val="clear"/>
          </w:tcPr>
          <w:p>
            <w:r>
              <w:rPr>
                <w:sz w:val="18"/>
              </w:rPr>
              <w:t>Capital provision, strategic oversight, board-level decisions</w:t>
            </w:r>
          </w:p>
        </w:tc>
      </w:tr>
      <w:tr>
        <w:tc>
          <w:tcPr>
            <w:tcW w:type="dxa" w:w="2493"/>
          </w:tcPr>
          <w:p>
            <w:r>
              <w:rPr>
                <w:sz w:val="18"/>
              </w:rPr>
              <w:t>Representative Director (CEO)</w:t>
            </w:r>
          </w:p>
        </w:tc>
        <w:tc>
          <w:tcPr>
            <w:tcW w:type="dxa" w:w="2493"/>
          </w:tcPr>
          <w:p>
            <w:r>
              <w:rPr>
                <w:sz w:val="18"/>
              </w:rPr>
              <w:t>Hee Sung Lee</w:t>
            </w:r>
          </w:p>
        </w:tc>
        <w:tc>
          <w:tcPr>
            <w:tcW w:type="dxa" w:w="2493"/>
          </w:tcPr>
          <w:p>
            <w:r>
              <w:rPr>
                <w:sz w:val="18"/>
              </w:rPr>
              <w:t>F-4 Overseas Korean Visa</w:t>
              <w:br/>
              <w:t>Non-shareholder, salaried</w:t>
            </w:r>
          </w:p>
        </w:tc>
        <w:tc>
          <w:tcPr>
            <w:tcW w:type="dxa" w:w="2493"/>
          </w:tcPr>
          <w:p>
            <w:r>
              <w:rPr>
                <w:sz w:val="18"/>
              </w:rPr>
              <w:t>Day-to-day operations, licensing, banking, contracts, tax filings, government relations</w:t>
            </w:r>
          </w:p>
        </w:tc>
      </w:tr>
      <w:tr>
        <w:tc>
          <w:tcPr>
            <w:tcW w:type="dxa" w:w="2493"/>
            <w:shd w:fill="f0f4f8" w:val="clear"/>
          </w:tcPr>
          <w:p>
            <w:r>
              <w:rPr>
                <w:sz w:val="18"/>
              </w:rPr>
              <w:t>Director / Auditor</w:t>
            </w:r>
          </w:p>
        </w:tc>
        <w:tc>
          <w:tcPr>
            <w:tcW w:type="dxa" w:w="2493"/>
            <w:shd w:fill="f0f4f8" w:val="clear"/>
          </w:tcPr>
          <w:p>
            <w:r>
              <w:rPr>
                <w:sz w:val="18"/>
              </w:rPr>
              <w:t>U.S. Investor</w:t>
            </w:r>
          </w:p>
        </w:tc>
        <w:tc>
          <w:tcPr>
            <w:tcW w:type="dxa" w:w="2493"/>
            <w:shd w:fill="f0f4f8" w:val="clear"/>
          </w:tcPr>
          <w:p>
            <w:r>
              <w:rPr>
                <w:sz w:val="18"/>
              </w:rPr>
              <w:t>Registered on corporate registry</w:t>
            </w:r>
          </w:p>
        </w:tc>
        <w:tc>
          <w:tcPr>
            <w:tcW w:type="dxa" w:w="2493"/>
            <w:shd w:fill="f0f4f8" w:val="clear"/>
          </w:tcPr>
          <w:p>
            <w:r>
              <w:rPr>
                <w:sz w:val="18"/>
              </w:rPr>
              <w:t>Legal compliance, major transaction approval</w:t>
            </w:r>
          </w:p>
        </w:tc>
      </w:tr>
      <w:tr>
        <w:tc>
          <w:tcPr>
            <w:tcW w:type="dxa" w:w="2493"/>
          </w:tcPr>
          <w:p>
            <w:r>
              <w:rPr>
                <w:sz w:val="18"/>
              </w:rPr>
              <w:t>U.S. Partner</w:t>
              <w:br/>
              <w:t>(Vendor Manager)</w:t>
            </w:r>
          </w:p>
        </w:tc>
        <w:tc>
          <w:tcPr>
            <w:tcW w:type="dxa" w:w="2493"/>
          </w:tcPr>
          <w:p>
            <w:r>
              <w:rPr>
                <w:sz w:val="18"/>
              </w:rPr>
              <w:t>TBD</w:t>
            </w:r>
          </w:p>
        </w:tc>
        <w:tc>
          <w:tcPr>
            <w:tcW w:type="dxa" w:w="2493"/>
          </w:tcPr>
          <w:p>
            <w:r>
              <w:rPr>
                <w:sz w:val="18"/>
              </w:rPr>
              <w:t>Based in California</w:t>
            </w:r>
          </w:p>
        </w:tc>
        <w:tc>
          <w:tcPr>
            <w:tcW w:type="dxa" w:w="2493"/>
          </w:tcPr>
          <w:p>
            <w:r>
              <w:rPr>
                <w:sz w:val="18"/>
              </w:rPr>
              <w:t>Local vendor management, course scouting, on-site tour operations, content creation</w:t>
            </w:r>
          </w:p>
        </w:tc>
      </w:tr>
    </w:tbl>
    <w:p/>
    <w:p>
      <w:r>
        <w:t>The CEO operates under a comprehensive Power of Attorney from the investor, enabling full autonomy for daily operations. Major decisions (capital changes, M&amp;A, dividend declarations) require board resolution with investor approval.</w:t>
      </w:r>
    </w:p>
    <w:p>
      <w:pPr>
        <w:pStyle w:val="Heading1"/>
      </w:pPr>
      <w:r>
        <w:rPr>
          <w:color w:val="1A3450"/>
        </w:rPr>
        <w:t>5. Establishment Timeline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a3450" w:val="clear"/>
          </w:tcPr>
          <w:p>
            <w:pPr>
              <w:jc w:val="center"/>
            </w:pPr>
            <w:r>
              <w:rPr>
                <w:b/>
                <w:color w:val="FFFFFF"/>
                <w:sz w:val="18"/>
              </w:rPr>
              <w:t>Phase</w:t>
            </w:r>
          </w:p>
        </w:tc>
        <w:tc>
          <w:tcPr>
            <w:tcW w:type="dxa" w:w="2493"/>
            <w:shd w:fill="1a3450" w:val="clear"/>
          </w:tcPr>
          <w:p>
            <w:pPr>
              <w:jc w:val="center"/>
            </w:pPr>
            <w:r>
              <w:rPr>
                <w:b/>
                <w:color w:val="FFFFFF"/>
                <w:sz w:val="18"/>
              </w:rPr>
              <w:t>Dates</w:t>
            </w:r>
          </w:p>
        </w:tc>
        <w:tc>
          <w:tcPr>
            <w:tcW w:type="dxa" w:w="2493"/>
            <w:shd w:fill="1a3450" w:val="clear"/>
          </w:tcPr>
          <w:p>
            <w:pPr>
              <w:jc w:val="center"/>
            </w:pPr>
            <w:r>
              <w:rPr>
                <w:b/>
                <w:color w:val="FFFFFF"/>
                <w:sz w:val="18"/>
              </w:rPr>
              <w:t>Key Actions</w:t>
            </w:r>
          </w:p>
        </w:tc>
        <w:tc>
          <w:tcPr>
            <w:tcW w:type="dxa" w:w="2493"/>
            <w:shd w:fill="1a3450" w:val="clear"/>
          </w:tcPr>
          <w:p>
            <w:pPr>
              <w:jc w:val="center"/>
            </w:pPr>
            <w:r>
              <w:rPr>
                <w:b/>
                <w:color w:val="FFFFFF"/>
                <w:sz w:val="18"/>
              </w:rPr>
              <w:t>Outcome</w:t>
            </w:r>
          </w:p>
        </w:tc>
      </w:tr>
      <w:tr>
        <w:tc>
          <w:tcPr>
            <w:tcW w:type="dxa" w:w="2493"/>
            <w:shd w:fill="f0f4f8" w:val="clear"/>
          </w:tcPr>
          <w:p>
            <w:r>
              <w:rPr>
                <w:sz w:val="18"/>
              </w:rPr>
              <w:t>Pre-Setup</w:t>
            </w:r>
          </w:p>
        </w:tc>
        <w:tc>
          <w:tcPr>
            <w:tcW w:type="dxa" w:w="2493"/>
            <w:shd w:fill="f0f4f8" w:val="clear"/>
          </w:tcPr>
          <w:p>
            <w:r>
              <w:rPr>
                <w:sz w:val="18"/>
              </w:rPr>
              <w:t>Now – Jul 16</w:t>
            </w:r>
          </w:p>
        </w:tc>
        <w:tc>
          <w:tcPr>
            <w:tcW w:type="dxa" w:w="2493"/>
            <w:shd w:fill="f0f4f8" w:val="clear"/>
          </w:tcPr>
          <w:p>
            <w:r>
              <w:rPr>
                <w:sz w:val="18"/>
              </w:rPr>
              <w:t>Shareholder agreement, investor docs, engage Korean professionals</w:t>
            </w:r>
          </w:p>
        </w:tc>
        <w:tc>
          <w:tcPr>
            <w:tcW w:type="dxa" w:w="2493"/>
            <w:shd w:fill="f0f4f8" w:val="clear"/>
          </w:tcPr>
          <w:p>
            <w:r>
              <w:rPr>
                <w:sz w:val="18"/>
              </w:rPr>
              <w:t>Ready for CEO arrival</w:t>
            </w:r>
          </w:p>
        </w:tc>
      </w:tr>
      <w:tr>
        <w:tc>
          <w:tcPr>
            <w:tcW w:type="dxa" w:w="2493"/>
          </w:tcPr>
          <w:p>
            <w:r>
              <w:rPr>
                <w:sz w:val="18"/>
              </w:rPr>
              <w:t>STEP 1</w:t>
            </w:r>
          </w:p>
        </w:tc>
        <w:tc>
          <w:tcPr>
            <w:tcW w:type="dxa" w:w="2493"/>
          </w:tcPr>
          <w:p>
            <w:r>
              <w:rPr>
                <w:sz w:val="18"/>
              </w:rPr>
              <w:t>Jul 17–20</w:t>
            </w:r>
          </w:p>
        </w:tc>
        <w:tc>
          <w:tcPr>
            <w:tcW w:type="dxa" w:w="2493"/>
          </w:tcPr>
          <w:p>
            <w:r>
              <w:rPr>
                <w:sz w:val="18"/>
              </w:rPr>
              <w:t>CEO arrival Korea (F-4), Haeundae-gu office lease</w:t>
            </w:r>
          </w:p>
        </w:tc>
        <w:tc>
          <w:tcPr>
            <w:tcW w:type="dxa" w:w="2493"/>
          </w:tcPr>
          <w:p>
            <w:r>
              <w:rPr>
                <w:sz w:val="18"/>
              </w:rPr>
              <w:t>Office secured</w:t>
            </w:r>
          </w:p>
        </w:tc>
      </w:tr>
      <w:tr>
        <w:tc>
          <w:tcPr>
            <w:tcW w:type="dxa" w:w="2493"/>
            <w:shd w:fill="f0f4f8" w:val="clear"/>
          </w:tcPr>
          <w:p>
            <w:r>
              <w:rPr>
                <w:sz w:val="18"/>
              </w:rPr>
              <w:t>STEP 2</w:t>
            </w:r>
          </w:p>
        </w:tc>
        <w:tc>
          <w:tcPr>
            <w:tcW w:type="dxa" w:w="2493"/>
            <w:shd w:fill="f0f4f8" w:val="clear"/>
          </w:tcPr>
          <w:p>
            <w:r>
              <w:rPr>
                <w:sz w:val="18"/>
              </w:rPr>
              <w:t>Jul 21–23</w:t>
            </w:r>
          </w:p>
        </w:tc>
        <w:tc>
          <w:tcPr>
            <w:tcW w:type="dxa" w:w="2493"/>
            <w:shd w:fill="f0f4f8" w:val="clear"/>
          </w:tcPr>
          <w:p>
            <w:r>
              <w:rPr>
                <w:sz w:val="18"/>
              </w:rPr>
              <w:t>Articles of Incorporation + notarization</w:t>
            </w:r>
          </w:p>
        </w:tc>
        <w:tc>
          <w:tcPr>
            <w:tcW w:type="dxa" w:w="2493"/>
            <w:shd w:fill="f0f4f8" w:val="clear"/>
          </w:tcPr>
          <w:p>
            <w:r>
              <w:rPr>
                <w:sz w:val="18"/>
              </w:rPr>
              <w:t>Notarized Articles</w:t>
            </w:r>
          </w:p>
        </w:tc>
      </w:tr>
      <w:tr>
        <w:tc>
          <w:tcPr>
            <w:tcW w:type="dxa" w:w="2493"/>
          </w:tcPr>
          <w:p>
            <w:r>
              <w:rPr>
                <w:sz w:val="18"/>
              </w:rPr>
              <w:t>STEP 3</w:t>
            </w:r>
          </w:p>
        </w:tc>
        <w:tc>
          <w:tcPr>
            <w:tcW w:type="dxa" w:w="2493"/>
          </w:tcPr>
          <w:p>
            <w:r>
              <w:rPr>
                <w:sz w:val="18"/>
              </w:rPr>
              <w:t>Jul 24–30</w:t>
            </w:r>
          </w:p>
        </w:tc>
        <w:tc>
          <w:tcPr>
            <w:tcW w:type="dxa" w:w="2493"/>
          </w:tcPr>
          <w:p>
            <w:r>
              <w:rPr>
                <w:sz w:val="18"/>
              </w:rPr>
              <w:t>FDI notification → Capital deposit (KRW 100M)</w:t>
            </w:r>
          </w:p>
        </w:tc>
        <w:tc>
          <w:tcPr>
            <w:tcW w:type="dxa" w:w="2493"/>
          </w:tcPr>
          <w:p>
            <w:r>
              <w:rPr>
                <w:sz w:val="18"/>
              </w:rPr>
              <w:t>FDI registration + bank certificate</w:t>
            </w:r>
          </w:p>
        </w:tc>
      </w:tr>
      <w:tr>
        <w:tc>
          <w:tcPr>
            <w:tcW w:type="dxa" w:w="2493"/>
            <w:shd w:fill="f0f4f8" w:val="clear"/>
          </w:tcPr>
          <w:p>
            <w:r>
              <w:rPr>
                <w:sz w:val="18"/>
              </w:rPr>
              <w:t>STEP 4</w:t>
            </w:r>
          </w:p>
        </w:tc>
        <w:tc>
          <w:tcPr>
            <w:tcW w:type="dxa" w:w="2493"/>
            <w:shd w:fill="f0f4f8" w:val="clear"/>
          </w:tcPr>
          <w:p>
            <w:r>
              <w:rPr>
                <w:sz w:val="18"/>
              </w:rPr>
              <w:t>Jul 31 – Aug 6</w:t>
            </w:r>
          </w:p>
        </w:tc>
        <w:tc>
          <w:tcPr>
            <w:tcW w:type="dxa" w:w="2493"/>
            <w:shd w:fill="f0f4f8" w:val="clear"/>
          </w:tcPr>
          <w:p>
            <w:r>
              <w:rPr>
                <w:sz w:val="18"/>
              </w:rPr>
              <w:t>Corporation registration at Busan District Court</w:t>
            </w:r>
          </w:p>
        </w:tc>
        <w:tc>
          <w:tcPr>
            <w:tcW w:type="dxa" w:w="2493"/>
            <w:shd w:fill="f0f4f8" w:val="clear"/>
          </w:tcPr>
          <w:p>
            <w:r>
              <w:rPr>
                <w:sz w:val="18"/>
              </w:rPr>
              <w:t>Legal entity established</w:t>
            </w:r>
          </w:p>
        </w:tc>
      </w:tr>
      <w:tr>
        <w:tc>
          <w:tcPr>
            <w:tcW w:type="dxa" w:w="2493"/>
          </w:tcPr>
          <w:p>
            <w:r>
              <w:rPr>
                <w:sz w:val="18"/>
              </w:rPr>
              <w:t>STEP 5</w:t>
            </w:r>
          </w:p>
        </w:tc>
        <w:tc>
          <w:tcPr>
            <w:tcW w:type="dxa" w:w="2493"/>
          </w:tcPr>
          <w:p>
            <w:r>
              <w:rPr>
                <w:sz w:val="18"/>
              </w:rPr>
              <w:t>Aug 7–11</w:t>
            </w:r>
          </w:p>
        </w:tc>
        <w:tc>
          <w:tcPr>
            <w:tcW w:type="dxa" w:w="2493"/>
          </w:tcPr>
          <w:p>
            <w:r>
              <w:rPr>
                <w:sz w:val="18"/>
              </w:rPr>
              <w:t>Business registration at Haeundae Tax Office</w:t>
            </w:r>
          </w:p>
        </w:tc>
        <w:tc>
          <w:tcPr>
            <w:tcW w:type="dxa" w:w="2493"/>
          </w:tcPr>
          <w:p>
            <w:r>
              <w:rPr>
                <w:sz w:val="18"/>
              </w:rPr>
              <w:t>Tax ID + business certificate</w:t>
            </w:r>
          </w:p>
        </w:tc>
      </w:tr>
      <w:tr>
        <w:tc>
          <w:tcPr>
            <w:tcW w:type="dxa" w:w="2493"/>
            <w:shd w:fill="f0f4f8" w:val="clear"/>
          </w:tcPr>
          <w:p>
            <w:r>
              <w:rPr>
                <w:sz w:val="18"/>
              </w:rPr>
              <w:t>STEP 6</w:t>
            </w:r>
          </w:p>
        </w:tc>
        <w:tc>
          <w:tcPr>
            <w:tcW w:type="dxa" w:w="2493"/>
            <w:shd w:fill="f0f4f8" w:val="clear"/>
          </w:tcPr>
          <w:p>
            <w:r>
              <w:rPr>
                <w:sz w:val="18"/>
              </w:rPr>
              <w:t>Aug 12 – Sep 10</w:t>
            </w:r>
          </w:p>
        </w:tc>
        <w:tc>
          <w:tcPr>
            <w:tcW w:type="dxa" w:w="2493"/>
            <w:shd w:fill="f0f4f8" w:val="clear"/>
          </w:tcPr>
          <w:p>
            <w:r>
              <w:rPr>
                <w:sz w:val="18"/>
              </w:rPr>
              <w:t>Travel Agency License application (Haeundae-gu Office)</w:t>
            </w:r>
          </w:p>
        </w:tc>
        <w:tc>
          <w:tcPr>
            <w:tcW w:type="dxa" w:w="2493"/>
            <w:shd w:fill="f0f4f8" w:val="clear"/>
          </w:tcPr>
          <w:p>
            <w:r>
              <w:rPr>
                <w:sz w:val="18"/>
              </w:rPr>
              <w:t>Domestic &amp; Int'l Travel Agency License</w:t>
            </w:r>
          </w:p>
        </w:tc>
      </w:tr>
      <w:tr>
        <w:tc>
          <w:tcPr>
            <w:tcW w:type="dxa" w:w="2493"/>
          </w:tcPr>
          <w:p>
            <w:r>
              <w:rPr>
                <w:sz w:val="18"/>
              </w:rPr>
              <w:t>STEP 7</w:t>
            </w:r>
          </w:p>
        </w:tc>
        <w:tc>
          <w:tcPr>
            <w:tcW w:type="dxa" w:w="2493"/>
          </w:tcPr>
          <w:p>
            <w:r>
              <w:rPr>
                <w:sz w:val="18"/>
              </w:rPr>
              <w:t>Aug 12 – Sep 17</w:t>
            </w:r>
          </w:p>
        </w:tc>
        <w:tc>
          <w:tcPr>
            <w:tcW w:type="dxa" w:w="2493"/>
          </w:tcPr>
          <w:p>
            <w:r>
              <w:rPr>
                <w:sz w:val="18"/>
              </w:rPr>
              <w:t>Guarantee Insurance (SGI) — KRW 230,000,000 + Liability Insurance</w:t>
            </w:r>
          </w:p>
        </w:tc>
        <w:tc>
          <w:tcPr>
            <w:tcW w:type="dxa" w:w="2493"/>
          </w:tcPr>
          <w:p>
            <w:r>
              <w:rPr>
                <w:sz w:val="18"/>
              </w:rPr>
              <w:t>Full insurance compliance</w:t>
            </w:r>
          </w:p>
        </w:tc>
      </w:tr>
      <w:tr>
        <w:tc>
          <w:tcPr>
            <w:tcW w:type="dxa" w:w="2493"/>
            <w:shd w:fill="f0f4f8" w:val="clear"/>
          </w:tcPr>
          <w:p>
            <w:r>
              <w:rPr>
                <w:sz w:val="18"/>
              </w:rPr>
              <w:t>STEP 8</w:t>
            </w:r>
          </w:p>
        </w:tc>
        <w:tc>
          <w:tcPr>
            <w:tcW w:type="dxa" w:w="2493"/>
            <w:shd w:fill="f0f4f8" w:val="clear"/>
          </w:tcPr>
          <w:p>
            <w:r>
              <w:rPr>
                <w:sz w:val="18"/>
              </w:rPr>
              <w:t>Sep 15 onward</w:t>
            </w:r>
          </w:p>
        </w:tc>
        <w:tc>
          <w:tcPr>
            <w:tcW w:type="dxa" w:w="2493"/>
            <w:shd w:fill="f0f4f8" w:val="clear"/>
          </w:tcPr>
          <w:p>
            <w:r>
              <w:rPr>
                <w:sz w:val="18"/>
              </w:rPr>
              <w:t>Investor D-8 visa application (US Embassy)</w:t>
            </w:r>
          </w:p>
        </w:tc>
        <w:tc>
          <w:tcPr>
            <w:tcW w:type="dxa" w:w="2493"/>
            <w:shd w:fill="f0f4f8" w:val="clear"/>
          </w:tcPr>
          <w:p>
            <w:r>
              <w:rPr>
                <w:sz w:val="18"/>
              </w:rPr>
              <w:t>Investor residency secured</w:t>
            </w:r>
          </w:p>
        </w:tc>
      </w:tr>
      <w:tr>
        <w:tc>
          <w:tcPr>
            <w:tcW w:type="dxa" w:w="2493"/>
          </w:tcPr>
          <w:p>
            <w:r>
              <w:rPr>
                <w:sz w:val="18"/>
              </w:rPr>
              <w:t>Operations</w:t>
            </w:r>
          </w:p>
        </w:tc>
        <w:tc>
          <w:tcPr>
            <w:tcW w:type="dxa" w:w="2493"/>
          </w:tcPr>
          <w:p>
            <w:r>
              <w:rPr>
                <w:sz w:val="18"/>
              </w:rPr>
              <w:t>Late Sep 2026</w:t>
            </w:r>
          </w:p>
        </w:tc>
        <w:tc>
          <w:tcPr>
            <w:tcW w:type="dxa" w:w="2493"/>
          </w:tcPr>
          <w:p>
            <w:r>
              <w:rPr>
                <w:sz w:val="18"/>
              </w:rPr>
              <w:t>First tour group departure</w:t>
            </w:r>
          </w:p>
        </w:tc>
        <w:tc>
          <w:tcPr>
            <w:tcW w:type="dxa" w:w="2493"/>
          </w:tcPr>
          <w:p>
            <w:r>
              <w:rPr>
                <w:sz w:val="18"/>
              </w:rPr>
              <w:t>Revenue generation begins</w:t>
            </w:r>
          </w:p>
        </w:tc>
      </w:tr>
    </w:tbl>
    <w:p/>
    <w:p>
      <w:pPr>
        <w:pStyle w:val="Heading1"/>
      </w:pPr>
      <w:r>
        <w:rPr>
          <w:color w:val="1A3450"/>
        </w:rPr>
        <w:t>6. Financial Plan</w:t>
      </w:r>
    </w:p>
    <w:p>
      <w:pPr>
        <w:pStyle w:val="Heading2"/>
      </w:pPr>
      <w:r>
        <w:rPr>
          <w:color w:val="1A3450"/>
        </w:rPr>
        <w:t>6.1 Capital &amp; Initial Costs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a3450" w:val="clear"/>
          </w:tcPr>
          <w:p>
            <w:pPr>
              <w:jc w:val="center"/>
            </w:pPr>
            <w:r>
              <w:rPr>
                <w:b/>
                <w:color w:val="FFFFFF"/>
                <w:sz w:val="18"/>
              </w:rPr>
              <w:t>Category</w:t>
            </w:r>
          </w:p>
        </w:tc>
        <w:tc>
          <w:tcPr>
            <w:tcW w:type="dxa" w:w="2493"/>
            <w:shd w:fill="1a3450" w:val="clear"/>
          </w:tcPr>
          <w:p>
            <w:pPr>
              <w:jc w:val="center"/>
            </w:pPr>
            <w:r>
              <w:rPr>
                <w:b/>
                <w:color w:val="FFFFFF"/>
                <w:sz w:val="18"/>
              </w:rPr>
              <w:t>Amount (KRW)</w:t>
            </w:r>
          </w:p>
        </w:tc>
        <w:tc>
          <w:tcPr>
            <w:tcW w:type="dxa" w:w="2493"/>
            <w:shd w:fill="1a3450" w:val="clear"/>
          </w:tcPr>
          <w:p>
            <w:pPr>
              <w:jc w:val="center"/>
            </w:pPr>
            <w:r>
              <w:rPr>
                <w:b/>
                <w:color w:val="FFFFFF"/>
                <w:sz w:val="18"/>
              </w:rPr>
              <w:t>USD (~1,350 rate)</w:t>
            </w:r>
          </w:p>
        </w:tc>
        <w:tc>
          <w:tcPr>
            <w:tcW w:type="dxa" w:w="2493"/>
            <w:shd w:fill="1a3450" w:val="clear"/>
          </w:tcPr>
          <w:p>
            <w:pPr>
              <w:jc w:val="center"/>
            </w:pPr>
            <w:r>
              <w:rPr>
                <w:b/>
                <w:color w:val="FFFFFF"/>
                <w:sz w:val="18"/>
              </w:rPr>
              <w:t>Note</w:t>
            </w:r>
          </w:p>
        </w:tc>
      </w:tr>
      <w:tr>
        <w:tc>
          <w:tcPr>
            <w:tcW w:type="dxa" w:w="2493"/>
            <w:shd w:fill="f0f4f8" w:val="clear"/>
          </w:tcPr>
          <w:p>
            <w:r>
              <w:rPr>
                <w:sz w:val="18"/>
              </w:rPr>
              <w:t>Paid-in Capital</w:t>
            </w:r>
          </w:p>
        </w:tc>
        <w:tc>
          <w:tcPr>
            <w:tcW w:type="dxa" w:w="2493"/>
            <w:shd w:fill="f0f4f8" w:val="clear"/>
          </w:tcPr>
          <w:p>
            <w:r>
              <w:rPr>
                <w:sz w:val="18"/>
              </w:rPr>
              <w:t>100,000,000</w:t>
            </w:r>
          </w:p>
        </w:tc>
        <w:tc>
          <w:tcPr>
            <w:tcW w:type="dxa" w:w="2493"/>
            <w:shd w:fill="f0f4f8" w:val="clear"/>
          </w:tcPr>
          <w:p>
            <w:r>
              <w:rPr>
                <w:sz w:val="18"/>
              </w:rPr>
              <w:t>$74,100</w:t>
            </w:r>
          </w:p>
        </w:tc>
        <w:tc>
          <w:tcPr>
            <w:tcW w:type="dxa" w:w="2493"/>
            <w:shd w:fill="f0f4f8" w:val="clear"/>
          </w:tcPr>
          <w:p>
            <w:r>
              <w:rPr>
                <w:sz w:val="18"/>
              </w:rPr>
              <w:t>Exceeds statutory minimum (KRW 50,000,000)</w:t>
            </w:r>
          </w:p>
        </w:tc>
      </w:tr>
      <w:tr>
        <w:tc>
          <w:tcPr>
            <w:tcW w:type="dxa" w:w="2493"/>
          </w:tcPr>
          <w:p>
            <w:r>
              <w:rPr>
                <w:sz w:val="18"/>
              </w:rPr>
              <w:t>Initial Setup (registration, notary, office deposit)</w:t>
            </w:r>
          </w:p>
        </w:tc>
        <w:tc>
          <w:tcPr>
            <w:tcW w:type="dxa" w:w="2493"/>
          </w:tcPr>
          <w:p>
            <w:r>
              <w:rPr>
                <w:sz w:val="18"/>
              </w:rPr>
              <w:t>~5,000,000</w:t>
            </w:r>
          </w:p>
        </w:tc>
        <w:tc>
          <w:tcPr>
            <w:tcW w:type="dxa" w:w="2493"/>
          </w:tcPr>
          <w:p>
            <w:r>
              <w:rPr>
                <w:sz w:val="18"/>
              </w:rPr>
              <w:t>~$3,700</w:t>
            </w:r>
          </w:p>
        </w:tc>
        <w:tc>
          <w:tcPr>
            <w:tcW w:type="dxa" w:w="2493"/>
          </w:tcPr>
          <w:p>
            <w:r>
              <w:rPr>
                <w:sz w:val="18"/>
              </w:rPr>
              <w:t>One-time costs</w:t>
            </w:r>
          </w:p>
        </w:tc>
      </w:tr>
      <w:tr>
        <w:tc>
          <w:tcPr>
            <w:tcW w:type="dxa" w:w="2493"/>
            <w:shd w:fill="f0f4f8" w:val="clear"/>
          </w:tcPr>
          <w:p>
            <w:r>
              <w:rPr>
                <w:sz w:val="18"/>
              </w:rPr>
              <w:t>1-Year Operating Reserve</w:t>
            </w:r>
          </w:p>
        </w:tc>
        <w:tc>
          <w:tcPr>
            <w:tcW w:type="dxa" w:w="2493"/>
            <w:shd w:fill="f0f4f8" w:val="clear"/>
          </w:tcPr>
          <w:p>
            <w:r>
              <w:rPr>
                <w:sz w:val="18"/>
              </w:rPr>
              <w:t>~25,000,000</w:t>
            </w:r>
          </w:p>
        </w:tc>
        <w:tc>
          <w:tcPr>
            <w:tcW w:type="dxa" w:w="2493"/>
            <w:shd w:fill="f0f4f8" w:val="clear"/>
          </w:tcPr>
          <w:p>
            <w:r>
              <w:rPr>
                <w:sz w:val="18"/>
              </w:rPr>
              <w:t>~$18,500</w:t>
            </w:r>
          </w:p>
        </w:tc>
        <w:tc>
          <w:tcPr>
            <w:tcW w:type="dxa" w:w="2493"/>
            <w:shd w:fill="f0f4f8" w:val="clear"/>
          </w:tcPr>
          <w:p>
            <w:r>
              <w:rPr>
                <w:sz w:val="18"/>
              </w:rPr>
              <w:t>Monthly fixed × 12 + contingency</w:t>
            </w:r>
          </w:p>
        </w:tc>
      </w:tr>
      <w:tr>
        <w:tc>
          <w:tcPr>
            <w:tcW w:type="dxa" w:w="2493"/>
          </w:tcPr>
          <w:p>
            <w:r>
              <w:rPr>
                <w:sz w:val="18"/>
              </w:rPr>
              <w:t>TOTAL Recommended</w:t>
            </w:r>
          </w:p>
        </w:tc>
        <w:tc>
          <w:tcPr>
            <w:tcW w:type="dxa" w:w="2493"/>
          </w:tcPr>
          <w:p>
            <w:r>
              <w:rPr>
                <w:sz w:val="18"/>
              </w:rPr>
              <w:t>130,000,000</w:t>
            </w:r>
          </w:p>
        </w:tc>
        <w:tc>
          <w:tcPr>
            <w:tcW w:type="dxa" w:w="2493"/>
          </w:tcPr>
          <w:p>
            <w:r>
              <w:rPr>
                <w:sz w:val="18"/>
              </w:rPr>
              <w:t>~$96,300</w:t>
            </w:r>
          </w:p>
        </w:tc>
        <w:tc>
          <w:tcPr>
            <w:tcW w:type="dxa" w:w="2493"/>
          </w:tcPr>
          <w:p>
            <w:r>
              <w:rPr>
                <w:sz w:val="18"/>
              </w:rPr>
              <w:t>Covers first year of operations</w:t>
            </w:r>
          </w:p>
        </w:tc>
      </w:tr>
    </w:tbl>
    <w:p/>
    <w:p>
      <w:pPr>
        <w:pStyle w:val="Heading2"/>
      </w:pPr>
      <w:r>
        <w:rPr>
          <w:color w:val="1A3450"/>
        </w:rPr>
        <w:t>6.2 Monthly Fixed Costs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a3450" w:val="clear"/>
          </w:tcPr>
          <w:p>
            <w:pPr>
              <w:jc w:val="center"/>
            </w:pPr>
            <w:r>
              <w:rPr>
                <w:b/>
                <w:color w:val="FFFFFF"/>
                <w:sz w:val="18"/>
              </w:rPr>
              <w:t>Item</w:t>
            </w:r>
          </w:p>
        </w:tc>
        <w:tc>
          <w:tcPr>
            <w:tcW w:type="dxa" w:w="2493"/>
            <w:shd w:fill="1a3450" w:val="clear"/>
          </w:tcPr>
          <w:p>
            <w:pPr>
              <w:jc w:val="center"/>
            </w:pPr>
            <w:r>
              <w:rPr>
                <w:b/>
                <w:color w:val="FFFFFF"/>
                <w:sz w:val="18"/>
              </w:rPr>
              <w:t>Monthly (KRW)</w:t>
            </w:r>
          </w:p>
        </w:tc>
        <w:tc>
          <w:tcPr>
            <w:tcW w:type="dxa" w:w="2493"/>
            <w:shd w:fill="1a3450" w:val="clear"/>
          </w:tcPr>
          <w:p>
            <w:pPr>
              <w:jc w:val="center"/>
            </w:pPr>
            <w:r>
              <w:rPr>
                <w:b/>
                <w:color w:val="FFFFFF"/>
                <w:sz w:val="18"/>
              </w:rPr>
              <w:t>Annual (KRW)</w:t>
            </w:r>
          </w:p>
        </w:tc>
        <w:tc>
          <w:tcPr>
            <w:tcW w:type="dxa" w:w="2493"/>
            <w:shd w:fill="1a3450" w:val="clear"/>
          </w:tcPr>
          <w:p>
            <w:pPr>
              <w:jc w:val="center"/>
            </w:pPr>
            <w:r>
              <w:rPr>
                <w:b/>
                <w:color w:val="FFFFFF"/>
                <w:sz w:val="18"/>
              </w:rPr>
              <w:t>Note</w:t>
            </w:r>
          </w:p>
        </w:tc>
      </w:tr>
      <w:tr>
        <w:tc>
          <w:tcPr>
            <w:tcW w:type="dxa" w:w="2493"/>
            <w:shd w:fill="f0f4f8" w:val="clear"/>
          </w:tcPr>
          <w:p>
            <w:r>
              <w:rPr>
                <w:sz w:val="18"/>
              </w:rPr>
              <w:t>Office Rent (Haeundae-gu)</w:t>
            </w:r>
          </w:p>
        </w:tc>
        <w:tc>
          <w:tcPr>
            <w:tcW w:type="dxa" w:w="2493"/>
            <w:shd w:fill="f0f4f8" w:val="clear"/>
          </w:tcPr>
          <w:p>
            <w:r>
              <w:rPr>
                <w:sz w:val="18"/>
              </w:rPr>
              <w:t>800,000</w:t>
            </w:r>
          </w:p>
        </w:tc>
        <w:tc>
          <w:tcPr>
            <w:tcW w:type="dxa" w:w="2493"/>
            <w:shd w:fill="f0f4f8" w:val="clear"/>
          </w:tcPr>
          <w:p>
            <w:r>
              <w:rPr>
                <w:sz w:val="18"/>
              </w:rPr>
              <w:t>9,600,000</w:t>
            </w:r>
          </w:p>
        </w:tc>
        <w:tc>
          <w:tcPr>
            <w:tcW w:type="dxa" w:w="2493"/>
            <w:shd w:fill="f0f4f8" w:val="clear"/>
          </w:tcPr>
          <w:p>
            <w:r>
              <w:rPr>
                <w:sz w:val="18"/>
              </w:rPr>
              <w:t>Small office, premium location</w:t>
            </w:r>
          </w:p>
        </w:tc>
      </w:tr>
      <w:tr>
        <w:tc>
          <w:tcPr>
            <w:tcW w:type="dxa" w:w="2493"/>
          </w:tcPr>
          <w:p>
            <w:r>
              <w:rPr>
                <w:sz w:val="18"/>
              </w:rPr>
              <w:t>Guarantee Insurance (SGI)</w:t>
            </w:r>
          </w:p>
        </w:tc>
        <w:tc>
          <w:tcPr>
            <w:tcW w:type="dxa" w:w="2493"/>
          </w:tcPr>
          <w:p>
            <w:r>
              <w:rPr>
                <w:sz w:val="18"/>
              </w:rPr>
              <w:t>192,000</w:t>
            </w:r>
          </w:p>
        </w:tc>
        <w:tc>
          <w:tcPr>
            <w:tcW w:type="dxa" w:w="2493"/>
          </w:tcPr>
          <w:p>
            <w:r>
              <w:rPr>
                <w:sz w:val="18"/>
              </w:rPr>
              <w:t>2,300,000</w:t>
            </w:r>
          </w:p>
        </w:tc>
        <w:tc>
          <w:tcPr>
            <w:tcW w:type="dxa" w:w="2493"/>
          </w:tcPr>
          <w:p>
            <w:r>
              <w:rPr>
                <w:sz w:val="18"/>
              </w:rPr>
              <w:t>Base 30,000,000 + Planned Travel 200,000,000 = 230,000,000 bond; ~1% premium</w:t>
            </w:r>
          </w:p>
        </w:tc>
      </w:tr>
      <w:tr>
        <w:tc>
          <w:tcPr>
            <w:tcW w:type="dxa" w:w="2493"/>
            <w:shd w:fill="f0f4f8" w:val="clear"/>
          </w:tcPr>
          <w:p>
            <w:r>
              <w:rPr>
                <w:sz w:val="18"/>
              </w:rPr>
              <w:t>Liability Insurance</w:t>
            </w:r>
          </w:p>
        </w:tc>
        <w:tc>
          <w:tcPr>
            <w:tcW w:type="dxa" w:w="2493"/>
            <w:shd w:fill="f0f4f8" w:val="clear"/>
          </w:tcPr>
          <w:p>
            <w:r>
              <w:rPr>
                <w:sz w:val="18"/>
              </w:rPr>
              <w:t>35,000</w:t>
            </w:r>
          </w:p>
        </w:tc>
        <w:tc>
          <w:tcPr>
            <w:tcW w:type="dxa" w:w="2493"/>
            <w:shd w:fill="f0f4f8" w:val="clear"/>
          </w:tcPr>
          <w:p>
            <w:r>
              <w:rPr>
                <w:sz w:val="18"/>
              </w:rPr>
              <w:t>420,000</w:t>
            </w:r>
          </w:p>
        </w:tc>
        <w:tc>
          <w:tcPr>
            <w:tcW w:type="dxa" w:w="2493"/>
            <w:shd w:fill="f0f4f8" w:val="clear"/>
          </w:tcPr>
          <w:p>
            <w:r>
              <w:rPr>
                <w:sz w:val="18"/>
              </w:rPr>
              <w:t>Mandatory under Tourism Promotion Act</w:t>
            </w:r>
          </w:p>
        </w:tc>
      </w:tr>
      <w:tr>
        <w:tc>
          <w:tcPr>
            <w:tcW w:type="dxa" w:w="2493"/>
          </w:tcPr>
          <w:p>
            <w:r>
              <w:rPr>
                <w:sz w:val="18"/>
              </w:rPr>
              <w:t>Accounting &amp; Tax Services</w:t>
            </w:r>
          </w:p>
        </w:tc>
        <w:tc>
          <w:tcPr>
            <w:tcW w:type="dxa" w:w="2493"/>
          </w:tcPr>
          <w:p>
            <w:r>
              <w:rPr>
                <w:sz w:val="18"/>
              </w:rPr>
              <w:t>300,000</w:t>
            </w:r>
          </w:p>
        </w:tc>
        <w:tc>
          <w:tcPr>
            <w:tcW w:type="dxa" w:w="2493"/>
          </w:tcPr>
          <w:p>
            <w:r>
              <w:rPr>
                <w:sz w:val="18"/>
              </w:rPr>
              <w:t>3,600,000</w:t>
            </w:r>
          </w:p>
        </w:tc>
        <w:tc>
          <w:tcPr>
            <w:tcW w:type="dxa" w:w="2493"/>
          </w:tcPr>
          <w:p>
            <w:r>
              <w:rPr>
                <w:sz w:val="18"/>
              </w:rPr>
              <w:t>Monthly bookkeeping + annual tax filing</w:t>
            </w:r>
          </w:p>
        </w:tc>
      </w:tr>
      <w:tr>
        <w:tc>
          <w:tcPr>
            <w:tcW w:type="dxa" w:w="2493"/>
            <w:shd w:fill="f0f4f8" w:val="clear"/>
          </w:tcPr>
          <w:p>
            <w:r>
              <w:rPr>
                <w:sz w:val="18"/>
              </w:rPr>
              <w:t>Telecom &amp; Office Supplies</w:t>
            </w:r>
          </w:p>
        </w:tc>
        <w:tc>
          <w:tcPr>
            <w:tcW w:type="dxa" w:w="2493"/>
            <w:shd w:fill="f0f4f8" w:val="clear"/>
          </w:tcPr>
          <w:p>
            <w:r>
              <w:rPr>
                <w:sz w:val="18"/>
              </w:rPr>
              <w:t>200,000</w:t>
            </w:r>
          </w:p>
        </w:tc>
        <w:tc>
          <w:tcPr>
            <w:tcW w:type="dxa" w:w="2493"/>
            <w:shd w:fill="f0f4f8" w:val="clear"/>
          </w:tcPr>
          <w:p>
            <w:r>
              <w:rPr>
                <w:sz w:val="18"/>
              </w:rPr>
              <w:t>2,400,000</w:t>
            </w:r>
          </w:p>
        </w:tc>
        <w:tc>
          <w:tcPr>
            <w:tcW w:type="dxa" w:w="2493"/>
            <w:shd w:fill="f0f4f8" w:val="clear"/>
          </w:tcPr>
          <w:p>
            <w:r>
              <w:rPr>
                <w:sz w:val="18"/>
              </w:rPr>
              <w:t>Internet, phone, sundries</w:t>
            </w:r>
          </w:p>
        </w:tc>
      </w:tr>
      <w:tr>
        <w:tc>
          <w:tcPr>
            <w:tcW w:type="dxa" w:w="2493"/>
          </w:tcPr>
          <w:p>
            <w:r>
              <w:rPr>
                <w:sz w:val="18"/>
              </w:rPr>
              <w:t>Miscellaneous</w:t>
            </w:r>
          </w:p>
        </w:tc>
        <w:tc>
          <w:tcPr>
            <w:tcW w:type="dxa" w:w="2493"/>
          </w:tcPr>
          <w:p>
            <w:r>
              <w:rPr>
                <w:sz w:val="18"/>
              </w:rPr>
              <w:t>200,000</w:t>
            </w:r>
          </w:p>
        </w:tc>
        <w:tc>
          <w:tcPr>
            <w:tcW w:type="dxa" w:w="2493"/>
          </w:tcPr>
          <w:p>
            <w:r>
              <w:rPr>
                <w:sz w:val="18"/>
              </w:rPr>
              <w:t>2,400,000</w:t>
            </w:r>
          </w:p>
        </w:tc>
        <w:tc>
          <w:tcPr>
            <w:tcW w:type="dxa" w:w="2493"/>
          </w:tcPr>
          <w:p>
            <w:r>
              <w:rPr>
                <w:sz w:val="18"/>
              </w:rPr>
              <w:t>Bank fees, memberships, contingency</w:t>
            </w:r>
          </w:p>
        </w:tc>
      </w:tr>
      <w:tr>
        <w:tc>
          <w:tcPr>
            <w:tcW w:type="dxa" w:w="2493"/>
            <w:shd w:fill="f0f4f8" w:val="clear"/>
          </w:tcPr>
          <w:p>
            <w:r>
              <w:rPr>
                <w:sz w:val="18"/>
              </w:rPr>
              <w:t>Monthly Total</w:t>
            </w:r>
          </w:p>
        </w:tc>
        <w:tc>
          <w:tcPr>
            <w:tcW w:type="dxa" w:w="2493"/>
            <w:shd w:fill="f0f4f8" w:val="clear"/>
          </w:tcPr>
          <w:p>
            <w:r>
              <w:rPr>
                <w:sz w:val="18"/>
              </w:rPr>
              <w:t>1,727,000</w:t>
            </w:r>
          </w:p>
        </w:tc>
        <w:tc>
          <w:tcPr>
            <w:tcW w:type="dxa" w:w="2493"/>
            <w:shd w:fill="f0f4f8" w:val="clear"/>
          </w:tcPr>
          <w:p>
            <w:r>
              <w:rPr>
                <w:sz w:val="18"/>
              </w:rPr>
              <w:t>20,724,000</w:t>
            </w:r>
          </w:p>
        </w:tc>
        <w:tc>
          <w:tcPr>
            <w:tcW w:type="dxa" w:w="2493"/>
            <w:shd w:fill="f0f4f8" w:val="clear"/>
          </w:tcPr>
          <w:p>
            <w:r>
              <w:rPr>
                <w:sz w:val="18"/>
              </w:rPr>
            </w:r>
          </w:p>
        </w:tc>
      </w:tr>
    </w:tbl>
    <w:p/>
    <w:p>
      <w:pPr>
        <w:pStyle w:val="Heading2"/>
      </w:pPr>
      <w:r>
        <w:rPr>
          <w:color w:val="1A3450"/>
        </w:rPr>
        <w:t>6.3 Revenue Model</w:t>
      </w:r>
    </w:p>
    <w:p>
      <w:r>
        <w:t>Core model: Cost-Plus 40% Markup</w:t>
        <w:br/>
        <w:br/>
        <w:t>Year 1 Conservative Target (Sep 2026 – Aug 2027):</w:t>
        <w:br/>
        <w:t>• 12–18 tour groups × avg 4 persons × ~$2,500 profit/person</w:t>
        <w:br/>
        <w:t>• Gross profit: ~$120,000–180,000</w:t>
        <w:br/>
        <w:t>• After operating costs: ~KRW 130M–200M (~$96K–148K) net profit</w:t>
        <w:br/>
        <w:br/>
        <w:t>Year 2 (full calendar, 24+ groups): ~KRW 300M+ (~$222K+) net profit</w:t>
        <w:br/>
        <w:br/>
        <w:t>Profit repatriation via dividends (10–15% Korean withholding, creditable against U.S. tax via Form 1116).</w:t>
      </w:r>
    </w:p>
    <w:p>
      <w:pPr>
        <w:pStyle w:val="Heading2"/>
      </w:pPr>
      <w:r>
        <w:rPr>
          <w:color w:val="1A3450"/>
        </w:rPr>
        <w:t>6.4 Guarantee Insurance Breakdown</w:t>
      </w:r>
    </w:p>
    <w:p>
      <w:r>
        <w:t>As a Planned Travel Operator (기획여행사), the company must carry guarantee insurance protecting customer prepayments. The Tourism Promotion Act Enforcement Rules Schedule 3 require:</w:t>
        <w:br/>
        <w:t xml:space="preserve">  • Base bond (국내외여행업): KRW 30,000,000</w:t>
        <w:br/>
        <w:t xml:space="preserve">  • Planned Travel surcharge (기획여행 추가): KRW 200,000,000</w:t>
        <w:br/>
        <w:t xml:space="preserve">  • TOTAL: KRW 230,000,000</w:t>
        <w:br/>
        <w:br/>
        <w:t>This is an insurance PREMIUM (annual ~KRW 2.3M at ~1% rate), not a deposit. Additionally, mandatory Liability Insurance (배상책임보험) covers bodily/property damage during tours.</w:t>
      </w:r>
    </w:p>
    <w:p>
      <w:pPr>
        <w:pStyle w:val="Heading1"/>
      </w:pPr>
      <w:r>
        <w:rPr>
          <w:color w:val="1A3450"/>
        </w:rPr>
        <w:t>7. Licensing &amp; Regulatory Compliance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a3450" w:val="clear"/>
          </w:tcPr>
          <w:p>
            <w:pPr>
              <w:jc w:val="center"/>
            </w:pPr>
            <w:r>
              <w:rPr>
                <w:b/>
                <w:color w:val="FFFFFF"/>
                <w:sz w:val="18"/>
              </w:rPr>
              <w:t>License/Permit</w:t>
            </w:r>
          </w:p>
        </w:tc>
        <w:tc>
          <w:tcPr>
            <w:tcW w:type="dxa" w:w="2493"/>
            <w:shd w:fill="1a3450" w:val="clear"/>
          </w:tcPr>
          <w:p>
            <w:pPr>
              <w:jc w:val="center"/>
            </w:pPr>
            <w:r>
              <w:rPr>
                <w:b/>
                <w:color w:val="FFFFFF"/>
                <w:sz w:val="18"/>
              </w:rPr>
              <w:t>Legal Basis</w:t>
            </w:r>
          </w:p>
        </w:tc>
        <w:tc>
          <w:tcPr>
            <w:tcW w:type="dxa" w:w="2493"/>
            <w:shd w:fill="1a3450" w:val="clear"/>
          </w:tcPr>
          <w:p>
            <w:pPr>
              <w:jc w:val="center"/>
            </w:pPr>
            <w:r>
              <w:rPr>
                <w:b/>
                <w:color w:val="FFFFFF"/>
                <w:sz w:val="18"/>
              </w:rPr>
              <w:t>Authority</w:t>
            </w:r>
          </w:p>
        </w:tc>
        <w:tc>
          <w:tcPr>
            <w:tcW w:type="dxa" w:w="2493"/>
            <w:shd w:fill="1a3450" w:val="clear"/>
          </w:tcPr>
          <w:p>
            <w:pPr>
              <w:jc w:val="center"/>
            </w:pPr>
            <w:r>
              <w:rPr>
                <w:b/>
                <w:color w:val="FFFFFF"/>
                <w:sz w:val="18"/>
              </w:rPr>
              <w:t>Est. Duration</w:t>
            </w:r>
          </w:p>
        </w:tc>
      </w:tr>
      <w:tr>
        <w:tc>
          <w:tcPr>
            <w:tcW w:type="dxa" w:w="2493"/>
            <w:shd w:fill="f0f4f8" w:val="clear"/>
          </w:tcPr>
          <w:p>
            <w:r>
              <w:rPr>
                <w:sz w:val="18"/>
              </w:rPr>
              <w:t>Corporation Registration</w:t>
            </w:r>
          </w:p>
        </w:tc>
        <w:tc>
          <w:tcPr>
            <w:tcW w:type="dxa" w:w="2493"/>
            <w:shd w:fill="f0f4f8" w:val="clear"/>
          </w:tcPr>
          <w:p>
            <w:r>
              <w:rPr>
                <w:sz w:val="18"/>
              </w:rPr>
              <w:t>Commercial Act</w:t>
            </w:r>
          </w:p>
        </w:tc>
        <w:tc>
          <w:tcPr>
            <w:tcW w:type="dxa" w:w="2493"/>
            <w:shd w:fill="f0f4f8" w:val="clear"/>
          </w:tcPr>
          <w:p>
            <w:r>
              <w:rPr>
                <w:sz w:val="18"/>
              </w:rPr>
              <w:t>Busan District Court (East)</w:t>
            </w:r>
          </w:p>
        </w:tc>
        <w:tc>
          <w:tcPr>
            <w:tcW w:type="dxa" w:w="2493"/>
            <w:shd w:fill="f0f4f8" w:val="clear"/>
          </w:tcPr>
          <w:p>
            <w:r>
              <w:rPr>
                <w:sz w:val="18"/>
              </w:rPr>
              <w:t>5–7 days</w:t>
            </w:r>
          </w:p>
        </w:tc>
      </w:tr>
      <w:tr>
        <w:tc>
          <w:tcPr>
            <w:tcW w:type="dxa" w:w="2493"/>
          </w:tcPr>
          <w:p>
            <w:r>
              <w:rPr>
                <w:sz w:val="18"/>
              </w:rPr>
              <w:t>Business Registration</w:t>
            </w:r>
          </w:p>
        </w:tc>
        <w:tc>
          <w:tcPr>
            <w:tcW w:type="dxa" w:w="2493"/>
          </w:tcPr>
          <w:p>
            <w:r>
              <w:rPr>
                <w:sz w:val="18"/>
              </w:rPr>
              <w:t>VAT Act</w:t>
            </w:r>
          </w:p>
        </w:tc>
        <w:tc>
          <w:tcPr>
            <w:tcW w:type="dxa" w:w="2493"/>
          </w:tcPr>
          <w:p>
            <w:r>
              <w:rPr>
                <w:sz w:val="18"/>
              </w:rPr>
              <w:t>Haeundae Tax Office</w:t>
            </w:r>
          </w:p>
        </w:tc>
        <w:tc>
          <w:tcPr>
            <w:tcW w:type="dxa" w:w="2493"/>
          </w:tcPr>
          <w:p>
            <w:r>
              <w:rPr>
                <w:sz w:val="18"/>
              </w:rPr>
              <w:t>3–5 days</w:t>
            </w:r>
          </w:p>
        </w:tc>
      </w:tr>
      <w:tr>
        <w:tc>
          <w:tcPr>
            <w:tcW w:type="dxa" w:w="2493"/>
            <w:shd w:fill="f0f4f8" w:val="clear"/>
          </w:tcPr>
          <w:p>
            <w:r>
              <w:rPr>
                <w:sz w:val="18"/>
              </w:rPr>
              <w:t>Travel Agency License</w:t>
            </w:r>
          </w:p>
        </w:tc>
        <w:tc>
          <w:tcPr>
            <w:tcW w:type="dxa" w:w="2493"/>
            <w:shd w:fill="f0f4f8" w:val="clear"/>
          </w:tcPr>
          <w:p>
            <w:r>
              <w:rPr>
                <w:sz w:val="18"/>
              </w:rPr>
              <w:t>Tourism Promotion Act Art. 4</w:t>
            </w:r>
          </w:p>
        </w:tc>
        <w:tc>
          <w:tcPr>
            <w:tcW w:type="dxa" w:w="2493"/>
            <w:shd w:fill="f0f4f8" w:val="clear"/>
          </w:tcPr>
          <w:p>
            <w:r>
              <w:rPr>
                <w:sz w:val="18"/>
              </w:rPr>
              <w:t>Haeundae-gu Office</w:t>
            </w:r>
          </w:p>
        </w:tc>
        <w:tc>
          <w:tcPr>
            <w:tcW w:type="dxa" w:w="2493"/>
            <w:shd w:fill="f0f4f8" w:val="clear"/>
          </w:tcPr>
          <w:p>
            <w:r>
              <w:rPr>
                <w:sz w:val="18"/>
              </w:rPr>
              <w:t>2–4 weeks</w:t>
            </w:r>
          </w:p>
        </w:tc>
      </w:tr>
      <w:tr>
        <w:tc>
          <w:tcPr>
            <w:tcW w:type="dxa" w:w="2493"/>
          </w:tcPr>
          <w:p>
            <w:r>
              <w:rPr>
                <w:sz w:val="18"/>
              </w:rPr>
              <w:t>Guarantee Insurance (SGI)</w:t>
            </w:r>
          </w:p>
        </w:tc>
        <w:tc>
          <w:tcPr>
            <w:tcW w:type="dxa" w:w="2493"/>
          </w:tcPr>
          <w:p>
            <w:r>
              <w:rPr>
                <w:sz w:val="18"/>
              </w:rPr>
              <w:t>Tourism Act Enforcement Rules Sch. 3</w:t>
            </w:r>
          </w:p>
        </w:tc>
        <w:tc>
          <w:tcPr>
            <w:tcW w:type="dxa" w:w="2493"/>
          </w:tcPr>
          <w:p>
            <w:r>
              <w:rPr>
                <w:sz w:val="18"/>
              </w:rPr>
              <w:t>Seoul Guarantee Insurance</w:t>
            </w:r>
          </w:p>
        </w:tc>
        <w:tc>
          <w:tcPr>
            <w:tcW w:type="dxa" w:w="2493"/>
          </w:tcPr>
          <w:p>
            <w:r>
              <w:rPr>
                <w:sz w:val="18"/>
              </w:rPr>
              <w:t>5–7 days</w:t>
            </w:r>
          </w:p>
        </w:tc>
      </w:tr>
      <w:tr>
        <w:tc>
          <w:tcPr>
            <w:tcW w:type="dxa" w:w="2493"/>
            <w:shd w:fill="f0f4f8" w:val="clear"/>
          </w:tcPr>
          <w:p>
            <w:r>
              <w:rPr>
                <w:sz w:val="18"/>
              </w:rPr>
              <w:t>Liability Insurance</w:t>
            </w:r>
          </w:p>
        </w:tc>
        <w:tc>
          <w:tcPr>
            <w:tcW w:type="dxa" w:w="2493"/>
            <w:shd w:fill="f0f4f8" w:val="clear"/>
          </w:tcPr>
          <w:p>
            <w:r>
              <w:rPr>
                <w:sz w:val="18"/>
              </w:rPr>
              <w:t>Tourism Promotion Act</w:t>
            </w:r>
          </w:p>
        </w:tc>
        <w:tc>
          <w:tcPr>
            <w:tcW w:type="dxa" w:w="2493"/>
            <w:shd w:fill="f0f4f8" w:val="clear"/>
          </w:tcPr>
          <w:p>
            <w:r>
              <w:rPr>
                <w:sz w:val="18"/>
              </w:rPr>
              <w:t>Private insurer</w:t>
            </w:r>
          </w:p>
        </w:tc>
        <w:tc>
          <w:tcPr>
            <w:tcW w:type="dxa" w:w="2493"/>
            <w:shd w:fill="f0f4f8" w:val="clear"/>
          </w:tcPr>
          <w:p>
            <w:r>
              <w:rPr>
                <w:sz w:val="18"/>
              </w:rPr>
              <w:t>3–5 days</w:t>
            </w:r>
          </w:p>
        </w:tc>
      </w:tr>
      <w:tr>
        <w:tc>
          <w:tcPr>
            <w:tcW w:type="dxa" w:w="2493"/>
          </w:tcPr>
          <w:p>
            <w:r>
              <w:rPr>
                <w:sz w:val="18"/>
              </w:rPr>
              <w:t>FDI Registration</w:t>
            </w:r>
          </w:p>
        </w:tc>
        <w:tc>
          <w:tcPr>
            <w:tcW w:type="dxa" w:w="2493"/>
          </w:tcPr>
          <w:p>
            <w:r>
              <w:rPr>
                <w:sz w:val="18"/>
              </w:rPr>
              <w:t>FIPA</w:t>
            </w:r>
          </w:p>
        </w:tc>
        <w:tc>
          <w:tcPr>
            <w:tcW w:type="dxa" w:w="2493"/>
          </w:tcPr>
          <w:p>
            <w:r>
              <w:rPr>
                <w:sz w:val="18"/>
              </w:rPr>
              <w:t>KOTRA / Foreign Exchange Bank</w:t>
            </w:r>
          </w:p>
        </w:tc>
        <w:tc>
          <w:tcPr>
            <w:tcW w:type="dxa" w:w="2493"/>
          </w:tcPr>
          <w:p>
            <w:r>
              <w:rPr>
                <w:sz w:val="18"/>
              </w:rPr>
              <w:t>1–2 days</w:t>
            </w:r>
          </w:p>
        </w:tc>
      </w:tr>
      <w:tr>
        <w:tc>
          <w:tcPr>
            <w:tcW w:type="dxa" w:w="2493"/>
            <w:shd w:fill="f0f4f8" w:val="clear"/>
          </w:tcPr>
          <w:p>
            <w:r>
              <w:rPr>
                <w:sz w:val="18"/>
              </w:rPr>
              <w:t>Tour Escort Registration</w:t>
            </w:r>
          </w:p>
        </w:tc>
        <w:tc>
          <w:tcPr>
            <w:tcW w:type="dxa" w:w="2493"/>
            <w:shd w:fill="f0f4f8" w:val="clear"/>
          </w:tcPr>
          <w:p>
            <w:r>
              <w:rPr>
                <w:sz w:val="18"/>
              </w:rPr>
              <w:t>Tourism Promotion Act Art. 38</w:t>
            </w:r>
          </w:p>
        </w:tc>
        <w:tc>
          <w:tcPr>
            <w:tcW w:type="dxa" w:w="2493"/>
            <w:shd w:fill="f0f4f8" w:val="clear"/>
          </w:tcPr>
          <w:p>
            <w:r>
              <w:rPr>
                <w:sz w:val="18"/>
              </w:rPr>
              <w:t>Korea Tourism Organization</w:t>
            </w:r>
          </w:p>
        </w:tc>
        <w:tc>
          <w:tcPr>
            <w:tcW w:type="dxa" w:w="2493"/>
            <w:shd w:fill="f0f4f8" w:val="clear"/>
          </w:tcPr>
          <w:p>
            <w:r>
              <w:rPr>
                <w:sz w:val="18"/>
              </w:rPr>
              <w:t>Hire qualified</w:t>
            </w:r>
          </w:p>
        </w:tc>
      </w:tr>
    </w:tbl>
    <w:p/>
    <w:p>
      <w:pPr>
        <w:pStyle w:val="Heading1"/>
      </w:pPr>
      <w:r>
        <w:rPr>
          <w:color w:val="1A3450"/>
        </w:rPr>
        <w:t>8. Investor Visa &amp; Tax Benefits</w:t>
      </w:r>
    </w:p>
    <w:p>
      <w:pPr>
        <w:pStyle w:val="Heading2"/>
      </w:pPr>
      <w:r>
        <w:rPr>
          <w:color w:val="1A3450"/>
        </w:rPr>
        <w:t>8.1 D-8-1 Corporate Investment Visa</w:t>
      </w:r>
    </w:p>
    <w:tbl>
      <w:tblPr>
        <w:tblStyle w:val="TableGrid"/>
        <w:tblW w:type="auto" w:w="0"/>
        <w:jc w:val="center"/>
        <w:tblLook w:firstColumn="1" w:firstRow="1" w:lastColumn="0" w:lastRow="0" w:noHBand="0" w:noVBand="1" w:val="04A0"/>
      </w:tblPr>
      <w:tblGrid>
        <w:gridCol w:w="4986"/>
        <w:gridCol w:w="4986"/>
      </w:tblGrid>
      <w:tr>
        <w:tc>
          <w:tcPr>
            <w:tcW w:type="dxa" w:w="4986"/>
            <w:shd w:fill="1a3450" w:val="clear"/>
          </w:tcPr>
          <w:p>
            <w:pPr>
              <w:jc w:val="center"/>
            </w:pPr>
            <w:r>
              <w:rPr>
                <w:b/>
                <w:color w:val="FFFFFF"/>
                <w:sz w:val="18"/>
              </w:rPr>
              <w:t>Benefit</w:t>
            </w:r>
          </w:p>
        </w:tc>
        <w:tc>
          <w:tcPr>
            <w:tcW w:type="dxa" w:w="4986"/>
            <w:shd w:fill="1a3450" w:val="clear"/>
          </w:tcPr>
          <w:p>
            <w:pPr>
              <w:jc w:val="center"/>
            </w:pPr>
            <w:r>
              <w:rPr>
                <w:b/>
                <w:color w:val="FFFFFF"/>
                <w:sz w:val="18"/>
              </w:rPr>
              <w:t>Details</w:t>
            </w:r>
          </w:p>
        </w:tc>
      </w:tr>
      <w:tr>
        <w:tc>
          <w:tcPr>
            <w:tcW w:type="dxa" w:w="4986"/>
            <w:shd w:fill="f0f4f8" w:val="clear"/>
          </w:tcPr>
          <w:p>
            <w:r>
              <w:rPr>
                <w:sz w:val="18"/>
              </w:rPr>
              <w:t>Visa Type</w:t>
            </w:r>
          </w:p>
        </w:tc>
        <w:tc>
          <w:tcPr>
            <w:tcW w:type="dxa" w:w="4986"/>
            <w:shd w:fill="f0f4f8" w:val="clear"/>
          </w:tcPr>
          <w:p>
            <w:r>
              <w:rPr>
                <w:sz w:val="18"/>
              </w:rPr>
              <w:t>D-8-1 (Corporate Investment)</w:t>
            </w:r>
          </w:p>
        </w:tc>
      </w:tr>
      <w:tr>
        <w:tc>
          <w:tcPr>
            <w:tcW w:type="dxa" w:w="4986"/>
          </w:tcPr>
          <w:p>
            <w:r>
              <w:rPr>
                <w:sz w:val="18"/>
              </w:rPr>
              <w:t>Validity</w:t>
            </w:r>
          </w:p>
        </w:tc>
        <w:tc>
          <w:tcPr>
            <w:tcW w:type="dxa" w:w="4986"/>
          </w:tcPr>
          <w:p>
            <w:r>
              <w:rPr>
                <w:sz w:val="18"/>
              </w:rPr>
              <w:t>2–3 years initially, renewable up to 5 years, renewable indefinitely</w:t>
            </w:r>
          </w:p>
        </w:tc>
      </w:tr>
      <w:tr>
        <w:tc>
          <w:tcPr>
            <w:tcW w:type="dxa" w:w="4986"/>
            <w:shd w:fill="f0f4f8" w:val="clear"/>
          </w:tcPr>
          <w:p>
            <w:r>
              <w:rPr>
                <w:sz w:val="18"/>
              </w:rPr>
              <w:t>Family</w:t>
            </w:r>
          </w:p>
        </w:tc>
        <w:tc>
          <w:tcPr>
            <w:tcW w:type="dxa" w:w="4986"/>
            <w:shd w:fill="f0f4f8" w:val="clear"/>
          </w:tcPr>
          <w:p>
            <w:r>
              <w:rPr>
                <w:sz w:val="18"/>
              </w:rPr>
              <w:t>Spouse + minor children eligible for F-3 dependent visas</w:t>
            </w:r>
          </w:p>
        </w:tc>
      </w:tr>
      <w:tr>
        <w:tc>
          <w:tcPr>
            <w:tcW w:type="dxa" w:w="4986"/>
          </w:tcPr>
          <w:p>
            <w:r>
              <w:rPr>
                <w:sz w:val="18"/>
              </w:rPr>
              <w:t>Healthcare</w:t>
            </w:r>
          </w:p>
        </w:tc>
        <w:tc>
          <w:tcPr>
            <w:tcW w:type="dxa" w:w="4986"/>
          </w:tcPr>
          <w:p>
            <w:r>
              <w:rPr>
                <w:sz w:val="18"/>
              </w:rPr>
              <w:t>Full NHIS (National Health Insurance) coverage</w:t>
            </w:r>
          </w:p>
        </w:tc>
      </w:tr>
      <w:tr>
        <w:tc>
          <w:tcPr>
            <w:tcW w:type="dxa" w:w="4986"/>
            <w:shd w:fill="f0f4f8" w:val="clear"/>
          </w:tcPr>
          <w:p>
            <w:r>
              <w:rPr>
                <w:sz w:val="18"/>
              </w:rPr>
              <w:t>PR Pathway</w:t>
            </w:r>
          </w:p>
        </w:tc>
        <w:tc>
          <w:tcPr>
            <w:tcW w:type="dxa" w:w="4986"/>
            <w:shd w:fill="f0f4f8" w:val="clear"/>
          </w:tcPr>
          <w:p>
            <w:r>
              <w:rPr>
                <w:sz w:val="18"/>
              </w:rPr>
              <w:t>F-5 Permanent Residency: KRW 300M (~$200K) investment OR 2+ full-time Korean employees</w:t>
            </w:r>
          </w:p>
        </w:tc>
      </w:tr>
    </w:tbl>
    <w:p/>
    <w:p>
      <w:pPr>
        <w:pStyle w:val="Heading2"/>
      </w:pPr>
      <w:r>
        <w:rPr>
          <w:color w:val="1A3450"/>
        </w:rPr>
        <w:t>8.2 FIPA Tax Incentives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a3450" w:val="clear"/>
          </w:tcPr>
          <w:p>
            <w:pPr>
              <w:jc w:val="center"/>
            </w:pPr>
            <w:r>
              <w:rPr>
                <w:b/>
                <w:color w:val="FFFFFF"/>
                <w:sz w:val="18"/>
              </w:rPr>
              <w:t>Incentive</w:t>
            </w:r>
          </w:p>
        </w:tc>
        <w:tc>
          <w:tcPr>
            <w:tcW w:type="dxa" w:w="3324"/>
            <w:shd w:fill="1a3450" w:val="clear"/>
          </w:tcPr>
          <w:p>
            <w:pPr>
              <w:jc w:val="center"/>
            </w:pPr>
            <w:r>
              <w:rPr>
                <w:b/>
                <w:color w:val="FFFFFF"/>
                <w:sz w:val="18"/>
              </w:rPr>
              <w:t>Benefit</w:t>
            </w:r>
          </w:p>
        </w:tc>
        <w:tc>
          <w:tcPr>
            <w:tcW w:type="dxa" w:w="3324"/>
            <w:shd w:fill="1a3450" w:val="clear"/>
          </w:tcPr>
          <w:p>
            <w:pPr>
              <w:jc w:val="center"/>
            </w:pPr>
            <w:r>
              <w:rPr>
                <w:b/>
                <w:color w:val="FFFFFF"/>
                <w:sz w:val="18"/>
              </w:rPr>
              <w:t>Duration</w:t>
            </w:r>
          </w:p>
        </w:tc>
      </w:tr>
      <w:tr>
        <w:tc>
          <w:tcPr>
            <w:tcW w:type="dxa" w:w="3324"/>
            <w:shd w:fill="f0f4f8" w:val="clear"/>
          </w:tcPr>
          <w:p>
            <w:r>
              <w:rPr>
                <w:sz w:val="18"/>
              </w:rPr>
              <w:t>Corporate Income Tax Reduction</w:t>
            </w:r>
          </w:p>
        </w:tc>
        <w:tc>
          <w:tcPr>
            <w:tcW w:type="dxa" w:w="3324"/>
            <w:shd w:fill="f0f4f8" w:val="clear"/>
          </w:tcPr>
          <w:p>
            <w:r>
              <w:rPr>
                <w:sz w:val="18"/>
              </w:rPr>
              <w:t>100% exemption years 1–5, 50% years 6–7</w:t>
            </w:r>
          </w:p>
        </w:tc>
        <w:tc>
          <w:tcPr>
            <w:tcW w:type="dxa" w:w="3324"/>
            <w:shd w:fill="f0f4f8" w:val="clear"/>
          </w:tcPr>
          <w:p>
            <w:r>
              <w:rPr>
                <w:sz w:val="18"/>
              </w:rPr>
              <w:t>7 years</w:t>
            </w:r>
          </w:p>
        </w:tc>
      </w:tr>
      <w:tr>
        <w:tc>
          <w:tcPr>
            <w:tcW w:type="dxa" w:w="3324"/>
          </w:tcPr>
          <w:p>
            <w:r>
              <w:rPr>
                <w:sz w:val="18"/>
              </w:rPr>
              <w:t>Acquisition Tax Exemption</w:t>
            </w:r>
          </w:p>
        </w:tc>
        <w:tc>
          <w:tcPr>
            <w:tcW w:type="dxa" w:w="3324"/>
          </w:tcPr>
          <w:p>
            <w:r>
              <w:rPr>
                <w:sz w:val="18"/>
              </w:rPr>
              <w:t>100% on real estate, vehicles, equipment</w:t>
            </w:r>
          </w:p>
        </w:tc>
        <w:tc>
          <w:tcPr>
            <w:tcW w:type="dxa" w:w="3324"/>
          </w:tcPr>
          <w:p>
            <w:r>
              <w:rPr>
                <w:sz w:val="18"/>
              </w:rPr>
              <w:t>15 years</w:t>
            </w:r>
          </w:p>
        </w:tc>
      </w:tr>
      <w:tr>
        <w:tc>
          <w:tcPr>
            <w:tcW w:type="dxa" w:w="3324"/>
            <w:shd w:fill="f0f4f8" w:val="clear"/>
          </w:tcPr>
          <w:p>
            <w:r>
              <w:rPr>
                <w:sz w:val="18"/>
              </w:rPr>
              <w:t>Property Tax Reduction</w:t>
            </w:r>
          </w:p>
        </w:tc>
        <w:tc>
          <w:tcPr>
            <w:tcW w:type="dxa" w:w="3324"/>
            <w:shd w:fill="f0f4f8" w:val="clear"/>
          </w:tcPr>
          <w:p>
            <w:r>
              <w:rPr>
                <w:sz w:val="18"/>
              </w:rPr>
              <w:t>100% years 1–5, 50% years 6–15</w:t>
            </w:r>
          </w:p>
        </w:tc>
        <w:tc>
          <w:tcPr>
            <w:tcW w:type="dxa" w:w="3324"/>
            <w:shd w:fill="f0f4f8" w:val="clear"/>
          </w:tcPr>
          <w:p>
            <w:r>
              <w:rPr>
                <w:sz w:val="18"/>
              </w:rPr>
              <w:t>15 years</w:t>
            </w:r>
          </w:p>
        </w:tc>
      </w:tr>
      <w:tr>
        <w:tc>
          <w:tcPr>
            <w:tcW w:type="dxa" w:w="3324"/>
          </w:tcPr>
          <w:p>
            <w:r>
              <w:rPr>
                <w:sz w:val="18"/>
              </w:rPr>
              <w:t>Customs Duty Exemption</w:t>
            </w:r>
          </w:p>
        </w:tc>
        <w:tc>
          <w:tcPr>
            <w:tcW w:type="dxa" w:w="3324"/>
          </w:tcPr>
          <w:p>
            <w:r>
              <w:rPr>
                <w:sz w:val="18"/>
              </w:rPr>
              <w:t>100% on imported capital goods</w:t>
            </w:r>
          </w:p>
        </w:tc>
        <w:tc>
          <w:tcPr>
            <w:tcW w:type="dxa" w:w="3324"/>
          </w:tcPr>
          <w:p>
            <w:r>
              <w:rPr>
                <w:sz w:val="18"/>
              </w:rPr>
              <w:t>Within 3 years of FDI</w:t>
            </w:r>
          </w:p>
        </w:tc>
      </w:tr>
      <w:tr>
        <w:tc>
          <w:tcPr>
            <w:tcW w:type="dxa" w:w="3324"/>
            <w:shd w:fill="f0f4f8" w:val="clear"/>
          </w:tcPr>
          <w:p>
            <w:r>
              <w:rPr>
                <w:sz w:val="18"/>
              </w:rPr>
              <w:t>Dividend Withholding (US-Korea Treaty)</w:t>
            </w:r>
          </w:p>
        </w:tc>
        <w:tc>
          <w:tcPr>
            <w:tcW w:type="dxa" w:w="3324"/>
            <w:shd w:fill="f0f4f8" w:val="clear"/>
          </w:tcPr>
          <w:p>
            <w:r>
              <w:rPr>
                <w:sz w:val="18"/>
              </w:rPr>
              <w:t>15% standard / 10% if held via corporate entity with ≥10% ownership</w:t>
            </w:r>
          </w:p>
        </w:tc>
        <w:tc>
          <w:tcPr>
            <w:tcW w:type="dxa" w:w="3324"/>
            <w:shd w:fill="f0f4f8" w:val="clear"/>
          </w:tcPr>
          <w:p>
            <w:r>
              <w:rPr>
                <w:sz w:val="18"/>
              </w:rPr>
              <w:t>Ongoing</w:t>
            </w:r>
          </w:p>
        </w:tc>
      </w:tr>
    </w:tbl>
    <w:p/>
    <w:p>
      <w:pPr>
        <w:pStyle w:val="Heading1"/>
      </w:pPr>
      <w:r>
        <w:rPr>
          <w:color w:val="1A3450"/>
        </w:rPr>
        <w:t>9. Team &amp; Key Partners</w:t>
      </w:r>
    </w:p>
    <w:p>
      <w:r>
        <w:t>U.S. INVESTOR (100% Shareholder): Provides capital, strategic direction, and board-level oversight. Holds D-8-1 visa for Korean residency. Engages U.S. cross-border CPA for Form 5471, FBAR, and FATCA compliance.</w:t>
        <w:br/>
        <w:br/>
        <w:t>HEE SUNG LEE (CEO, F-4 Visa): 20+ years U.S. residency, hands-on golf industry experience at American Golf Inc. / Recreation Park 18 Golf Course, extensive California/Hawaii course network, bilingual Korean-English. Manages all Korean operations: licensing, banking, tax, marketing, client relationships.</w:t>
        <w:br/>
        <w:br/>
        <w:t>U.S. PARTNER (California-Based Vendor Manager): Manages all local vendors — golf courses, hotels, transport, restaurants. Scouts new courses, negotiates contracts, handles real-time tour operations, creates social media content. Revenue share: 20–30% of net profit per tour.</w:t>
        <w:br/>
        <w:br/>
        <w:t>KOREAN CERTIFIED TAX ACCOUNTANT (세무사): Corporate tax filing, VAT returns, FIPA incentive applications, withholding tax on dividends. KRW 300,000–500,000/month.</w:t>
        <w:br/>
        <w:br/>
        <w:t>U.S. CROSS-BORDER CPA: Form 5471 (foreign corporation reporting), FBAR, Form 1116 (foreign tax credit), Form 8938 (FATCA), PFIC analysis. $2,500–5,000 initial / $1,500–3,000/year.</w:t>
      </w:r>
    </w:p>
    <w:p>
      <w:pPr>
        <w:pStyle w:val="Heading1"/>
      </w:pPr>
      <w:r>
        <w:rPr>
          <w:color w:val="1A3450"/>
        </w:rPr>
        <w:t>10. Investment Case</w:t>
      </w:r>
    </w:p>
    <w:p>
      <w:r>
        <w:t>Why invest in Resonate Club Inc.?</w:t>
        <w:br/>
        <w:br/>
        <w:t>1. STRUCTURAL MARKET GROWTH: Korean golf population 6.24M, overseas golf travel growing at 12.5% CAGR. U.S. is the #2 destination for Korean outbound golf.</w:t>
        <w:br/>
        <w:br/>
        <w:t>2. PREMIUM NICHE: Large agencies serve mass market; nobody owns the premium, customized, small-group California golf segment for Korean high-net-worth individuals.</w:t>
        <w:br/>
        <w:br/>
        <w:t>3. UNFAIR ADVANTAGE: CEO's 20+ years U.S. golf industry experience, direct course relationships, bilingual/bicultural capability — impossible for Korean-only competitors to replicate.</w:t>
        <w:br/>
        <w:br/>
        <w:t>4. CAPITAL-EFFICIENT: Low fixed cost base (KRW 1.73M/month), asset-light model, 40% markup provides predictable margins. Breakeven at ~5 tour groups per year.</w:t>
        <w:br/>
        <w:br/>
        <w:t>5. SCALABLE: Model expands to USA→Korea inbound (K-culture) and VIP events without proportional cost increase.</w:t>
        <w:br/>
        <w:br/>
        <w:t>6. TAX-ADVANTAGED: FIPA corporate tax holiday (years 1–5), customs duty exemption on vehicles and equipment, US-Korea tax treaty reduces dividend withholding.</w:t>
        <w:br/>
        <w:br/>
        <w:t>7. CLEAN GOVERNANCE: 100% investor ownership, professional CEO, transparent cost-plus pricing, single-class share structure.</w:t>
      </w:r>
    </w:p>
    <w:p>
      <w:pPr>
        <w:pStyle w:val="Heading1"/>
      </w:pPr>
      <w:r>
        <w:rPr>
          <w:color w:val="1A3450"/>
        </w:rPr>
        <w:t>11. Risk Factors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a3450" w:val="clear"/>
          </w:tcPr>
          <w:p>
            <w:pPr>
              <w:jc w:val="center"/>
            </w:pPr>
            <w:r>
              <w:rPr>
                <w:b/>
                <w:color w:val="FFFFFF"/>
                <w:sz w:val="18"/>
              </w:rPr>
              <w:t>Risk</w:t>
            </w:r>
          </w:p>
        </w:tc>
        <w:tc>
          <w:tcPr>
            <w:tcW w:type="dxa" w:w="3324"/>
            <w:shd w:fill="1a3450" w:val="clear"/>
          </w:tcPr>
          <w:p>
            <w:pPr>
              <w:jc w:val="center"/>
            </w:pPr>
            <w:r>
              <w:rPr>
                <w:b/>
                <w:color w:val="FFFFFF"/>
                <w:sz w:val="18"/>
              </w:rPr>
              <w:t>Level</w:t>
            </w:r>
          </w:p>
        </w:tc>
        <w:tc>
          <w:tcPr>
            <w:tcW w:type="dxa" w:w="3324"/>
            <w:shd w:fill="1a3450" w:val="clear"/>
          </w:tcPr>
          <w:p>
            <w:pPr>
              <w:jc w:val="center"/>
            </w:pPr>
            <w:r>
              <w:rPr>
                <w:b/>
                <w:color w:val="FFFFFF"/>
                <w:sz w:val="18"/>
              </w:rPr>
              <w:t>Mitigation</w:t>
            </w:r>
          </w:p>
        </w:tc>
      </w:tr>
      <w:tr>
        <w:tc>
          <w:tcPr>
            <w:tcW w:type="dxa" w:w="3324"/>
            <w:shd w:fill="f0f4f8" w:val="clear"/>
          </w:tcPr>
          <w:p>
            <w:r>
              <w:rPr>
                <w:sz w:val="18"/>
              </w:rPr>
              <w:t>Regulatory change (capital increase)</w:t>
            </w:r>
          </w:p>
        </w:tc>
        <w:tc>
          <w:tcPr>
            <w:tcW w:type="dxa" w:w="3324"/>
            <w:shd w:fill="f0f4f8" w:val="clear"/>
          </w:tcPr>
          <w:p>
            <w:r>
              <w:rPr>
                <w:sz w:val="18"/>
              </w:rPr>
              <w:t>Medium</w:t>
            </w:r>
          </w:p>
        </w:tc>
        <w:tc>
          <w:tcPr>
            <w:tcW w:type="dxa" w:w="3324"/>
            <w:shd w:fill="f0f4f8" w:val="clear"/>
          </w:tcPr>
          <w:p>
            <w:r>
              <w:rPr>
                <w:sz w:val="18"/>
              </w:rPr>
              <w:t>Investor-backed capital exceeds requirements; legal counsel retained</w:t>
            </w:r>
          </w:p>
        </w:tc>
      </w:tr>
      <w:tr>
        <w:tc>
          <w:tcPr>
            <w:tcW w:type="dxa" w:w="3324"/>
          </w:tcPr>
          <w:p>
            <w:r>
              <w:rPr>
                <w:sz w:val="18"/>
              </w:rPr>
              <w:t>SGI insurance denial</w:t>
            </w:r>
          </w:p>
        </w:tc>
        <w:tc>
          <w:tcPr>
            <w:tcW w:type="dxa" w:w="3324"/>
          </w:tcPr>
          <w:p>
            <w:r>
              <w:rPr>
                <w:sz w:val="18"/>
              </w:rPr>
              <w:t>Medium</w:t>
            </w:r>
          </w:p>
        </w:tc>
        <w:tc>
          <w:tcPr>
            <w:tcW w:type="dxa" w:w="3324"/>
          </w:tcPr>
          <w:p>
            <w:r>
              <w:rPr>
                <w:sz w:val="18"/>
              </w:rPr>
              <w:t>Strong business plan; Korea Credit Guarantee Fund backup route</w:t>
            </w:r>
          </w:p>
        </w:tc>
      </w:tr>
      <w:tr>
        <w:tc>
          <w:tcPr>
            <w:tcW w:type="dxa" w:w="3324"/>
            <w:shd w:fill="f0f4f8" w:val="clear"/>
          </w:tcPr>
          <w:p>
            <w:r>
              <w:rPr>
                <w:sz w:val="18"/>
              </w:rPr>
              <w:t>D-8 visa delay</w:t>
            </w:r>
          </w:p>
        </w:tc>
        <w:tc>
          <w:tcPr>
            <w:tcW w:type="dxa" w:w="3324"/>
            <w:shd w:fill="f0f4f8" w:val="clear"/>
          </w:tcPr>
          <w:p>
            <w:r>
              <w:rPr>
                <w:sz w:val="18"/>
              </w:rPr>
              <w:t>Low</w:t>
            </w:r>
          </w:p>
        </w:tc>
        <w:tc>
          <w:tcPr>
            <w:tcW w:type="dxa" w:w="3324"/>
            <w:shd w:fill="f0f4f8" w:val="clear"/>
          </w:tcPr>
          <w:p>
            <w:r>
              <w:rPr>
                <w:sz w:val="18"/>
              </w:rPr>
              <w:t>Early application; 5–10 business days typical processing</w:t>
            </w:r>
          </w:p>
        </w:tc>
      </w:tr>
      <w:tr>
        <w:tc>
          <w:tcPr>
            <w:tcW w:type="dxa" w:w="3324"/>
          </w:tcPr>
          <w:p>
            <w:r>
              <w:rPr>
                <w:sz w:val="18"/>
              </w:rPr>
              <w:t>FX fluctuation (KRW/USD)</w:t>
            </w:r>
          </w:p>
        </w:tc>
        <w:tc>
          <w:tcPr>
            <w:tcW w:type="dxa" w:w="3324"/>
          </w:tcPr>
          <w:p>
            <w:r>
              <w:rPr>
                <w:sz w:val="18"/>
              </w:rPr>
              <w:t>Low</w:t>
            </w:r>
          </w:p>
        </w:tc>
        <w:tc>
          <w:tcPr>
            <w:tcW w:type="dxa" w:w="3324"/>
          </w:tcPr>
          <w:p>
            <w:r>
              <w:rPr>
                <w:sz w:val="18"/>
              </w:rPr>
              <w:t>Revenue in USD, costs split — natural hedge</w:t>
            </w:r>
          </w:p>
        </w:tc>
      </w:tr>
      <w:tr>
        <w:tc>
          <w:tcPr>
            <w:tcW w:type="dxa" w:w="3324"/>
            <w:shd w:fill="f0f4f8" w:val="clear"/>
          </w:tcPr>
          <w:p>
            <w:r>
              <w:rPr>
                <w:sz w:val="18"/>
              </w:rPr>
              <w:t>Slow Season 1 adoption</w:t>
            </w:r>
          </w:p>
        </w:tc>
        <w:tc>
          <w:tcPr>
            <w:tcW w:type="dxa" w:w="3324"/>
            <w:shd w:fill="f0f4f8" w:val="clear"/>
          </w:tcPr>
          <w:p>
            <w:r>
              <w:rPr>
                <w:sz w:val="18"/>
              </w:rPr>
              <w:t>Medium</w:t>
            </w:r>
          </w:p>
        </w:tc>
        <w:tc>
          <w:tcPr>
            <w:tcW w:type="dxa" w:w="3324"/>
            <w:shd w:fill="f0f4f8" w:val="clear"/>
          </w:tcPr>
          <w:p>
            <w:r>
              <w:rPr>
                <w:sz w:val="18"/>
              </w:rPr>
              <w:t>Conservative targets; 5 groups = breakeven</w:t>
            </w:r>
          </w:p>
        </w:tc>
      </w:tr>
      <w:tr>
        <w:tc>
          <w:tcPr>
            <w:tcW w:type="dxa" w:w="3324"/>
          </w:tcPr>
          <w:p>
            <w:r>
              <w:rPr>
                <w:sz w:val="18"/>
              </w:rPr>
              <w:t>US tax compliance penalties</w:t>
            </w:r>
          </w:p>
        </w:tc>
        <w:tc>
          <w:tcPr>
            <w:tcW w:type="dxa" w:w="3324"/>
          </w:tcPr>
          <w:p>
            <w:r>
              <w:rPr>
                <w:sz w:val="18"/>
              </w:rPr>
              <w:t>High</w:t>
            </w:r>
          </w:p>
        </w:tc>
        <w:tc>
          <w:tcPr>
            <w:tcW w:type="dxa" w:w="3324"/>
          </w:tcPr>
          <w:p>
            <w:r>
              <w:rPr>
                <w:sz w:val="18"/>
              </w:rPr>
              <w:t>Cross-border CPA engaged pre-investment; Form 5471 filed annually</w:t>
            </w:r>
          </w:p>
        </w:tc>
      </w:tr>
      <w:tr>
        <w:tc>
          <w:tcPr>
            <w:tcW w:type="dxa" w:w="3324"/>
            <w:shd w:fill="f0f4f8" w:val="clear"/>
          </w:tcPr>
          <w:p>
            <w:r>
              <w:rPr>
                <w:sz w:val="18"/>
              </w:rPr>
              <w:t>PFIC classification</w:t>
            </w:r>
          </w:p>
        </w:tc>
        <w:tc>
          <w:tcPr>
            <w:tcW w:type="dxa" w:w="3324"/>
            <w:shd w:fill="f0f4f8" w:val="clear"/>
          </w:tcPr>
          <w:p>
            <w:r>
              <w:rPr>
                <w:sz w:val="18"/>
              </w:rPr>
              <w:t>Low</w:t>
            </w:r>
          </w:p>
        </w:tc>
        <w:tc>
          <w:tcPr>
            <w:tcW w:type="dxa" w:w="3324"/>
            <w:shd w:fill="f0f4f8" w:val="clear"/>
          </w:tcPr>
          <w:p>
            <w:r>
              <w:rPr>
                <w:sz w:val="18"/>
              </w:rPr>
              <w:t>Active operating business; CPA opinion letter secured</w:t>
            </w:r>
          </w:p>
        </w:tc>
      </w:tr>
    </w:tbl>
    <w:p/>
    <w:p>
      <w:r>
        <w:br/>
        <w:t>---</w:t>
        <w:br/>
        <w:t>This business proposal synthesizes the latest corporate establishment plans as of June 11, 2026. All figures are based on the Tourism Promotion Act and its Enforcement Rules as currently in effect.</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