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9948" w14:textId="332E67C2" w:rsidR="009F3A86" w:rsidRPr="009F3A86" w:rsidRDefault="009F3A86" w:rsidP="009F3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findings from the data</w:t>
      </w:r>
    </w:p>
    <w:p w14:paraId="37CB5578" w14:textId="77777777" w:rsidR="009F3A86" w:rsidRPr="009F3A86" w:rsidRDefault="009F3A86" w:rsidP="009F3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continuity / reliability (important for interpretation)</w:t>
      </w:r>
    </w:p>
    <w:p w14:paraId="0E9AAF3E" w14:textId="77777777" w:rsidR="009F3A86" w:rsidRPr="009F3A86" w:rsidRDefault="009F3A86" w:rsidP="009F3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1,217 recorded hours out of 1,464 expected (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~83%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), with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247 missing hours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19E69" w14:textId="77777777" w:rsidR="009F3A86" w:rsidRPr="009F3A86" w:rsidRDefault="009F3A86" w:rsidP="009F3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Low-confidence hours: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hours had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low sample counts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>cnt</w:t>
      </w:r>
      <w:proofErr w:type="spellEnd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&lt; 30), so single-hour “spikes” in those periods should be interpreted cautiously.</w:t>
      </w:r>
    </w:p>
    <w:p w14:paraId="5298704D" w14:textId="633F2EB9" w:rsidR="009F3A86" w:rsidRPr="009F3A86" w:rsidRDefault="009F3A86" w:rsidP="009F3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Several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gaps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occur overnight and in late June, consistent with the patient being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range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, the device being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, or connectivity interruptions.</w:t>
      </w:r>
    </w:p>
    <w:p w14:paraId="08A946C0" w14:textId="09F06227" w:rsidR="009F3A86" w:rsidRPr="009F3A86" w:rsidRDefault="009F3A86" w:rsidP="009F3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Heart rate (HR) – trends and notable episodes</w:t>
      </w:r>
    </w:p>
    <w:p w14:paraId="610BFA41" w14:textId="77777777" w:rsidR="009F3A86" w:rsidRPr="009F3A86" w:rsidRDefault="009F3A86" w:rsidP="009F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HR level (hourly averages):</w:t>
      </w:r>
    </w:p>
    <w:p w14:paraId="238C8CE5" w14:textId="77777777" w:rsidR="009F3A86" w:rsidRPr="009F3A86" w:rsidRDefault="009F3A86" w:rsidP="009F3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Mean hourly average HR ≈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62 bpm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(low-normal range for many adults, depending on baseline and meds).</w:t>
      </w:r>
    </w:p>
    <w:p w14:paraId="1A93A33D" w14:textId="33226794" w:rsidR="009F3A86" w:rsidRPr="009F3A86" w:rsidRDefault="009F3A86" w:rsidP="009F3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The distribution shows most hours clustered in the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50s–70s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, with occasional excursions.</w:t>
      </w:r>
    </w:p>
    <w:p w14:paraId="2CEA1AC7" w14:textId="77777777" w:rsidR="009F3A86" w:rsidRPr="009F3A86" w:rsidRDefault="009F3A86" w:rsidP="009F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Bradycardia patterns (most clinically notable):</w:t>
      </w:r>
    </w:p>
    <w:p w14:paraId="2C11FFF0" w14:textId="77777777" w:rsidR="009F3A86" w:rsidRPr="009F3A86" w:rsidRDefault="009F3A86" w:rsidP="009F3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>Hours</w:t>
      </w:r>
      <w:proofErr w:type="gramEnd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meeting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HR &lt; 50 bpm: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</w:p>
    <w:p w14:paraId="49946424" w14:textId="77777777" w:rsidR="009F3A86" w:rsidRPr="009F3A86" w:rsidRDefault="009F3A86" w:rsidP="009F3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>Hours</w:t>
      </w:r>
      <w:proofErr w:type="gramEnd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meeting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HR &lt; 45 bpm: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</w:t>
      </w:r>
    </w:p>
    <w:p w14:paraId="5CD29DA1" w14:textId="77777777" w:rsidR="009F3A86" w:rsidRPr="009F3A86" w:rsidRDefault="009F3A86" w:rsidP="009F3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A prominent bradycardic cluster occurred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23–24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F6208D" w14:textId="77777777" w:rsidR="009F3A86" w:rsidRPr="009F3A86" w:rsidRDefault="009F3A86" w:rsidP="009F3A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23 21:00 → June 24 05:00 (9 hours)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HR down to ~40 bpm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hourly avg HR as low as ~41 bpm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B8CBF" w14:textId="77777777" w:rsidR="009F3A86" w:rsidRPr="009F3A86" w:rsidRDefault="009F3A86" w:rsidP="009F3A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This is the kind of period a clinician would typically correlate with:</w:t>
      </w:r>
    </w:p>
    <w:p w14:paraId="1C637F30" w14:textId="77777777" w:rsidR="009F3A86" w:rsidRPr="009F3A86" w:rsidRDefault="009F3A86" w:rsidP="009F3A8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sleep vs.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pathologic bradyarrhythmia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(sinus node dysfunction, AV block),</w:t>
      </w:r>
    </w:p>
    <w:p w14:paraId="30131B65" w14:textId="77777777" w:rsidR="009F3A86" w:rsidRPr="009F3A86" w:rsidRDefault="009F3A86" w:rsidP="009F3A8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beta-blocker / antiarrhythmic effect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1AB7112D" w14:textId="77C7E05B" w:rsidR="009F3A86" w:rsidRPr="009F3A86" w:rsidRDefault="009F3A86" w:rsidP="009F3A8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hypotension/symptoms (near-syncope, fatigue, dizziness) if known.</w:t>
      </w:r>
    </w:p>
    <w:p w14:paraId="7C1AA7E3" w14:textId="77777777" w:rsidR="009F3A86" w:rsidRPr="009F3A86" w:rsidRDefault="009F3A86" w:rsidP="009F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Tachycardia pattern:</w:t>
      </w:r>
    </w:p>
    <w:p w14:paraId="25A7A6AD" w14:textId="77777777" w:rsidR="009F3A86" w:rsidRPr="009F3A86" w:rsidRDefault="009F3A86" w:rsidP="009F3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>Hours</w:t>
      </w:r>
      <w:proofErr w:type="gramEnd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meeting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HR &gt; 100 bpm: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</w:p>
    <w:p w14:paraId="2BB21463" w14:textId="77777777" w:rsidR="009F3A86" w:rsidRPr="009F3A86" w:rsidRDefault="009F3A86" w:rsidP="009F3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A short tachycardic cluster occurred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27 20:00 → June 28 02:00 (7 hours)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C4F620" w14:textId="77777777" w:rsidR="009F3A86" w:rsidRPr="009F3A86" w:rsidRDefault="009F3A86" w:rsidP="009F3A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Hourly avg HR peaked around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~104 bpm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, max HR around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~109 bpm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FE23B" w14:textId="704A3662" w:rsidR="009F3A86" w:rsidRPr="009F3A86" w:rsidRDefault="009F3A86" w:rsidP="009F3A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Clinically, this pattern often prompts correlation with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pain, infection, dehydration, anemia, volume overload, anxiety, or atrial arrhythmia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, depending on context.</w:t>
      </w:r>
    </w:p>
    <w:p w14:paraId="36715051" w14:textId="6A153EBE" w:rsidR="009F3A86" w:rsidRPr="009F3A86" w:rsidRDefault="009F3A86" w:rsidP="009F3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Respiratory rate (RR) – trends and notable episodes</w:t>
      </w:r>
    </w:p>
    <w:p w14:paraId="34230CD1" w14:textId="77777777" w:rsidR="009F3A86" w:rsidRPr="009F3A86" w:rsidRDefault="009F3A86" w:rsidP="009F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RR level (hourly averages):</w:t>
      </w:r>
    </w:p>
    <w:p w14:paraId="3FAF7C27" w14:textId="77777777" w:rsidR="009F3A86" w:rsidRPr="009F3A86" w:rsidRDefault="009F3A86" w:rsidP="009F3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Mean hourly average RR ≈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 breaths/min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, which is generally within typical adult ranges.</w:t>
      </w:r>
    </w:p>
    <w:p w14:paraId="487BBCB6" w14:textId="4539DC2B" w:rsidR="009F3A86" w:rsidRPr="009F3A86" w:rsidRDefault="009F3A86" w:rsidP="009F3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A small number of sustained high-average hours occur.</w:t>
      </w:r>
    </w:p>
    <w:p w14:paraId="4E037300" w14:textId="77777777" w:rsidR="009F3A86" w:rsidRPr="009F3A86" w:rsidRDefault="009F3A86" w:rsidP="009F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Tachypnea flags:</w:t>
      </w:r>
    </w:p>
    <w:p w14:paraId="755F9B84" w14:textId="77777777" w:rsidR="009F3A86" w:rsidRPr="009F3A86" w:rsidRDefault="009F3A86" w:rsidP="009F3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>Hours</w:t>
      </w:r>
      <w:proofErr w:type="gramEnd"/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meeting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RR &gt; 24: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</w:p>
    <w:p w14:paraId="358A3285" w14:textId="354CFA35" w:rsidR="009F3A86" w:rsidRPr="009F3A86" w:rsidRDefault="009F3A86" w:rsidP="009F3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A notable cluster occurred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24 00:00 → June 24 09:00 (10 hours)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with elevated average RR.</w:t>
      </w:r>
    </w:p>
    <w:p w14:paraId="11C0F95A" w14:textId="77777777" w:rsidR="009F3A86" w:rsidRPr="009F3A86" w:rsidRDefault="009F3A86" w:rsidP="009F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RR “spikes” (max RR):</w:t>
      </w:r>
    </w:p>
    <w:p w14:paraId="332AADCA" w14:textId="77777777" w:rsidR="009F3A86" w:rsidRPr="009F3A86" w:rsidRDefault="009F3A86" w:rsidP="009F3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Hours meeting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RR &gt; 30: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</w:t>
      </w:r>
    </w:p>
    <w:p w14:paraId="1FB749D9" w14:textId="465A5937" w:rsidR="009F3A86" w:rsidRPr="009F3A86" w:rsidRDefault="009F3A86" w:rsidP="009F3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These can represent brief bursts of rapid breathing, but in many sensor systems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values are more sensitive to motion/artifact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than averages. In the report, I treat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RR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as the more clinically stable signal and use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RR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as a “review” indicator rather than a stand-alone alarm.</w:t>
      </w:r>
    </w:p>
    <w:p w14:paraId="645A9B0D" w14:textId="131D675A" w:rsidR="009F3A86" w:rsidRPr="009F3A86" w:rsidRDefault="009F3A86" w:rsidP="009F3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Co-occurrence that may matter clinically</w:t>
      </w:r>
    </w:p>
    <w:p w14:paraId="7B5F3B4D" w14:textId="6A12AF66" w:rsidR="009F3A86" w:rsidRPr="009F3A86" w:rsidRDefault="009F3A86" w:rsidP="009F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During the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23–24 bradycardic window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, RR also showed elevation (avg RR up to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~29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and max RR up to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~40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). Bradycardia + tachypnea together can be benign in some contexts, but it’s a combination that usually deserves clinical correlation (meds, sleep state, oxygenation, infection/CHF, etc.).</w:t>
      </w:r>
    </w:p>
    <w:p w14:paraId="0F72FC2D" w14:textId="77777777" w:rsidR="009F3A86" w:rsidRPr="009F3A86" w:rsidRDefault="009F3A86" w:rsidP="009F3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What’s in the PDF report</w:t>
      </w:r>
    </w:p>
    <w:p w14:paraId="494116D9" w14:textId="77777777" w:rsidR="009F3A86" w:rsidRPr="009F3A86" w:rsidRDefault="009F3A86" w:rsidP="009F3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A concise “clinical trend review” narrative</w:t>
      </w:r>
    </w:p>
    <w:p w14:paraId="61166E21" w14:textId="77777777" w:rsidR="009F3A86" w:rsidRPr="009F3A86" w:rsidRDefault="009F3A86" w:rsidP="009F3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statistics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(mean/median/percentiles/min/max)</w:t>
      </w:r>
    </w:p>
    <w:p w14:paraId="348BC606" w14:textId="77777777" w:rsidR="009F3A86" w:rsidRPr="009F3A86" w:rsidRDefault="009F3A86" w:rsidP="009F3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 counts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using adult-oriented thresholds (clearly labeled as baseline-dependent)</w:t>
      </w:r>
    </w:p>
    <w:p w14:paraId="7138AC71" w14:textId="77777777" w:rsidR="009F3A86" w:rsidRPr="009F3A86" w:rsidRDefault="009F3A86" w:rsidP="009F3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Notable episode table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with start/end/duration</w:t>
      </w:r>
    </w:p>
    <w:p w14:paraId="263C6A35" w14:textId="77777777" w:rsidR="009F3A86" w:rsidRPr="009F3A86" w:rsidRDefault="009F3A86" w:rsidP="009F3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Four easier-to-read graphs:</w:t>
      </w:r>
    </w:p>
    <w:p w14:paraId="76C3302B" w14:textId="77777777" w:rsidR="009F3A86" w:rsidRPr="009F3A86" w:rsidRDefault="009F3A86" w:rsidP="009F3A8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HR over time (avg + min/max lines + rolling means)</w:t>
      </w:r>
    </w:p>
    <w:p w14:paraId="391BD550" w14:textId="77777777" w:rsidR="009F3A86" w:rsidRPr="009F3A86" w:rsidRDefault="009F3A86" w:rsidP="009F3A8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RR over time (avg + min/max lines + rolling means)</w:t>
      </w:r>
    </w:p>
    <w:p w14:paraId="7BD322EB" w14:textId="77777777" w:rsidR="009F3A86" w:rsidRPr="009F3A86" w:rsidRDefault="009F3A86" w:rsidP="009F3A8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Diurnal pattern (mean HR/RR by hour-of-day)</w:t>
      </w:r>
    </w:p>
    <w:p w14:paraId="1A462ADD" w14:textId="75D7938A" w:rsidR="009F3A86" w:rsidRPr="009F3A86" w:rsidRDefault="009F3A86" w:rsidP="009F3A8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>Distributions (histograms)</w:t>
      </w:r>
    </w:p>
    <w:p w14:paraId="10E7126A" w14:textId="77777777" w:rsidR="009F3A86" w:rsidRPr="009F3A86" w:rsidRDefault="009F3A86" w:rsidP="009F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generate a </w:t>
      </w:r>
      <w:r w:rsidRPr="009F3A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“nurse action list”</w:t>
      </w:r>
      <w:r w:rsidRPr="009F3A86">
        <w:rPr>
          <w:rFonts w:ascii="Times New Roman" w:eastAsia="Times New Roman" w:hAnsi="Times New Roman" w:cs="Times New Roman"/>
          <w:kern w:val="0"/>
          <w14:ligatures w14:val="none"/>
        </w:rPr>
        <w:t xml:space="preserve"> version (1 page) that turns the flagged windows into a shift-friendly review queue (date/time blocks + “what to check” + “who to notify”).</w:t>
      </w:r>
    </w:p>
    <w:p w14:paraId="650714AD" w14:textId="77777777" w:rsidR="009F3A86" w:rsidRDefault="009F3A86"/>
    <w:sectPr w:rsidR="009F3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004"/>
    <w:multiLevelType w:val="multilevel"/>
    <w:tmpl w:val="1BC4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5004"/>
    <w:multiLevelType w:val="multilevel"/>
    <w:tmpl w:val="CDB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63869"/>
    <w:multiLevelType w:val="multilevel"/>
    <w:tmpl w:val="B6CC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E06F1"/>
    <w:multiLevelType w:val="multilevel"/>
    <w:tmpl w:val="FC5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36027"/>
    <w:multiLevelType w:val="multilevel"/>
    <w:tmpl w:val="25AC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74836"/>
    <w:multiLevelType w:val="multilevel"/>
    <w:tmpl w:val="1D44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834C2"/>
    <w:multiLevelType w:val="multilevel"/>
    <w:tmpl w:val="6D0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03FC1"/>
    <w:multiLevelType w:val="multilevel"/>
    <w:tmpl w:val="3BA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95149">
    <w:abstractNumId w:val="1"/>
  </w:num>
  <w:num w:numId="2" w16cid:durableId="505096692">
    <w:abstractNumId w:val="7"/>
  </w:num>
  <w:num w:numId="3" w16cid:durableId="1030491683">
    <w:abstractNumId w:val="4"/>
  </w:num>
  <w:num w:numId="4" w16cid:durableId="2034307522">
    <w:abstractNumId w:val="0"/>
  </w:num>
  <w:num w:numId="5" w16cid:durableId="1399130300">
    <w:abstractNumId w:val="6"/>
  </w:num>
  <w:num w:numId="6" w16cid:durableId="1031683716">
    <w:abstractNumId w:val="3"/>
  </w:num>
  <w:num w:numId="7" w16cid:durableId="1024985153">
    <w:abstractNumId w:val="2"/>
  </w:num>
  <w:num w:numId="8" w16cid:durableId="1303845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86"/>
    <w:rsid w:val="006C0BBE"/>
    <w:rsid w:val="009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7599D"/>
  <w15:chartTrackingRefBased/>
  <w15:docId w15:val="{C4C89B2D-EAED-694B-8229-FE32BA9B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A8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F3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F3A86"/>
  </w:style>
  <w:style w:type="paragraph" w:customStyle="1" w:styleId="p2">
    <w:name w:val="p2"/>
    <w:basedOn w:val="Normal"/>
    <w:rsid w:val="009F3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F3A86"/>
  </w:style>
  <w:style w:type="paragraph" w:customStyle="1" w:styleId="p3">
    <w:name w:val="p3"/>
    <w:basedOn w:val="Normal"/>
    <w:rsid w:val="009F3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F3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Sajol Ghoshal</dc:creator>
  <cp:keywords/>
  <dc:description/>
  <cp:lastModifiedBy>Sajol Ghoshal</cp:lastModifiedBy>
  <cp:revision>1</cp:revision>
  <dcterms:created xsi:type="dcterms:W3CDTF">2026-02-01T01:26:00Z</dcterms:created>
  <dcterms:modified xsi:type="dcterms:W3CDTF">2026-02-01T01:27:00Z</dcterms:modified>
</cp:coreProperties>
</file>