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Futures Project 2 One Week Team Plan</w:t>
      </w:r>
    </w:p>
    <w:p>
      <w:pPr>
        <w:spacing w:after="280"/>
      </w:pPr>
      <w:r>
        <w:rPr>
          <w:b/>
          <w:color w:val="0B7785"/>
          <w:sz w:val="26"/>
        </w:rPr>
        <w:t>AI Enabled Learning Evaluation Reporting</w:t>
      </w:r>
    </w:p>
    <w:p>
      <w:r>
        <w:rPr>
          <w:b/>
        </w:rPr>
        <w:t xml:space="preserve">Purpose. </w:t>
      </w:r>
      <w:r>
        <w:t>This plan turns the current tested prototype into a client-validated minimum viable product over one focused week. The team will validate the Qualtrics data structure, report content, evidence grounding, privacy controls, human review workflow and Microsoft Copilot approach before proposing larger integrations.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232"/>
        <w:gridCol w:w="8208"/>
      </w:tblGrid>
      <w:tr>
        <w:tc>
          <w:tcPr>
            <w:tcW w:type="dxa" w:w="5040"/>
            <w:vAlign w:val="center"/>
            <w:tcMar>
              <w:top w:w="110" w:type="dxa"/>
              <w:start w:w="120" w:type="dxa"/>
              <w:bottom w:w="110" w:type="dxa"/>
              <w:end w:w="120" w:type="dxa"/>
            </w:tcMar>
            <w:shd w:fill="17365D"/>
          </w:tcPr>
          <w:p>
            <w:pPr>
              <w:spacing w:after="0" w:line="252" w:lineRule="auto"/>
            </w:pPr>
            <w:r/>
            <w:r>
              <w:rPr>
                <w:rFonts w:ascii="Aptos" w:hAnsi="Aptos"/>
                <w:b/>
                <w:color w:val="FFFFFF"/>
                <w:sz w:val="18"/>
              </w:rPr>
              <w:t>Current position</w:t>
            </w:r>
          </w:p>
        </w:tc>
        <w:tc>
          <w:tcPr>
            <w:tcW w:type="dxa" w:w="5040"/>
            <w:vAlign w:val="center"/>
            <w:tcMar>
              <w:top w:w="110" w:type="dxa"/>
              <w:start w:w="120" w:type="dxa"/>
              <w:bottom w:w="110" w:type="dxa"/>
              <w:end w:w="120" w:type="dxa"/>
            </w:tcMar>
          </w:tcPr>
          <w:p>
            <w:pPr>
              <w:spacing w:after="0" w:line="252" w:lineRule="auto"/>
            </w:pPr>
            <w:r/>
            <w:r>
              <w:rPr>
                <w:rFonts w:ascii="Aptos" w:hAnsi="Aptos"/>
                <w:b w:val="0"/>
                <w:color w:val="000000"/>
                <w:sz w:val="18"/>
              </w:rPr>
              <w:t>57 automated tests pass. Synthetic CSV import, metrics, themes, audience reports, human editing, feedback revisions, approval and export are working.</w:t>
            </w:r>
          </w:p>
        </w:tc>
      </w:tr>
      <w:tr>
        <w:tc>
          <w:tcPr>
            <w:tcW w:type="dxa" w:w="5040"/>
            <w:vAlign w:val="center"/>
            <w:tcMar>
              <w:top w:w="110" w:type="dxa"/>
              <w:start w:w="120" w:type="dxa"/>
              <w:bottom w:w="110" w:type="dxa"/>
              <w:end w:w="120" w:type="dxa"/>
            </w:tcMar>
            <w:shd w:fill="0B7785"/>
          </w:tcPr>
          <w:p>
            <w:pPr>
              <w:spacing w:after="0" w:line="252" w:lineRule="auto"/>
            </w:pPr>
            <w:r/>
            <w:r>
              <w:rPr>
                <w:rFonts w:ascii="Aptos" w:hAnsi="Aptos"/>
                <w:b/>
                <w:color w:val="FFFFFF"/>
                <w:sz w:val="18"/>
              </w:rPr>
              <w:t>Week outcome</w:t>
            </w:r>
          </w:p>
        </w:tc>
        <w:tc>
          <w:tcPr>
            <w:tcW w:type="dxa" w:w="5040"/>
            <w:vAlign w:val="center"/>
            <w:tcMar>
              <w:top w:w="110" w:type="dxa"/>
              <w:start w:w="120" w:type="dxa"/>
              <w:bottom w:w="110" w:type="dxa"/>
              <w:end w:w="120" w:type="dxa"/>
            </w:tcMar>
          </w:tcPr>
          <w:p>
            <w:pPr>
              <w:spacing w:after="0" w:line="252" w:lineRule="auto"/>
            </w:pPr>
            <w:r/>
            <w:r>
              <w:rPr>
                <w:rFonts w:ascii="Aptos" w:hAnsi="Aptos"/>
                <w:b w:val="0"/>
                <w:color w:val="000000"/>
                <w:sz w:val="18"/>
              </w:rPr>
              <w:t>A client-ready demonstration using representative data, with traceable report claims, verified privacy controls, usability evidence and documented decisions about Qualtrics and Copilot access.</w:t>
            </w:r>
          </w:p>
        </w:tc>
      </w:tr>
    </w:tbl>
    <w:p>
      <w:pPr>
        <w:pStyle w:val="Heading1"/>
      </w:pPr>
      <w:r>
        <w:t>End of week demonstration</w:t>
      </w:r>
    </w:p>
    <w:p>
      <w:r>
        <w:t>The team should be able to demonstrate the following controlled workflow:</w:t>
      </w:r>
    </w:p>
    <w:p>
      <w:pPr>
        <w:jc w:val="center"/>
      </w:pPr>
      <w:r>
        <w:rPr>
          <w:b/>
          <w:color w:val="17365D"/>
        </w:rPr>
        <w:t>Import data  &gt;  Validate and mask  &gt;  Analyse  &gt;  Generate reports  &gt;  Human or Copilot assisted revision  &gt;  Verify evidence  &gt;  Approve and export</w:t>
      </w:r>
    </w:p>
    <w:p>
      <w:pPr>
        <w:pStyle w:val="Heading1"/>
      </w:pPr>
      <w:r>
        <w:t>Scope principles</w:t>
      </w:r>
    </w:p>
    <w:p>
      <w:pPr>
        <w:pStyle w:val="ListBullet"/>
        <w:spacing w:after="80"/>
      </w:pPr>
      <w:r>
        <w:t>Validate the current desktop prototype before attempting a major architecture rewrite.</w:t>
      </w:r>
    </w:p>
    <w:p>
      <w:pPr>
        <w:pStyle w:val="ListBullet"/>
        <w:spacing w:after="80"/>
      </w:pPr>
      <w:r>
        <w:t>Use synthetic data until Learning Futures approves representative or anonymised survey data.</w:t>
      </w:r>
    </w:p>
    <w:p>
      <w:pPr>
        <w:pStyle w:val="ListBullet"/>
        <w:spacing w:after="80"/>
      </w:pPr>
      <w:r>
        <w:t>Describe the Copilot capability accurately: the application prepares a masked prompt and opens Copilot; it is not yet a direct Copilot Studio agent.</w:t>
      </w:r>
    </w:p>
    <w:p>
      <w:pPr>
        <w:pStyle w:val="ListBullet"/>
        <w:spacing w:after="80"/>
      </w:pPr>
      <w:r>
        <w:t>Keep human approval mandatory for every report intended for use or sharing.</w:t>
      </w:r>
    </w:p>
    <w:p>
      <w:r>
        <w:br w:type="page"/>
      </w:r>
    </w:p>
    <w:p>
      <w:pPr>
        <w:pStyle w:val="Heading1"/>
      </w:pPr>
      <w:r>
        <w:t>Daily delivery plan</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720"/>
        <w:gridCol w:w="1584"/>
        <w:gridCol w:w="1584"/>
        <w:gridCol w:w="4104"/>
        <w:gridCol w:w="1800"/>
      </w:tblGrid>
      <w:tr>
        <w:tc>
          <w:tcPr>
            <w:tcW w:type="dxa" w:w="2016"/>
            <w:vAlign w:val="center"/>
            <w:tcMar>
              <w:top w:w="110" w:type="dxa"/>
              <w:start w:w="120" w:type="dxa"/>
              <w:bottom w:w="110" w:type="dxa"/>
              <w:end w:w="120" w:type="dxa"/>
            </w:tcMar>
            <w:shd w:fill="17365D"/>
          </w:tcPr>
          <w:p>
            <w:pPr>
              <w:spacing w:after="0" w:line="252" w:lineRule="auto"/>
            </w:pPr>
            <w:r/>
            <w:r>
              <w:rPr>
                <w:rFonts w:ascii="Aptos" w:hAnsi="Aptos"/>
                <w:b/>
                <w:color w:val="FFFFFF"/>
                <w:sz w:val="16"/>
              </w:rPr>
              <w:t>Day</w:t>
            </w:r>
          </w:p>
        </w:tc>
        <w:tc>
          <w:tcPr>
            <w:tcW w:type="dxa" w:w="2016"/>
            <w:vAlign w:val="center"/>
            <w:tcMar>
              <w:top w:w="110" w:type="dxa"/>
              <w:start w:w="120" w:type="dxa"/>
              <w:bottom w:w="110" w:type="dxa"/>
              <w:end w:w="120" w:type="dxa"/>
            </w:tcMar>
            <w:shd w:fill="17365D"/>
          </w:tcPr>
          <w:p>
            <w:pPr>
              <w:spacing w:after="0" w:line="252" w:lineRule="auto"/>
            </w:pPr>
            <w:r/>
            <w:r>
              <w:rPr>
                <w:rFonts w:ascii="Aptos" w:hAnsi="Aptos"/>
                <w:b/>
                <w:color w:val="FFFFFF"/>
                <w:sz w:val="16"/>
              </w:rPr>
              <w:t>Focus</w:t>
            </w:r>
          </w:p>
        </w:tc>
        <w:tc>
          <w:tcPr>
            <w:tcW w:type="dxa" w:w="2016"/>
            <w:vAlign w:val="center"/>
            <w:tcMar>
              <w:top w:w="110" w:type="dxa"/>
              <w:start w:w="120" w:type="dxa"/>
              <w:bottom w:w="110" w:type="dxa"/>
              <w:end w:w="120" w:type="dxa"/>
            </w:tcMar>
            <w:shd w:fill="17365D"/>
          </w:tcPr>
          <w:p>
            <w:pPr>
              <w:spacing w:after="0" w:line="252" w:lineRule="auto"/>
            </w:pPr>
            <w:r/>
            <w:r>
              <w:rPr>
                <w:rFonts w:ascii="Aptos" w:hAnsi="Aptos"/>
                <w:b/>
                <w:color w:val="FFFFFF"/>
                <w:sz w:val="16"/>
              </w:rPr>
              <w:t>Owner</w:t>
            </w:r>
          </w:p>
        </w:tc>
        <w:tc>
          <w:tcPr>
            <w:tcW w:type="dxa" w:w="2016"/>
            <w:vAlign w:val="center"/>
            <w:tcMar>
              <w:top w:w="110" w:type="dxa"/>
              <w:start w:w="120" w:type="dxa"/>
              <w:bottom w:w="110" w:type="dxa"/>
              <w:end w:w="120" w:type="dxa"/>
            </w:tcMar>
            <w:shd w:fill="17365D"/>
          </w:tcPr>
          <w:p>
            <w:pPr>
              <w:spacing w:after="0" w:line="252" w:lineRule="auto"/>
            </w:pPr>
            <w:r/>
            <w:r>
              <w:rPr>
                <w:rFonts w:ascii="Aptos" w:hAnsi="Aptos"/>
                <w:b/>
                <w:color w:val="FFFFFF"/>
                <w:sz w:val="16"/>
              </w:rPr>
              <w:t>Work</w:t>
            </w:r>
          </w:p>
        </w:tc>
        <w:tc>
          <w:tcPr>
            <w:tcW w:type="dxa" w:w="2016"/>
            <w:vAlign w:val="center"/>
            <w:tcMar>
              <w:top w:w="110" w:type="dxa"/>
              <w:start w:w="120" w:type="dxa"/>
              <w:bottom w:w="110" w:type="dxa"/>
              <w:end w:w="120" w:type="dxa"/>
            </w:tcMar>
            <w:shd w:fill="17365D"/>
          </w:tcPr>
          <w:p>
            <w:pPr>
              <w:spacing w:after="0" w:line="252" w:lineRule="auto"/>
            </w:pPr>
            <w:r/>
            <w:r>
              <w:rPr>
                <w:rFonts w:ascii="Aptos" w:hAnsi="Aptos"/>
                <w:b/>
                <w:color w:val="FFFFFF"/>
                <w:sz w:val="16"/>
              </w:rPr>
              <w:t>Exit evidence</w:t>
            </w:r>
          </w:p>
        </w:tc>
      </w:tr>
      <w:tr>
        <w:tc>
          <w:tcPr>
            <w:tcW w:type="dxa" w:w="720"/>
            <w:vAlign w:val="center"/>
            <w:tcMar>
              <w:top w:w="110" w:type="dxa"/>
              <w:start w:w="120" w:type="dxa"/>
              <w:bottom w:w="110" w:type="dxa"/>
              <w:end w:w="120" w:type="dxa"/>
            </w:tcMar>
          </w:tcPr>
          <w:p>
            <w:pPr>
              <w:spacing w:after="0" w:line="252" w:lineRule="auto"/>
            </w:pPr>
            <w:r/>
            <w:r>
              <w:rPr>
                <w:rFonts w:ascii="Aptos" w:hAnsi="Aptos"/>
                <w:b/>
                <w:color w:val="000000"/>
                <w:sz w:val="16"/>
              </w:rPr>
              <w:t>Day 1</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Confirm client requirements</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Whole team</w:t>
            </w:r>
          </w:p>
        </w:tc>
        <w:tc>
          <w:tcPr>
            <w:tcW w:type="dxa" w:w="4104"/>
            <w:vAlign w:val="center"/>
            <w:tcMar>
              <w:top w:w="110" w:type="dxa"/>
              <w:start w:w="120" w:type="dxa"/>
              <w:bottom w:w="110" w:type="dxa"/>
              <w:end w:w="120" w:type="dxa"/>
            </w:tcMar>
          </w:tcPr>
          <w:p>
            <w:pPr>
              <w:spacing w:after="0" w:line="252" w:lineRule="auto"/>
            </w:pPr>
            <w:r/>
            <w:r>
              <w:rPr>
                <w:rFonts w:ascii="Aptos" w:hAnsi="Aptos"/>
                <w:b w:val="0"/>
                <w:color w:val="000000"/>
                <w:sz w:val="16"/>
              </w:rPr>
              <w:t>Run the application together. Confirm the Qualtrics schema, priority measures, facilitator and client report differences, current report examples, privacy constraints, Copilot access and approval authority.</w:t>
            </w:r>
          </w:p>
        </w:tc>
        <w:tc>
          <w:tcPr>
            <w:tcW w:type="dxa" w:w="1800"/>
            <w:vAlign w:val="center"/>
            <w:tcMar>
              <w:top w:w="110" w:type="dxa"/>
              <w:start w:w="120" w:type="dxa"/>
              <w:bottom w:w="110" w:type="dxa"/>
              <w:end w:w="120" w:type="dxa"/>
            </w:tcMar>
          </w:tcPr>
          <w:p>
            <w:pPr>
              <w:spacing w:after="0" w:line="252" w:lineRule="auto"/>
            </w:pPr>
            <w:r/>
            <w:r>
              <w:rPr>
                <w:rFonts w:ascii="Aptos" w:hAnsi="Aptos"/>
                <w:b w:val="0"/>
                <w:color w:val="000000"/>
                <w:sz w:val="16"/>
              </w:rPr>
              <w:t>Agreed requirements checklist and client dependency log</w:t>
            </w:r>
          </w:p>
        </w:tc>
      </w:tr>
      <w:tr>
        <w:tc>
          <w:tcPr>
            <w:tcW w:type="dxa" w:w="720"/>
            <w:vAlign w:val="center"/>
            <w:tcMar>
              <w:top w:w="110" w:type="dxa"/>
              <w:start w:w="120" w:type="dxa"/>
              <w:bottom w:w="110" w:type="dxa"/>
              <w:end w:w="120" w:type="dxa"/>
            </w:tcMar>
            <w:shd w:fill="F6F8FB"/>
          </w:tcPr>
          <w:p>
            <w:pPr>
              <w:spacing w:after="0" w:line="252" w:lineRule="auto"/>
            </w:pPr>
            <w:r/>
            <w:r>
              <w:rPr>
                <w:rFonts w:ascii="Aptos" w:hAnsi="Aptos"/>
                <w:b/>
                <w:color w:val="000000"/>
                <w:sz w:val="16"/>
              </w:rPr>
              <w:t>Day 2</w:t>
            </w:r>
          </w:p>
        </w:tc>
        <w:tc>
          <w:tcPr>
            <w:tcW w:type="dxa" w:w="158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Validate data ingestion</w:t>
            </w:r>
          </w:p>
        </w:tc>
        <w:tc>
          <w:tcPr>
            <w:tcW w:type="dxa" w:w="158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Gopi; review by Heet</w:t>
            </w:r>
          </w:p>
        </w:tc>
        <w:tc>
          <w:tcPr>
            <w:tcW w:type="dxa" w:w="410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Compare the importer with an approved Qualtrics export. Define field mappings and test missing columns, invalid ratings, duplicates, blank comments, extra metadata and planted PII.</w:t>
            </w:r>
          </w:p>
        </w:tc>
        <w:tc>
          <w:tcPr>
            <w:tcW w:type="dxa" w:w="1800"/>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Three representative datasets with clear pass or error results</w:t>
            </w:r>
          </w:p>
        </w:tc>
      </w:tr>
      <w:tr>
        <w:tc>
          <w:tcPr>
            <w:tcW w:type="dxa" w:w="720"/>
            <w:vAlign w:val="center"/>
            <w:tcMar>
              <w:top w:w="110" w:type="dxa"/>
              <w:start w:w="120" w:type="dxa"/>
              <w:bottom w:w="110" w:type="dxa"/>
              <w:end w:w="120" w:type="dxa"/>
            </w:tcMar>
          </w:tcPr>
          <w:p>
            <w:pPr>
              <w:spacing w:after="0" w:line="252" w:lineRule="auto"/>
            </w:pPr>
            <w:r/>
            <w:r>
              <w:rPr>
                <w:rFonts w:ascii="Aptos" w:hAnsi="Aptos"/>
                <w:b/>
                <w:color w:val="000000"/>
                <w:sz w:val="16"/>
              </w:rPr>
              <w:t>Day 3</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Evaluate reports and grounding</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Zhongyi; review by Esrat</w:t>
            </w:r>
          </w:p>
        </w:tc>
        <w:tc>
          <w:tcPr>
            <w:tcW w:type="dxa" w:w="4104"/>
            <w:vAlign w:val="center"/>
            <w:tcMar>
              <w:top w:w="110" w:type="dxa"/>
              <w:start w:w="120" w:type="dxa"/>
              <w:bottom w:w="110" w:type="dxa"/>
              <w:end w:w="120" w:type="dxa"/>
            </w:tcMar>
          </w:tcPr>
          <w:p>
            <w:pPr>
              <w:spacing w:after="0" w:line="252" w:lineRule="auto"/>
            </w:pPr>
            <w:r/>
            <w:r>
              <w:rPr>
                <w:rFonts w:ascii="Aptos" w:hAnsi="Aptos"/>
                <w:b w:val="0"/>
                <w:color w:val="000000"/>
                <w:sz w:val="16"/>
              </w:rPr>
              <w:t>Trace report claims to metrics, themes or comments. Review summaries and recommendations for both audiences. Add insufficiency wording where evidence is weak.</w:t>
            </w:r>
          </w:p>
        </w:tc>
        <w:tc>
          <w:tcPr>
            <w:tcW w:type="dxa" w:w="1800"/>
            <w:vAlign w:val="center"/>
            <w:tcMar>
              <w:top w:w="110" w:type="dxa"/>
              <w:start w:w="120" w:type="dxa"/>
              <w:bottom w:w="110" w:type="dxa"/>
              <w:end w:w="120" w:type="dxa"/>
            </w:tcMar>
          </w:tcPr>
          <w:p>
            <w:pPr>
              <w:spacing w:after="0" w:line="252" w:lineRule="auto"/>
            </w:pPr>
            <w:r/>
            <w:r>
              <w:rPr>
                <w:rFonts w:ascii="Aptos" w:hAnsi="Aptos"/>
                <w:b w:val="0"/>
                <w:color w:val="000000"/>
                <w:sz w:val="16"/>
              </w:rPr>
              <w:t>Claim to evidence checklist with at least ten sampled claims</w:t>
            </w:r>
          </w:p>
        </w:tc>
      </w:tr>
      <w:tr>
        <w:tc>
          <w:tcPr>
            <w:tcW w:type="dxa" w:w="720"/>
            <w:vAlign w:val="center"/>
            <w:tcMar>
              <w:top w:w="110" w:type="dxa"/>
              <w:start w:w="120" w:type="dxa"/>
              <w:bottom w:w="110" w:type="dxa"/>
              <w:end w:w="120" w:type="dxa"/>
            </w:tcMar>
            <w:shd w:fill="F6F8FB"/>
          </w:tcPr>
          <w:p>
            <w:pPr>
              <w:spacing w:after="0" w:line="252" w:lineRule="auto"/>
            </w:pPr>
            <w:r/>
            <w:r>
              <w:rPr>
                <w:rFonts w:ascii="Aptos" w:hAnsi="Aptos"/>
                <w:b/>
                <w:color w:val="000000"/>
                <w:sz w:val="16"/>
              </w:rPr>
              <w:t>Day 4</w:t>
            </w:r>
          </w:p>
        </w:tc>
        <w:tc>
          <w:tcPr>
            <w:tcW w:type="dxa" w:w="158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Test human review and Copilot</w:t>
            </w:r>
          </w:p>
        </w:tc>
        <w:tc>
          <w:tcPr>
            <w:tcW w:type="dxa" w:w="158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Xinling; review by Heet</w:t>
            </w:r>
          </w:p>
        </w:tc>
        <w:tc>
          <w:tcPr>
            <w:tcW w:type="dxa" w:w="410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Test direct editing, preview refresh, section feedback, Copilot prompt creation, pasted replacement, preview, apply, reject, undo and approval reset. Observe at least two independent users.</w:t>
            </w:r>
          </w:p>
        </w:tc>
        <w:tc>
          <w:tcPr>
            <w:tcW w:type="dxa" w:w="1800"/>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Usability findings and corrected review journey</w:t>
            </w:r>
          </w:p>
        </w:tc>
      </w:tr>
      <w:tr>
        <w:tc>
          <w:tcPr>
            <w:tcW w:type="dxa" w:w="720"/>
            <w:vAlign w:val="center"/>
            <w:tcMar>
              <w:top w:w="110" w:type="dxa"/>
              <w:start w:w="120" w:type="dxa"/>
              <w:bottom w:w="110" w:type="dxa"/>
              <w:end w:w="120" w:type="dxa"/>
            </w:tcMar>
          </w:tcPr>
          <w:p>
            <w:pPr>
              <w:spacing w:after="0" w:line="252" w:lineRule="auto"/>
            </w:pPr>
            <w:r/>
            <w:r>
              <w:rPr>
                <w:rFonts w:ascii="Aptos" w:hAnsi="Aptos"/>
                <w:b/>
                <w:color w:val="000000"/>
                <w:sz w:val="16"/>
              </w:rPr>
              <w:t>Day 5</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Privacy and Responsible AI</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Esrat; review by Zhongyi</w:t>
            </w:r>
          </w:p>
        </w:tc>
        <w:tc>
          <w:tcPr>
            <w:tcW w:type="dxa" w:w="4104"/>
            <w:vAlign w:val="center"/>
            <w:tcMar>
              <w:top w:w="110" w:type="dxa"/>
              <w:start w:w="120" w:type="dxa"/>
              <w:bottom w:w="110" w:type="dxa"/>
              <w:end w:w="120" w:type="dxa"/>
            </w:tcMar>
          </w:tcPr>
          <w:p>
            <w:pPr>
              <w:spacing w:after="0" w:line="252" w:lineRule="auto"/>
            </w:pPr>
            <w:r/>
            <w:r>
              <w:rPr>
                <w:rFonts w:ascii="Aptos" w:hAnsi="Aptos"/>
                <w:b w:val="0"/>
                <w:color w:val="000000"/>
                <w:sz w:val="16"/>
              </w:rPr>
              <w:t>Test masking, logs, low-frequency concerns, contradictory comments and approval enforcement. Document the limits of pattern-based masking.</w:t>
            </w:r>
          </w:p>
        </w:tc>
        <w:tc>
          <w:tcPr>
            <w:tcW w:type="dxa" w:w="1800"/>
            <w:vAlign w:val="center"/>
            <w:tcMar>
              <w:top w:w="110" w:type="dxa"/>
              <w:start w:w="120" w:type="dxa"/>
              <w:bottom w:w="110" w:type="dxa"/>
              <w:end w:w="120" w:type="dxa"/>
            </w:tcMar>
          </w:tcPr>
          <w:p>
            <w:pPr>
              <w:spacing w:after="0" w:line="252" w:lineRule="auto"/>
            </w:pPr>
            <w:r/>
            <w:r>
              <w:rPr>
                <w:rFonts w:ascii="Aptos" w:hAnsi="Aptos"/>
                <w:b w:val="0"/>
                <w:color w:val="000000"/>
                <w:sz w:val="16"/>
              </w:rPr>
              <w:t>Privacy test record, risk notes and known limitations</w:t>
            </w:r>
          </w:p>
        </w:tc>
      </w:tr>
      <w:tr>
        <w:tc>
          <w:tcPr>
            <w:tcW w:type="dxa" w:w="720"/>
            <w:vAlign w:val="center"/>
            <w:tcMar>
              <w:top w:w="110" w:type="dxa"/>
              <w:start w:w="120" w:type="dxa"/>
              <w:bottom w:w="110" w:type="dxa"/>
              <w:end w:w="120" w:type="dxa"/>
            </w:tcMar>
            <w:shd w:fill="F6F8FB"/>
          </w:tcPr>
          <w:p>
            <w:pPr>
              <w:spacing w:after="0" w:line="252" w:lineRule="auto"/>
            </w:pPr>
            <w:r/>
            <w:r>
              <w:rPr>
                <w:rFonts w:ascii="Aptos" w:hAnsi="Aptos"/>
                <w:b/>
                <w:color w:val="000000"/>
                <w:sz w:val="16"/>
              </w:rPr>
              <w:t>Day 6</w:t>
            </w:r>
          </w:p>
        </w:tc>
        <w:tc>
          <w:tcPr>
            <w:tcW w:type="dxa" w:w="158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Integrate release candidate</w:t>
            </w:r>
          </w:p>
        </w:tc>
        <w:tc>
          <w:tcPr>
            <w:tcW w:type="dxa" w:w="158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Heet; support from team</w:t>
            </w:r>
          </w:p>
        </w:tc>
        <w:tc>
          <w:tcPr>
            <w:tcW w:type="dxa" w:w="4104"/>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Merge reviewed work, run the complete tests, install on another machine, generate both reports, open exports, update guides and prepare a synthetic fallback.</w:t>
            </w:r>
          </w:p>
        </w:tc>
        <w:tc>
          <w:tcPr>
            <w:tcW w:type="dxa" w:w="1800"/>
            <w:vAlign w:val="center"/>
            <w:tcMar>
              <w:top w:w="110" w:type="dxa"/>
              <w:start w:w="120" w:type="dxa"/>
              <w:bottom w:w="110" w:type="dxa"/>
              <w:end w:w="120" w:type="dxa"/>
            </w:tcMar>
            <w:shd w:fill="F6F8FB"/>
          </w:tcPr>
          <w:p>
            <w:pPr>
              <w:spacing w:after="0" w:line="252" w:lineRule="auto"/>
            </w:pPr>
            <w:r/>
            <w:r>
              <w:rPr>
                <w:rFonts w:ascii="Aptos" w:hAnsi="Aptos"/>
                <w:b w:val="0"/>
                <w:color w:val="000000"/>
                <w:sz w:val="16"/>
              </w:rPr>
              <w:t>Reproducible release candidate and complete test evidence</w:t>
            </w:r>
          </w:p>
        </w:tc>
      </w:tr>
      <w:tr>
        <w:tc>
          <w:tcPr>
            <w:tcW w:type="dxa" w:w="720"/>
            <w:vAlign w:val="center"/>
            <w:tcMar>
              <w:top w:w="110" w:type="dxa"/>
              <w:start w:w="120" w:type="dxa"/>
              <w:bottom w:w="110" w:type="dxa"/>
              <w:end w:w="120" w:type="dxa"/>
            </w:tcMar>
          </w:tcPr>
          <w:p>
            <w:pPr>
              <w:spacing w:after="0" w:line="252" w:lineRule="auto"/>
            </w:pPr>
            <w:r/>
            <w:r>
              <w:rPr>
                <w:rFonts w:ascii="Aptos" w:hAnsi="Aptos"/>
                <w:b/>
                <w:color w:val="000000"/>
                <w:sz w:val="16"/>
              </w:rPr>
              <w:t>Day 7</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Client demonstration and feedback</w:t>
            </w:r>
          </w:p>
        </w:tc>
        <w:tc>
          <w:tcPr>
            <w:tcW w:type="dxa" w:w="1584"/>
            <w:vAlign w:val="center"/>
            <w:tcMar>
              <w:top w:w="110" w:type="dxa"/>
              <w:start w:w="120" w:type="dxa"/>
              <w:bottom w:w="110" w:type="dxa"/>
              <w:end w:w="120" w:type="dxa"/>
            </w:tcMar>
          </w:tcPr>
          <w:p>
            <w:pPr>
              <w:spacing w:after="0" w:line="252" w:lineRule="auto"/>
            </w:pPr>
            <w:r/>
            <w:r>
              <w:rPr>
                <w:rFonts w:ascii="Aptos" w:hAnsi="Aptos"/>
                <w:b w:val="0"/>
                <w:color w:val="000000"/>
                <w:sz w:val="16"/>
              </w:rPr>
              <w:t>Whole team</w:t>
            </w:r>
          </w:p>
        </w:tc>
        <w:tc>
          <w:tcPr>
            <w:tcW w:type="dxa" w:w="4104"/>
            <w:vAlign w:val="center"/>
            <w:tcMar>
              <w:top w:w="110" w:type="dxa"/>
              <w:start w:w="120" w:type="dxa"/>
              <w:bottom w:w="110" w:type="dxa"/>
              <w:end w:w="120" w:type="dxa"/>
            </w:tcMar>
          </w:tcPr>
          <w:p>
            <w:pPr>
              <w:spacing w:after="0" w:line="252" w:lineRule="auto"/>
            </w:pPr>
            <w:r/>
            <w:r>
              <w:rPr>
                <w:rFonts w:ascii="Aptos" w:hAnsi="Aptos"/>
                <w:b w:val="0"/>
                <w:color w:val="000000"/>
                <w:sz w:val="16"/>
              </w:rPr>
              <w:t>Demonstrate import through export, capture client ratings and decisions, then convert feedback into prioritised backlog items for the following sprint.</w:t>
            </w:r>
          </w:p>
        </w:tc>
        <w:tc>
          <w:tcPr>
            <w:tcW w:type="dxa" w:w="1800"/>
            <w:vAlign w:val="center"/>
            <w:tcMar>
              <w:top w:w="110" w:type="dxa"/>
              <w:start w:w="120" w:type="dxa"/>
              <w:bottom w:w="110" w:type="dxa"/>
              <w:end w:w="120" w:type="dxa"/>
            </w:tcMar>
          </w:tcPr>
          <w:p>
            <w:pPr>
              <w:spacing w:after="0" w:line="252" w:lineRule="auto"/>
            </w:pPr>
            <w:r/>
            <w:r>
              <w:rPr>
                <w:rFonts w:ascii="Aptos" w:hAnsi="Aptos"/>
                <w:b w:val="0"/>
                <w:color w:val="000000"/>
                <w:sz w:val="16"/>
              </w:rPr>
              <w:t>Client feedback record and agreed next priorities</w:t>
            </w:r>
          </w:p>
        </w:tc>
      </w:tr>
    </w:tbl>
    <w:p>
      <w:r>
        <w:br w:type="page"/>
      </w:r>
    </w:p>
    <w:p>
      <w:pPr>
        <w:pStyle w:val="Heading1"/>
      </w:pPr>
      <w:r>
        <w:t>Team responsibilities</w:t>
      </w:r>
    </w:p>
    <w:tbl>
      <w:tblPr>
        <w:tblW w:type="auto" w:w="0"/>
        <w:jc w:val="center"/>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60"/>
        <w:gridCol w:w="3360"/>
        <w:gridCol w:w="3360"/>
      </w:tblGrid>
      <w:tr>
        <w:tc>
          <w:tcPr>
            <w:tcW w:type="dxa" w:w="3360"/>
            <w:vAlign w:val="center"/>
            <w:tcMar>
              <w:top w:w="110" w:type="dxa"/>
              <w:start w:w="120" w:type="dxa"/>
              <w:bottom w:w="110" w:type="dxa"/>
              <w:end w:w="120" w:type="dxa"/>
            </w:tcMar>
            <w:shd w:fill="17365D"/>
          </w:tcPr>
          <w:p>
            <w:pPr>
              <w:spacing w:after="0" w:line="252" w:lineRule="auto"/>
            </w:pPr>
            <w:r/>
            <w:r>
              <w:rPr>
                <w:rFonts w:ascii="Aptos" w:hAnsi="Aptos"/>
                <w:b/>
                <w:color w:val="FFFFFF"/>
                <w:sz w:val="18"/>
              </w:rPr>
              <w:t>Team member</w:t>
            </w:r>
          </w:p>
        </w:tc>
        <w:tc>
          <w:tcPr>
            <w:tcW w:type="dxa" w:w="3360"/>
            <w:vAlign w:val="center"/>
            <w:tcMar>
              <w:top w:w="110" w:type="dxa"/>
              <w:start w:w="120" w:type="dxa"/>
              <w:bottom w:w="110" w:type="dxa"/>
              <w:end w:w="120" w:type="dxa"/>
            </w:tcMar>
            <w:shd w:fill="17365D"/>
          </w:tcPr>
          <w:p>
            <w:pPr>
              <w:spacing w:after="0" w:line="252" w:lineRule="auto"/>
            </w:pPr>
            <w:r/>
            <w:r>
              <w:rPr>
                <w:rFonts w:ascii="Aptos" w:hAnsi="Aptos"/>
                <w:b/>
                <w:color w:val="FFFFFF"/>
                <w:sz w:val="18"/>
              </w:rPr>
              <w:t>Primary responsibility</w:t>
            </w:r>
          </w:p>
        </w:tc>
        <w:tc>
          <w:tcPr>
            <w:tcW w:type="dxa" w:w="3360"/>
            <w:vAlign w:val="center"/>
            <w:tcMar>
              <w:top w:w="110" w:type="dxa"/>
              <w:start w:w="120" w:type="dxa"/>
              <w:bottom w:w="110" w:type="dxa"/>
              <w:end w:w="120" w:type="dxa"/>
            </w:tcMar>
            <w:shd w:fill="17365D"/>
          </w:tcPr>
          <w:p>
            <w:pPr>
              <w:spacing w:after="0" w:line="252" w:lineRule="auto"/>
            </w:pPr>
            <w:r/>
            <w:r>
              <w:rPr>
                <w:rFonts w:ascii="Aptos" w:hAnsi="Aptos"/>
                <w:b/>
                <w:color w:val="FFFFFF"/>
                <w:sz w:val="18"/>
              </w:rPr>
              <w:t>Required evidence</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Heet</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Leadership, integration and demonstration</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Integrated release, resolved blockers, client questions and demonstration evidence</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Gopi</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Qualtrics and CSV ingestion</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Field mapping, validation cases and ingestion test evidence</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Zhongyi</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Analytics, grounding and reporting</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Claim-evidence review, prompt rules and report evaluation</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Xinling</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Interface and human review journey</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Usability findings, interface corrections and acceptance walkthrough</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Esrat</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Test data, privacy and Responsible AI</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Privacy checks, cultural and minority-view cases, risk notes and UAT evidence</w:t>
            </w:r>
          </w:p>
        </w:tc>
      </w:tr>
    </w:tbl>
    <w:p>
      <w:pPr>
        <w:pStyle w:val="Heading1"/>
      </w:pPr>
      <w:r>
        <w:t>Acceptance criteria</w:t>
      </w:r>
    </w:p>
    <w:p>
      <w:pPr>
        <w:pStyle w:val="ListBullet"/>
        <w:spacing w:after="80"/>
      </w:pPr>
      <w:r>
        <w:t>All automated tests pass and no critical interface error remains.</w:t>
      </w:r>
    </w:p>
    <w:p>
      <w:pPr>
        <w:pStyle w:val="ListBullet"/>
        <w:spacing w:after="80"/>
      </w:pPr>
      <w:r>
        <w:t>At least 95 percent of sampled factual report claims trace to a metric, theme or supporting comment.</w:t>
      </w:r>
    </w:p>
    <w:p>
      <w:pPr>
        <w:pStyle w:val="ListBullet"/>
        <w:spacing w:after="80"/>
      </w:pPr>
      <w:r>
        <w:t>No fabricated scores, themes, learner quotations or claims of approval appear.</w:t>
      </w:r>
    </w:p>
    <w:p>
      <w:pPr>
        <w:pStyle w:val="ListBullet"/>
        <w:spacing w:after="80"/>
      </w:pPr>
      <w:r>
        <w:t>Planted email, phone and URL information is absent from analysis outputs and Copilot prompts.</w:t>
      </w:r>
    </w:p>
    <w:p>
      <w:pPr>
        <w:pStyle w:val="ListBullet"/>
        <w:spacing w:after="80"/>
      </w:pPr>
      <w:r>
        <w:t>Facilitator and client reports are visibly different and meet confirmed audience expectations.</w:t>
      </w:r>
    </w:p>
    <w:p>
      <w:pPr>
        <w:pStyle w:val="ListBullet"/>
        <w:spacing w:after="80"/>
      </w:pPr>
      <w:r>
        <w:t>Manual and Copilot-assisted edits reset approval and require a named reviewer to confirm the final wording.</w:t>
      </w:r>
    </w:p>
    <w:p>
      <w:pPr>
        <w:pStyle w:val="ListBullet"/>
        <w:spacing w:after="80"/>
      </w:pPr>
      <w:r>
        <w:t>Word and Markdown reports export successfully and retain draft status until approval.</w:t>
      </w:r>
    </w:p>
    <w:p>
      <w:pPr>
        <w:pStyle w:val="ListBullet"/>
        <w:spacing w:after="80"/>
      </w:pPr>
      <w:r>
        <w:t>Another team member can install and run the application using the written instructions.</w:t>
      </w:r>
    </w:p>
    <w:p>
      <w:pPr>
        <w:pStyle w:val="Heading1"/>
      </w:pPr>
      <w:r>
        <w:t>Client demonstration sequence</w:t>
      </w:r>
    </w:p>
    <w:p>
      <w:pPr>
        <w:ind w:left="259" w:hanging="259"/>
      </w:pPr>
      <w:r>
        <w:rPr>
          <w:b/>
        </w:rPr>
        <w:t xml:space="preserve">1. </w:t>
      </w:r>
      <w:r>
        <w:t>Explain the current manual reporting problem and the prototype boundary.</w:t>
      </w:r>
    </w:p>
    <w:p>
      <w:pPr>
        <w:ind w:left="259" w:hanging="259"/>
      </w:pPr>
      <w:r>
        <w:rPr>
          <w:b/>
        </w:rPr>
        <w:t xml:space="preserve">2. </w:t>
      </w:r>
      <w:r>
        <w:t>Import representative evaluation data and show validation and masking.</w:t>
      </w:r>
    </w:p>
    <w:p>
      <w:pPr>
        <w:ind w:left="259" w:hanging="259"/>
      </w:pPr>
      <w:r>
        <w:rPr>
          <w:b/>
        </w:rPr>
        <w:t xml:space="preserve">3. </w:t>
      </w:r>
      <w:r>
        <w:t>Review ratings, themes and supporting learner evidence.</w:t>
      </w:r>
    </w:p>
    <w:p>
      <w:pPr>
        <w:ind w:left="259" w:hanging="259"/>
      </w:pPr>
      <w:r>
        <w:rPr>
          <w:b/>
        </w:rPr>
        <w:t xml:space="preserve">4. </w:t>
      </w:r>
      <w:r>
        <w:t>Generate a facilitator report and edit it manually.</w:t>
      </w:r>
    </w:p>
    <w:p>
      <w:pPr>
        <w:ind w:left="259" w:hanging="259"/>
      </w:pPr>
      <w:r>
        <w:rPr>
          <w:b/>
        </w:rPr>
        <w:t xml:space="preserve">5. </w:t>
      </w:r>
      <w:r>
        <w:t>Prepare a Copilot prompt, paste the suggested revision and preview it before applying.</w:t>
      </w:r>
    </w:p>
    <w:p>
      <w:pPr>
        <w:ind w:left="259" w:hanging="259"/>
      </w:pPr>
      <w:r>
        <w:rPr>
          <w:b/>
        </w:rPr>
        <w:t xml:space="preserve">6. </w:t>
      </w:r>
      <w:r>
        <w:t>Complete human review, approve the report and open the exported document.</w:t>
      </w:r>
    </w:p>
    <w:p>
      <w:pPr>
        <w:ind w:left="259" w:hanging="259"/>
      </w:pPr>
      <w:r>
        <w:rPr>
          <w:b/>
        </w:rPr>
        <w:t xml:space="preserve">7. </w:t>
      </w:r>
      <w:r>
        <w:t>Switch to the client report and explain the audience-specific differences.</w:t>
      </w:r>
    </w:p>
    <w:p>
      <w:pPr>
        <w:ind w:left="259" w:hanging="259"/>
      </w:pPr>
      <w:r>
        <w:rPr>
          <w:b/>
        </w:rPr>
        <w:t xml:space="preserve">8. </w:t>
      </w:r>
      <w:r>
        <w:t>Capture client ratings, decisions and follow-up priorities.</w:t>
      </w:r>
    </w:p>
    <w:p>
      <w:r>
        <w:br w:type="page"/>
      </w:r>
    </w:p>
    <w:p>
      <w:pPr>
        <w:pStyle w:val="Heading1"/>
      </w:pPr>
      <w:r>
        <w:t>Client questions and feedback</w:t>
      </w:r>
    </w:p>
    <w:p>
      <w:r>
        <w:t>The client session should resolve these questions before the team commits to deeper integration work.</w:t>
      </w:r>
    </w:p>
    <w:p>
      <w:pPr>
        <w:pStyle w:val="ListBullet"/>
        <w:spacing w:after="80"/>
      </w:pPr>
      <w:r>
        <w:t>Can Learning Futures provide an anonymised or approved Qualtrics export?</w:t>
      </w:r>
    </w:p>
    <w:p>
      <w:pPr>
        <w:pStyle w:val="ListBullet"/>
        <w:spacing w:after="80"/>
      </w:pPr>
      <w:r>
        <w:t>Which questions and measures are mandatory in the report?</w:t>
      </w:r>
    </w:p>
    <w:p>
      <w:pPr>
        <w:pStyle w:val="ListBullet"/>
        <w:spacing w:after="80"/>
      </w:pPr>
      <w:r>
        <w:t>What specifically should differ between facilitator and commercial-client reports?</w:t>
      </w:r>
    </w:p>
    <w:p>
      <w:pPr>
        <w:pStyle w:val="ListBullet"/>
        <w:spacing w:after="80"/>
      </w:pPr>
      <w:r>
        <w:t>Can the team use Microsoft Copilot or Copilot Studio, and what information may be sent to it?</w:t>
      </w:r>
    </w:p>
    <w:p>
      <w:pPr>
        <w:pStyle w:val="ListBullet"/>
        <w:spacing w:after="80"/>
      </w:pPr>
      <w:r>
        <w:t>Who is authorised to approve reports, and what evidence must they check?</w:t>
      </w:r>
    </w:p>
    <w:p>
      <w:pPr>
        <w:pStyle w:val="ListBullet"/>
        <w:spacing w:after="80"/>
      </w:pPr>
      <w:r>
        <w:t>What would Learning Futures consider an unacceptable AI error or omission?</w:t>
      </w:r>
    </w:p>
    <w:p>
      <w:pPr>
        <w:pStyle w:val="ListBullet"/>
        <w:spacing w:after="80"/>
      </w:pPr>
      <w:r>
        <w:t>How long does the current reporting process take, and what improvement would be meaningful?</w:t>
      </w:r>
    </w:p>
    <w:p>
      <w:pPr>
        <w:pStyle w:val="Heading1"/>
      </w:pPr>
      <w:r>
        <w:t>Stakeholder scoring</w:t>
      </w:r>
    </w:p>
    <w:tbl>
      <w:tblPr>
        <w:tblW w:type="auto" w:w="0"/>
        <w:jc w:val="center"/>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360"/>
        <w:gridCol w:w="3360"/>
        <w:gridCol w:w="3360"/>
      </w:tblGrid>
      <w:tr>
        <w:tc>
          <w:tcPr>
            <w:tcW w:type="dxa" w:w="3360"/>
            <w:vAlign w:val="center"/>
            <w:tcMar>
              <w:top w:w="110" w:type="dxa"/>
              <w:start w:w="120" w:type="dxa"/>
              <w:bottom w:w="110" w:type="dxa"/>
              <w:end w:w="120" w:type="dxa"/>
            </w:tcMar>
            <w:shd w:fill="17365D"/>
          </w:tcPr>
          <w:p>
            <w:pPr>
              <w:spacing w:after="0" w:line="252" w:lineRule="auto"/>
            </w:pPr>
            <w:r/>
            <w:r>
              <w:rPr>
                <w:rFonts w:ascii="Aptos" w:hAnsi="Aptos"/>
                <w:b/>
                <w:color w:val="FFFFFF"/>
                <w:sz w:val="18"/>
              </w:rPr>
              <w:t>Dimension</w:t>
            </w:r>
          </w:p>
        </w:tc>
        <w:tc>
          <w:tcPr>
            <w:tcW w:type="dxa" w:w="3360"/>
            <w:vAlign w:val="center"/>
            <w:tcMar>
              <w:top w:w="110" w:type="dxa"/>
              <w:start w:w="120" w:type="dxa"/>
              <w:bottom w:w="110" w:type="dxa"/>
              <w:end w:w="120" w:type="dxa"/>
            </w:tcMar>
            <w:shd w:fill="17365D"/>
          </w:tcPr>
          <w:p>
            <w:pPr>
              <w:spacing w:after="0" w:line="252" w:lineRule="auto"/>
            </w:pPr>
            <w:r/>
            <w:r>
              <w:rPr>
                <w:rFonts w:ascii="Aptos" w:hAnsi="Aptos"/>
                <w:b/>
                <w:color w:val="FFFFFF"/>
                <w:sz w:val="18"/>
              </w:rPr>
              <w:t>Question</w:t>
            </w:r>
          </w:p>
        </w:tc>
        <w:tc>
          <w:tcPr>
            <w:tcW w:type="dxa" w:w="3360"/>
            <w:vAlign w:val="center"/>
            <w:tcMar>
              <w:top w:w="110" w:type="dxa"/>
              <w:start w:w="120" w:type="dxa"/>
              <w:bottom w:w="110" w:type="dxa"/>
              <w:end w:w="120" w:type="dxa"/>
            </w:tcMar>
            <w:shd w:fill="17365D"/>
          </w:tcPr>
          <w:p>
            <w:pPr>
              <w:spacing w:after="0" w:line="252" w:lineRule="auto"/>
            </w:pPr>
            <w:r/>
            <w:r>
              <w:rPr>
                <w:rFonts w:ascii="Aptos" w:hAnsi="Aptos"/>
                <w:b/>
                <w:color w:val="FFFFFF"/>
                <w:sz w:val="18"/>
              </w:rPr>
              <w:t>Target</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Clarity</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Is the report easy to understand?</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Median 4 of 5</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Relevance</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Does it answer the needs of the selected audience?</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Median 4 of 5</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Evidence</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Can important claims be verified from the displayed evidence?</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Median 4 of 5</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Review usability</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Can a staff member confidently edit and approve the report?</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Median 4 of 5</w:t>
            </w:r>
          </w:p>
        </w:tc>
      </w:tr>
      <w:tr>
        <w:tc>
          <w:tcPr>
            <w:tcW w:type="dxa" w:w="3360"/>
            <w:vAlign w:val="center"/>
            <w:tcMar>
              <w:top w:w="110" w:type="dxa"/>
              <w:start w:w="120" w:type="dxa"/>
              <w:bottom w:w="110" w:type="dxa"/>
              <w:end w:w="120" w:type="dxa"/>
            </w:tcMar>
          </w:tcPr>
          <w:p>
            <w:pPr>
              <w:spacing w:after="0" w:line="252" w:lineRule="auto"/>
            </w:pPr>
            <w:r/>
            <w:r>
              <w:rPr>
                <w:rFonts w:ascii="Aptos" w:hAnsi="Aptos"/>
                <w:b/>
                <w:color w:val="000000"/>
                <w:sz w:val="18"/>
              </w:rPr>
              <w:t>Recommendations</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Are the proposed actions useful and supported?</w:t>
            </w:r>
          </w:p>
        </w:tc>
        <w:tc>
          <w:tcPr>
            <w:tcW w:type="dxa" w:w="3360"/>
            <w:vAlign w:val="center"/>
            <w:tcMar>
              <w:top w:w="110" w:type="dxa"/>
              <w:start w:w="120" w:type="dxa"/>
              <w:bottom w:w="110" w:type="dxa"/>
              <w:end w:w="120" w:type="dxa"/>
            </w:tcMar>
          </w:tcPr>
          <w:p>
            <w:pPr>
              <w:spacing w:after="0" w:line="252" w:lineRule="auto"/>
            </w:pPr>
            <w:r/>
            <w:r>
              <w:rPr>
                <w:rFonts w:ascii="Aptos" w:hAnsi="Aptos"/>
                <w:b w:val="0"/>
                <w:color w:val="000000"/>
                <w:sz w:val="18"/>
              </w:rPr>
              <w:t>Median 4 of 5</w:t>
            </w:r>
          </w:p>
        </w:tc>
      </w:tr>
    </w:tbl>
    <w:p>
      <w:pPr>
        <w:pStyle w:val="Heading1"/>
      </w:pPr>
      <w:r>
        <w:t>Items to defer</w:t>
      </w:r>
    </w:p>
    <w:p>
      <w:r>
        <w:t>Unless access is already available and Learning Futures makes one of these an explicit priority, defer the following until the current workflow has been validated:</w:t>
      </w:r>
    </w:p>
    <w:p>
      <w:pPr>
        <w:pStyle w:val="ListBullet"/>
        <w:spacing w:after="80"/>
      </w:pPr>
      <w:r>
        <w:t>Live Qualtrics API integration</w:t>
      </w:r>
    </w:p>
    <w:p>
      <w:pPr>
        <w:pStyle w:val="ListBullet"/>
        <w:spacing w:after="80"/>
      </w:pPr>
      <w:r>
        <w:t>Direct Copilot Studio agent integration</w:t>
      </w:r>
    </w:p>
    <w:p>
      <w:pPr>
        <w:pStyle w:val="ListBullet"/>
        <w:spacing w:after="80"/>
      </w:pPr>
      <w:r>
        <w:t>Authentication and enterprise access control</w:t>
      </w:r>
    </w:p>
    <w:p>
      <w:pPr>
        <w:pStyle w:val="ListBullet"/>
        <w:spacing w:after="80"/>
      </w:pPr>
      <w:r>
        <w:t>Automatic report distribution</w:t>
      </w:r>
    </w:p>
    <w:p>
      <w:pPr>
        <w:pStyle w:val="ListBullet"/>
        <w:spacing w:after="80"/>
      </w:pPr>
      <w:r>
        <w:t>Historical trend claims across non-comparable surveys</w:t>
      </w:r>
    </w:p>
    <w:p>
      <w:pPr>
        <w:pStyle w:val="ListBullet"/>
        <w:spacing w:after="80"/>
      </w:pPr>
      <w:r>
        <w:t>Large architecture rewrites or production hosting</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Futures Project 2 One Week Team Plan</dc:title>
  <dc:subject>One-week delivery and client validation plan</dc:subject>
  <dc:creator>Project Group PG-S2-08</dc:creator>
  <cp:keywords/>
  <dc:description>generated by python-docx</dc:description>
  <cp:lastModifiedBy/>
  <cp:revision>1</cp:revision>
  <dcterms:created xsi:type="dcterms:W3CDTF">2013-12-23T23:15:00Z</dcterms:created>
  <dcterms:modified xsi:type="dcterms:W3CDTF">2013-12-23T23:15:00Z</dcterms:modified>
  <cp:category/>
</cp:coreProperties>
</file>